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hyperlink w:anchor="index">
        <w:bookmarkStart w:id="0" w:name="adus-20230331.htm"/>
        <w:bookmarkStart w:id="1" w:name="ksadus20230331"/>
        <w:bookmarkEnd w:id="0"/>
        <w:bookmarkEnd w:id="1"/>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8" w:space="1" w:color="000000"/>
        </w:pBdr>
        <w:spacing w:before="0" w:after="0"/>
        <w:jc w:val="center"/>
        <w:rPr/>
      </w:pPr>
      <w:r>
        <w:rPr/>
        <w:t> </w:t>
      </w:r>
    </w:p>
    <w:p>
      <w:pPr>
        <w:pStyle w:val="TextBody"/>
        <w:spacing w:before="9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001-34504</w:t>
      </w:r>
    </w:p>
    <w:p>
      <w:pPr>
        <w:pStyle w:val="TextBody"/>
        <w:pBdr>
          <w:bottom w:val="single" w:sz="8" w:space="1" w:color="000000"/>
        </w:pBdr>
        <w:spacing w:before="0" w:after="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8" w:space="1" w:color="000000"/>
        </w:pBdr>
        <w:spacing w:before="0" w:after="0"/>
        <w:jc w:val="center"/>
        <w:rPr/>
      </w:pPr>
      <w:r>
        <w:rPr/>
        <w:t> </w:t>
      </w:r>
    </w:p>
    <w:tbl>
      <w:tblPr>
        <w:tblW w:w="5235" w:type="dxa"/>
        <w:jc w:val="left"/>
        <w:tblInd w:w="0" w:type="dxa"/>
        <w:tblCellMar>
          <w:top w:w="28" w:type="dxa"/>
          <w:left w:w="28" w:type="dxa"/>
          <w:bottom w:w="28" w:type="dxa"/>
          <w:right w:w="28" w:type="dxa"/>
        </w:tblCellMar>
      </w:tblPr>
      <w:tblGrid>
        <w:gridCol w:w="3392"/>
        <w:gridCol w:w="146"/>
        <w:gridCol w:w="1697"/>
      </w:tblGrid>
      <w:tr>
        <w:trPr/>
        <w:tc>
          <w:tcPr>
            <w:tcW w:w="33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r>
      <w:tr>
        <w:trPr/>
        <w:tc>
          <w:tcPr>
            <w:tcW w:w="339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697" w:type="dxa"/>
            <w:tcBorders/>
            <w:shd w:fill="auto" w:val="clear"/>
            <w:vAlign w:val="center"/>
          </w:tcPr>
          <w:p>
            <w:pPr>
              <w:pStyle w:val="TableContents"/>
              <w:spacing w:before="0" w:after="0"/>
              <w:ind w:left="0" w:right="0" w:hanging="0"/>
              <w:jc w:val="left"/>
              <w:rPr/>
            </w:pPr>
            <w:r>
              <w:rPr/>
              <w:t> </w:t>
            </w:r>
          </w:p>
        </w:tc>
      </w:tr>
      <w:tr>
        <w:trPr/>
        <w:tc>
          <w:tcPr>
            <w:tcW w:w="339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69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20-5340172</w:t>
            </w:r>
          </w:p>
        </w:tc>
      </w:tr>
      <w:tr>
        <w:trPr/>
        <w:tc>
          <w:tcPr>
            <w:tcW w:w="339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(State or other jurisdiction of</w:t>
            </w:r>
          </w:p>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incorporation or organization)</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69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(I.R.S. Employer</w:t>
            </w:r>
          </w:p>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Identification No.)</w:t>
            </w:r>
          </w:p>
        </w:tc>
      </w:tr>
      <w:tr>
        <w:trPr/>
        <w:tc>
          <w:tcPr>
            <w:tcW w:w="3392" w:type="dxa"/>
            <w:tcBorders/>
            <w:shd w:fill="auto" w:val="clear"/>
            <w:vAlign w:val="center"/>
          </w:tcPr>
          <w:p>
            <w:pPr>
              <w:pStyle w:val="TableContents"/>
              <w:spacing w:before="0" w:after="0"/>
              <w:ind w:left="0" w:right="0" w:hanging="0"/>
              <w:jc w:val="left"/>
              <w:rPr/>
            </w:pPr>
            <w:r>
              <w:rPr/>
              <w:t> </w:t>
            </w:r>
          </w:p>
        </w:tc>
        <w:tc>
          <w:tcPr>
            <w:tcW w:w="1843" w:type="dxa"/>
            <w:gridSpan w:val="2"/>
            <w:tcBorders/>
            <w:shd w:fill="auto" w:val="clear"/>
            <w:vAlign w:val="center"/>
          </w:tcPr>
          <w:p>
            <w:pPr>
              <w:pStyle w:val="TableContents"/>
              <w:spacing w:before="0" w:after="0"/>
              <w:ind w:left="0" w:right="0" w:hanging="0"/>
              <w:jc w:val="left"/>
              <w:rPr/>
            </w:pPr>
            <w:r>
              <w:rPr/>
              <w:t> </w:t>
            </w:r>
          </w:p>
        </w:tc>
      </w:tr>
      <w:tr>
        <w:trPr/>
        <w:tc>
          <w:tcPr>
            <w:tcW w:w="339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6303 Cowboys Way, Suite 600</w:t>
            </w:r>
          </w:p>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Frisco, TX</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69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75034</w:t>
            </w:r>
          </w:p>
        </w:tc>
      </w:tr>
      <w:tr>
        <w:trPr/>
        <w:tc>
          <w:tcPr>
            <w:tcW w:w="339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(Address of principal executive offices)</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69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(Zip Code)</w:t>
            </w:r>
          </w:p>
        </w:tc>
      </w:tr>
    </w:tbl>
    <w:p>
      <w:pPr>
        <w:pStyle w:val="TextBody"/>
        <w:spacing w:before="0" w:after="0"/>
        <w:jc w:val="center"/>
        <w:rPr>
          <w:rFonts w:ascii="Times New Roman;serif" w:hAnsi="Times New Roman;serif"/>
          <w:b/>
          <w:sz w:val="20"/>
        </w:rPr>
      </w:pPr>
      <w:r>
        <w:rPr>
          <w:rFonts w:ascii="Times New Roman;serif" w:hAnsi="Times New Roman;serif"/>
          <w:b/>
          <w:sz w:val="20"/>
        </w:rPr>
        <w:t>(469) 535-8200</w:t>
      </w:r>
    </w:p>
    <w:p>
      <w:pPr>
        <w:pStyle w:val="TextBody"/>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spacing w:before="80" w:after="16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7233" w:type="dxa"/>
        <w:jc w:val="left"/>
        <w:tblInd w:w="0" w:type="dxa"/>
        <w:tblCellMar>
          <w:top w:w="28" w:type="dxa"/>
          <w:left w:w="28" w:type="dxa"/>
          <w:bottom w:w="28" w:type="dxa"/>
          <w:right w:w="28" w:type="dxa"/>
        </w:tblCellMar>
      </w:tblPr>
      <w:tblGrid>
        <w:gridCol w:w="2506"/>
        <w:gridCol w:w="1456"/>
        <w:gridCol w:w="3271"/>
      </w:tblGrid>
      <w:tr>
        <w:trPr/>
        <w:tc>
          <w:tcPr>
            <w:tcW w:w="250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45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Symbol(s)</w:t>
            </w:r>
          </w:p>
        </w:tc>
        <w:tc>
          <w:tcPr>
            <w:tcW w:w="3271"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25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w:t>
            </w:r>
          </w:p>
        </w:tc>
        <w:tc>
          <w:tcPr>
            <w:tcW w:w="145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ADUS</w:t>
            </w:r>
          </w:p>
        </w:tc>
        <w:tc>
          <w:tcPr>
            <w:tcW w:w="327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tc>
      </w:tr>
    </w:tbl>
    <w:p>
      <w:pPr>
        <w:pStyle w:val="TextBody"/>
        <w:spacing w:before="0" w:after="8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504" w:type="dxa"/>
        <w:jc w:val="left"/>
        <w:tblInd w:w="0" w:type="dxa"/>
        <w:tblCellMar>
          <w:top w:w="28" w:type="dxa"/>
          <w:left w:w="28" w:type="dxa"/>
          <w:bottom w:w="28" w:type="dxa"/>
          <w:right w:w="28" w:type="dxa"/>
        </w:tblCellMar>
      </w:tblPr>
      <w:tblGrid>
        <w:gridCol w:w="2162"/>
        <w:gridCol w:w="162"/>
        <w:gridCol w:w="332"/>
        <w:gridCol w:w="162"/>
        <w:gridCol w:w="2147"/>
        <w:gridCol w:w="162"/>
        <w:gridCol w:w="377"/>
      </w:tblGrid>
      <w:tr>
        <w:trPr/>
        <w:tc>
          <w:tcPr>
            <w:tcW w:w="2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2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14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r>
      <w:tr>
        <w:trPr/>
        <w:tc>
          <w:tcPr>
            <w:tcW w:w="216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32" w:type="dxa"/>
            <w:tcBorders/>
            <w:shd w:fill="auto" w:val="clear"/>
            <w:vAlign w:val="center"/>
          </w:tcPr>
          <w:p>
            <w:pPr>
              <w:pStyle w:val="TableContents"/>
              <w:spacing w:before="0" w:after="0"/>
              <w:ind w:left="0" w:right="16" w:hanging="0"/>
              <w:jc w:val="left"/>
              <w:rPr/>
            </w:pPr>
            <w:r>
              <w:rPr/>
              <w:t>☒</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147"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Accelerated Filer</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77" w:type="dxa"/>
            <w:tcBorders/>
            <w:shd w:fill="auto" w:val="clear"/>
            <w:vAlign w:val="center"/>
          </w:tcPr>
          <w:p>
            <w:pPr>
              <w:pStyle w:val="TableContents"/>
              <w:spacing w:before="0" w:after="0"/>
              <w:ind w:left="0" w:right="16" w:hanging="0"/>
              <w:jc w:val="left"/>
              <w:rPr/>
            </w:pPr>
            <w:r>
              <w:rPr/>
              <w:t>☐</w:t>
            </w:r>
          </w:p>
        </w:tc>
      </w:tr>
      <w:tr>
        <w:trPr/>
        <w:tc>
          <w:tcPr>
            <w:tcW w:w="216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Non-Accelerated Filer</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32" w:type="dxa"/>
            <w:tcBorders/>
            <w:shd w:fill="auto" w:val="clear"/>
            <w:vAlign w:val="center"/>
          </w:tcPr>
          <w:p>
            <w:pPr>
              <w:pStyle w:val="TableContents"/>
              <w:spacing w:before="0" w:after="0"/>
              <w:ind w:left="0" w:right="16" w:hanging="0"/>
              <w:jc w:val="left"/>
              <w:rPr/>
            </w:pPr>
            <w:r>
              <w:rPr/>
              <w:t>☐</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147"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77" w:type="dxa"/>
            <w:tcBorders/>
            <w:shd w:fill="auto" w:val="clear"/>
            <w:vAlign w:val="center"/>
          </w:tcPr>
          <w:p>
            <w:pPr>
              <w:pStyle w:val="TableContents"/>
              <w:spacing w:before="0" w:after="0"/>
              <w:ind w:left="0" w:right="16" w:hanging="0"/>
              <w:jc w:val="left"/>
              <w:rPr/>
            </w:pPr>
            <w:r>
              <w:rPr/>
              <w:t>☐</w:t>
            </w:r>
          </w:p>
        </w:tc>
      </w:tr>
      <w:tr>
        <w:trPr/>
        <w:tc>
          <w:tcPr>
            <w:tcW w:w="216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62" w:type="dxa"/>
            <w:tcBorders/>
            <w:shd w:fill="auto" w:val="clear"/>
            <w:vAlign w:val="center"/>
          </w:tcPr>
          <w:p>
            <w:pPr>
              <w:pStyle w:val="TableContents"/>
              <w:spacing w:before="0" w:after="0"/>
              <w:ind w:left="0" w:right="16" w:hanging="0"/>
              <w:jc w:val="left"/>
              <w:rPr/>
            </w:pPr>
            <w:r>
              <w:rPr/>
              <w:t> </w:t>
            </w:r>
          </w:p>
        </w:tc>
        <w:tc>
          <w:tcPr>
            <w:tcW w:w="332" w:type="dxa"/>
            <w:tcBorders/>
            <w:shd w:fill="auto" w:val="clear"/>
            <w:vAlign w:val="center"/>
          </w:tcPr>
          <w:p>
            <w:pPr>
              <w:pStyle w:val="TableContents"/>
              <w:spacing w:before="0" w:after="0"/>
              <w:ind w:left="0" w:right="16" w:hanging="0"/>
              <w:jc w:val="left"/>
              <w:rPr/>
            </w:pPr>
            <w:r>
              <w:rPr/>
              <w:t>☐</w:t>
            </w:r>
          </w:p>
        </w:tc>
        <w:tc>
          <w:tcPr>
            <w:tcW w:w="162" w:type="dxa"/>
            <w:tcBorders/>
            <w:shd w:fill="auto" w:val="clear"/>
            <w:vAlign w:val="center"/>
          </w:tcPr>
          <w:p>
            <w:pPr>
              <w:pStyle w:val="TableContents"/>
              <w:spacing w:before="0" w:after="0"/>
              <w:ind w:left="0" w:right="16" w:hanging="0"/>
              <w:jc w:val="left"/>
              <w:rPr/>
            </w:pPr>
            <w:r>
              <w:rPr/>
              <w:t> </w:t>
            </w:r>
          </w:p>
        </w:tc>
        <w:tc>
          <w:tcPr>
            <w:tcW w:w="2147"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20"/>
        </w:rPr>
        <w:t>As of April 25, 2023, Addus HomeCare Corporation had</w:t>
      </w:r>
      <w:r>
        <w:rPr>
          <w:rFonts w:ascii="Times New Roman" w:hAnsi="Times New Roman"/>
          <w:sz w:val="20"/>
        </w:rPr>
        <w:t xml:space="preserve"> </w:t>
      </w:r>
      <w:r>
        <w:rPr>
          <w:rFonts w:ascii="Times New Roman;serif" w:hAnsi="Times New Roman;serif"/>
          <w:b w:val="false"/>
          <w:sz w:val="20"/>
        </w:rPr>
        <w:t>16,204,341</w:t>
      </w:r>
      <w:r>
        <w:rPr>
          <w:rFonts w:ascii="Times New Roman" w:hAnsi="Times New Roman"/>
          <w:sz w:val="20"/>
        </w:rPr>
        <w:t xml:space="preserve"> </w:t>
      </w:r>
      <w:r>
        <w:rPr>
          <w:rFonts w:ascii="Times New Roman;serif" w:hAnsi="Times New Roman;serif"/>
          <w:b w:val="false"/>
          <w:sz w:val="20"/>
        </w:rPr>
        <w:t>shares of Common Stock outstanding.</w:t>
      </w:r>
    </w:p>
    <w:p>
      <w:pPr>
        <w:pStyle w:val="TextBody"/>
        <w:pBdr>
          <w:bottom w:val="double" w:sz="6" w:space="1" w:color="000000"/>
        </w:pBdr>
        <w:spacing w:before="40" w:after="0"/>
        <w:jc w:val="left"/>
        <w:rPr/>
      </w:pPr>
      <w:r>
        <w:rPr/>
        <w:t> </w:t>
      </w:r>
    </w:p>
    <w:p>
      <w:pPr>
        <w:pStyle w:val="TextBody"/>
        <w:spacing w:before="4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180" w:after="0"/>
        <w:jc w:val="center"/>
        <w:rPr>
          <w:rFonts w:ascii="Times New Roman;serif" w:hAnsi="Times New Roman;serif"/>
          <w:b/>
          <w:sz w:val="20"/>
        </w:rPr>
      </w:pPr>
      <w:r>
        <w:rPr>
          <w:rFonts w:ascii="Times New Roman;serif" w:hAnsi="Times New Roman;serif"/>
          <w:b/>
          <w:sz w:val="20"/>
        </w:rPr>
        <w:t>FORM 10-Q</w:t>
      </w:r>
    </w:p>
    <w:p>
      <w:pPr>
        <w:pStyle w:val="TextBody"/>
        <w:spacing w:before="180" w:after="0"/>
        <w:jc w:val="center"/>
        <w:rPr>
          <w:rFonts w:ascii="Times New Roman;serif" w:hAnsi="Times New Roman;serif"/>
          <w:b/>
          <w:sz w:val="20"/>
        </w:rPr>
      </w:pPr>
      <w:bookmarkStart w:id="2" w:name="index"/>
      <w:bookmarkEnd w:id="2"/>
      <w:r>
        <w:rPr>
          <w:rFonts w:ascii="Times New Roman;serif" w:hAnsi="Times New Roman;serif"/>
          <w:b/>
          <w:sz w:val="20"/>
        </w:rPr>
        <w:t>INDEX</w:t>
      </w:r>
    </w:p>
    <w:tbl>
      <w:tblPr>
        <w:tblW w:w="10205" w:type="dxa"/>
        <w:jc w:val="left"/>
        <w:tblInd w:w="0" w:type="dxa"/>
        <w:tblCellMar>
          <w:top w:w="28" w:type="dxa"/>
          <w:left w:w="28" w:type="dxa"/>
          <w:bottom w:w="28" w:type="dxa"/>
          <w:right w:w="28" w:type="dxa"/>
        </w:tblCellMar>
      </w:tblPr>
      <w:tblGrid>
        <w:gridCol w:w="9114"/>
        <w:gridCol w:w="1091"/>
      </w:tblGrid>
      <w:tr>
        <w:trPr/>
        <w:tc>
          <w:tcPr>
            <w:tcW w:w="9114"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9114" w:type="dxa"/>
            <w:tcBorders/>
            <w:shd w:fill="auto" w:val="clear"/>
            <w:vAlign w:val="center"/>
          </w:tcPr>
          <w:p>
            <w:pPr>
              <w:pStyle w:val="TableContents"/>
              <w:spacing w:before="0" w:after="0"/>
              <w:ind w:left="180" w:right="0" w:hanging="0"/>
              <w:jc w:val="left"/>
              <w:rPr/>
            </w:pPr>
            <w:hyperlink w:anchor="part_i_financial_information_1">
              <w:r>
                <w:rPr>
                  <w:rStyle w:val="InternetLink"/>
                  <w:rFonts w:ascii="Times New Roman;serif" w:hAnsi="Times New Roman;serif"/>
                  <w:b w:val="false"/>
                  <w:sz w:val="20"/>
                  <w:u w:val="single"/>
                </w:rPr>
                <w:t>PART I. FINANCIAL INFORMATION</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1_financial_statements_1">
              <w:r>
                <w:rPr>
                  <w:rStyle w:val="InternetLink"/>
                  <w:rFonts w:ascii="Times New Roman;serif" w:hAnsi="Times New Roman;serif"/>
                  <w:b w:val="false"/>
                  <w:sz w:val="20"/>
                  <w:u w:val="single"/>
                </w:rPr>
                <w:t>Item 1. Financial Statements (Unaudited)</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900"/>
              <w:jc w:val="right"/>
              <w:rPr/>
            </w:pPr>
            <w:r>
              <w:rPr/>
              <w:t> </w:t>
            </w:r>
          </w:p>
        </w:tc>
      </w:tr>
      <w:tr>
        <w:trPr/>
        <w:tc>
          <w:tcPr>
            <w:tcW w:w="9114" w:type="dxa"/>
            <w:tcBorders/>
            <w:shd w:fill="auto" w:val="clear"/>
            <w:vAlign w:val="center"/>
          </w:tcPr>
          <w:p>
            <w:pPr>
              <w:pStyle w:val="TableContents"/>
              <w:spacing w:before="0" w:after="0"/>
              <w:ind w:left="900" w:right="0" w:hanging="0"/>
              <w:jc w:val="left"/>
              <w:rPr/>
            </w:pPr>
            <w:hyperlink w:anchor="condensed_consolidated_balance_sheets_1">
              <w:r>
                <w:rPr>
                  <w:rStyle w:val="InternetLink"/>
                  <w:rFonts w:ascii="Times New Roman;serif" w:hAnsi="Times New Roman;serif"/>
                  <w:b w:val="false"/>
                  <w:sz w:val="20"/>
                  <w:u w:val="single"/>
                </w:rPr>
                <w:t>Condensed Consolidated Balance Sheets as of March 31, 2023 and December 31, 2022</w:t>
              </w:r>
            </w:hyperlink>
            <w:hyperlink w:anchor="condensed_consolidated_balance_sheets_1">
              <w:r>
                <w:rPr>
                  <w:rStyle w:val="InternetLink"/>
                  <w:rFonts w:ascii="Times New Roman" w:hAnsi="Times New Roman"/>
                  <w:sz w:val="20"/>
                </w:rPr>
                <w:t xml:space="preserve"> </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900"/>
              <w:jc w:val="right"/>
              <w:rPr/>
            </w:pPr>
            <w:r>
              <w:rPr/>
              <w:t> </w:t>
            </w:r>
          </w:p>
        </w:tc>
      </w:tr>
      <w:tr>
        <w:trPr/>
        <w:tc>
          <w:tcPr>
            <w:tcW w:w="9114" w:type="dxa"/>
            <w:tcBorders/>
            <w:shd w:fill="auto" w:val="clear"/>
            <w:vAlign w:val="center"/>
          </w:tcPr>
          <w:p>
            <w:pPr>
              <w:pStyle w:val="TableContents"/>
              <w:spacing w:before="0" w:after="0"/>
              <w:ind w:left="900" w:right="0" w:hanging="0"/>
              <w:jc w:val="left"/>
              <w:rPr/>
            </w:pPr>
            <w:hyperlink w:anchor="condensed_consolidated_statements_income">
              <w:r>
                <w:rPr>
                  <w:rStyle w:val="InternetLink"/>
                  <w:rFonts w:ascii="Times New Roman;serif" w:hAnsi="Times New Roman;serif"/>
                  <w:b w:val="false"/>
                  <w:sz w:val="20"/>
                  <w:u w:val="single"/>
                </w:rPr>
                <w:t>Condensed Consolidated Statements of Income For the Three Months Ended March 31, 2023 and 2022</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900"/>
              <w:jc w:val="right"/>
              <w:rPr/>
            </w:pPr>
            <w:r>
              <w:rPr/>
              <w:t> </w:t>
            </w:r>
          </w:p>
        </w:tc>
      </w:tr>
      <w:tr>
        <w:trPr/>
        <w:tc>
          <w:tcPr>
            <w:tcW w:w="9114" w:type="dxa"/>
            <w:tcBorders/>
            <w:shd w:fill="auto" w:val="clear"/>
            <w:vAlign w:val="center"/>
          </w:tcPr>
          <w:p>
            <w:pPr>
              <w:pStyle w:val="TableContents"/>
              <w:spacing w:before="0" w:after="0"/>
              <w:ind w:left="900" w:right="0" w:hanging="0"/>
              <w:jc w:val="left"/>
              <w:rPr/>
            </w:pPr>
            <w:hyperlink w:anchor="condensed_consolidated_statement_stockho">
              <w:r>
                <w:rPr>
                  <w:rStyle w:val="InternetLink"/>
                  <w:rFonts w:ascii="Times New Roman;serif" w:hAnsi="Times New Roman;serif"/>
                  <w:b w:val="false"/>
                  <w:sz w:val="20"/>
                  <w:u w:val="single"/>
                </w:rPr>
                <w:t>Condensed Consolidated Statement of Stockholders’ Equity For the Three Months Ended March 31, 2023 and 2022</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900"/>
              <w:jc w:val="right"/>
              <w:rPr/>
            </w:pPr>
            <w:r>
              <w:rPr/>
              <w:t> </w:t>
            </w:r>
          </w:p>
        </w:tc>
      </w:tr>
      <w:tr>
        <w:trPr/>
        <w:tc>
          <w:tcPr>
            <w:tcW w:w="9114" w:type="dxa"/>
            <w:tcBorders/>
            <w:shd w:fill="auto" w:val="clear"/>
            <w:vAlign w:val="center"/>
          </w:tcPr>
          <w:p>
            <w:pPr>
              <w:pStyle w:val="TableContents"/>
              <w:spacing w:before="0" w:after="0"/>
              <w:ind w:left="90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900"/>
              <w:jc w:val="right"/>
              <w:rPr/>
            </w:pPr>
            <w:r>
              <w:rPr/>
              <w:t> </w:t>
            </w:r>
          </w:p>
        </w:tc>
      </w:tr>
      <w:tr>
        <w:trPr/>
        <w:tc>
          <w:tcPr>
            <w:tcW w:w="9114" w:type="dxa"/>
            <w:tcBorders/>
            <w:shd w:fill="auto" w:val="clear"/>
            <w:vAlign w:val="center"/>
          </w:tcPr>
          <w:p>
            <w:pPr>
              <w:pStyle w:val="TableContents"/>
              <w:spacing w:before="0" w:after="0"/>
              <w:ind w:left="90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hyperlink w:anchor="notes_to_condensed_consolidated_financia">
              <w:r>
                <w:rPr>
                  <w:rStyle w:val="InternetLink"/>
                  <w:rFonts w:ascii="Times New Roman" w:hAnsi="Times New Roman"/>
                  <w:sz w:val="20"/>
                </w:rPr>
                <w:t xml:space="preserve"> </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180"/>
              <w:jc w:val="right"/>
              <w:rPr/>
            </w:pPr>
            <w:r>
              <w:rPr/>
              <w:t> </w:t>
            </w:r>
          </w:p>
        </w:tc>
      </w:tr>
      <w:tr>
        <w:trPr/>
        <w:tc>
          <w:tcPr>
            <w:tcW w:w="9114" w:type="dxa"/>
            <w:tcBorders/>
            <w:shd w:fill="auto" w:val="clear"/>
            <w:vAlign w:val="center"/>
          </w:tcPr>
          <w:p>
            <w:pPr>
              <w:pStyle w:val="TableContents"/>
              <w:spacing w:before="0" w:after="0"/>
              <w:ind w:left="18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114"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firstLine="540"/>
              <w:jc w:val="right"/>
              <w:rPr/>
            </w:pPr>
            <w:r>
              <w:rPr/>
              <w:t> </w:t>
            </w:r>
          </w:p>
        </w:tc>
      </w:tr>
      <w:tr>
        <w:trPr/>
        <w:tc>
          <w:tcPr>
            <w:tcW w:w="9114" w:type="dxa"/>
            <w:tcBorders/>
            <w:shd w:fill="auto" w:val="clear"/>
            <w:vAlign w:val="center"/>
          </w:tcPr>
          <w:p>
            <w:pPr>
              <w:pStyle w:val="TableContents"/>
              <w:spacing w:before="0" w:after="0"/>
              <w:ind w:left="540" w:right="0" w:hanging="0"/>
              <w:jc w:val="left"/>
              <w:rPr/>
            </w:pPr>
            <w:hyperlink w:anchor="item_6_exhibits">
              <w:r>
                <w:rPr>
                  <w:rStyle w:val="InternetLink"/>
                  <w:rFonts w:ascii="Times New Roman;serif" w:hAnsi="Times New Roman;serif"/>
                  <w:b w:val="false"/>
                  <w:sz w:val="20"/>
                  <w:u w:val="single"/>
                </w:rPr>
                <w:t>Item 6. Exhibits</w:t>
              </w:r>
            </w:hyperlink>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part_i_financial_information_1"/>
      <w:bookmarkEnd w:id="3"/>
      <w:r>
        <w:rPr>
          <w:rFonts w:ascii="Times New Roman;serif" w:hAnsi="Times New Roman;serif"/>
          <w:b/>
          <w:sz w:val="20"/>
        </w:rPr>
        <w:t>PART I – FINANCIAL INFORMATION</w:t>
      </w:r>
    </w:p>
    <w:p>
      <w:pPr>
        <w:pStyle w:val="TextBody"/>
        <w:spacing w:before="180" w:after="0"/>
        <w:jc w:val="left"/>
        <w:rPr>
          <w:rFonts w:ascii="Times New Roman;serif" w:hAnsi="Times New Roman;serif"/>
          <w:b/>
          <w:sz w:val="20"/>
        </w:rPr>
      </w:pPr>
      <w:bookmarkStart w:id="4" w:name="item_1_financial_statements_1"/>
      <w:bookmarkEnd w:id="4"/>
      <w:r>
        <w:rPr>
          <w:rFonts w:ascii="Times New Roman;serif" w:hAnsi="Times New Roman;serif"/>
          <w:b/>
          <w:sz w:val="20"/>
        </w:rPr>
        <w:t>Item 1. Financial Statements</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AND SUBSIDIARIES</w:t>
      </w:r>
    </w:p>
    <w:p>
      <w:pPr>
        <w:pStyle w:val="TextBody"/>
        <w:spacing w:before="180" w:after="0"/>
        <w:jc w:val="center"/>
        <w:rPr>
          <w:rFonts w:ascii="Times New Roman;serif" w:hAnsi="Times New Roman;serif"/>
          <w:b/>
          <w:sz w:val="20"/>
        </w:rPr>
      </w:pPr>
      <w:bookmarkStart w:id="5" w:name="condensed_consolidated_balance_sheets_1"/>
      <w:bookmarkEnd w:id="5"/>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As of March 31, 2023 and December 31, 2022</w:t>
      </w:r>
    </w:p>
    <w:p>
      <w:pPr>
        <w:pStyle w:val="TextBody"/>
        <w:spacing w:before="0" w:after="0"/>
        <w:jc w:val="center"/>
        <w:rPr>
          <w:rFonts w:ascii="Times New Roman;serif" w:hAnsi="Times New Roman;serif"/>
          <w:b/>
          <w:sz w:val="20"/>
        </w:rPr>
      </w:pPr>
      <w:r>
        <w:rPr>
          <w:rFonts w:ascii="Times New Roman;serif" w:hAnsi="Times New Roman;serif"/>
          <w:b/>
          <w:sz w:val="20"/>
        </w:rPr>
        <w:t>(Amounts and Shares in Thousands, Except Per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653"/>
        <w:gridCol w:w="146"/>
        <w:gridCol w:w="265"/>
        <w:gridCol w:w="981"/>
        <w:gridCol w:w="146"/>
        <w:gridCol w:w="146"/>
        <w:gridCol w:w="313"/>
        <w:gridCol w:w="1161"/>
        <w:gridCol w:w="394"/>
      </w:tblGrid>
      <w:tr>
        <w:trPr/>
        <w:tc>
          <w:tcPr>
            <w:tcW w:w="66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66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74" w:type="dxa"/>
            <w:gridSpan w:val="2"/>
            <w:tcBorders/>
            <w:shd w:fill="auto" w:val="clear"/>
            <w:vAlign w:val="center"/>
          </w:tcPr>
          <w:p>
            <w:pPr>
              <w:pStyle w:val="TableContents"/>
              <w:spacing w:before="0" w:after="0"/>
              <w:ind w:left="0" w:right="0" w:hanging="0"/>
              <w:jc w:val="center"/>
              <w:rPr/>
            </w:pPr>
            <w:r>
              <w:rPr/>
              <w:t> </w:t>
            </w:r>
          </w:p>
        </w:tc>
        <w:tc>
          <w:tcPr>
            <w:tcW w:w="394" w:type="dxa"/>
            <w:tcBorders/>
            <w:shd w:fill="auto" w:val="clear"/>
            <w:vAlign w:val="center"/>
          </w:tcPr>
          <w:p>
            <w:pPr>
              <w:pStyle w:val="TableContents"/>
              <w:spacing w:before="0" w:after="0"/>
              <w:ind w:left="0" w:right="0" w:hanging="0"/>
              <w:jc w:val="center"/>
              <w:rPr/>
            </w:pPr>
            <w:r>
              <w:rPr/>
              <w:t> </w:t>
            </w:r>
          </w:p>
        </w:tc>
      </w:tr>
      <w:tr>
        <w:trPr/>
        <w:tc>
          <w:tcPr>
            <w:tcW w:w="66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79,961</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 of allowances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125,501</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17,345</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209,210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222,807</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 of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21,182</w:t>
            </w:r>
          </w:p>
        </w:tc>
        <w:tc>
          <w:tcPr>
            <w:tcW w:w="394" w:type="dxa"/>
            <w:tcBorders/>
            <w:shd w:fill="auto" w:val="cle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582,837</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Intangibles, net of 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72,188</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assets, net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38,980</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694,005</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931,083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937,994</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hanging="0"/>
              <w:jc w:val="righ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22,092</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payroll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44,937</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27,507</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10,801</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stimulus advances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12,912</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workers' compensation insurance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12,897</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124,659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131,146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less current portion, net of debt issuance costs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131,772</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6,057</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173,308</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282,197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304,454</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4"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stock—$.001</w:t>
            </w:r>
            <w:r>
              <w:rPr>
                <w:rFonts w:ascii="Times New Roman" w:hAnsi="Times New Roman"/>
                <w:sz w:val="20"/>
              </w:rPr>
              <w:t> </w:t>
            </w:r>
            <w:r>
              <w:rPr>
                <w:rFonts w:ascii="Times New Roman;serif" w:hAnsi="Times New Roman;serif"/>
                <w:b w:val="false"/>
                <w:sz w:val="20"/>
              </w:rPr>
              <w:t>par value; 40,000</w:t>
            </w:r>
            <w:r>
              <w:rPr>
                <w:rFonts w:ascii="Times New Roman" w:hAnsi="Times New Roman"/>
                <w:sz w:val="20"/>
              </w:rPr>
              <w:t> </w:t>
            </w:r>
            <w:r>
              <w:rPr>
                <w:rFonts w:ascii="Times New Roman;serif" w:hAnsi="Times New Roman;serif"/>
                <w:b w:val="false"/>
                <w:sz w:val="20"/>
              </w:rPr>
              <w:t>authorized and 16,204</w:t>
            </w:r>
            <w:r>
              <w:rPr>
                <w:rFonts w:ascii="Times New Roman" w:hAnsi="Times New Roman"/>
                <w:sz w:val="20"/>
              </w:rPr>
              <w:t> </w:t>
            </w:r>
            <w:r>
              <w:rPr>
                <w:rFonts w:ascii="Times New Roman;serif" w:hAnsi="Times New Roman;serif"/>
                <w:b w:val="false"/>
                <w:sz w:val="20"/>
              </w:rPr>
              <w:t>and 16,128</w:t>
            </w:r>
            <w:r>
              <w:rPr>
                <w:rFonts w:ascii="Times New Roman" w:hAnsi="Times New Roman"/>
                <w:sz w:val="20"/>
              </w:rPr>
              <w:t> </w:t>
            </w:r>
            <w:r>
              <w:rPr>
                <w:rFonts w:ascii="Times New Roman;serif" w:hAnsi="Times New Roman;serif"/>
                <w:b w:val="false"/>
                <w:sz w:val="20"/>
              </w:rPr>
              <w:t>shares</w:t>
              <w:br/>
              <w:t>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395,879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393,208</w:t>
            </w:r>
          </w:p>
        </w:tc>
        <w:tc>
          <w:tcPr>
            <w:tcW w:w="394" w:type="dxa"/>
            <w:tcBorders/>
            <w:shd w:fill="auto" w:val="clear"/>
            <w:vAlign w:val="center"/>
          </w:tcPr>
          <w:p>
            <w:pPr>
              <w:pStyle w:val="TableContents"/>
              <w:spacing w:before="0" w:after="0"/>
              <w:ind w:left="0" w:right="0" w:firstLine="200"/>
              <w:jc w:val="left"/>
              <w:rPr/>
            </w:pPr>
            <w:r>
              <w:rPr/>
              <w:t> </w:t>
            </w:r>
          </w:p>
        </w:tc>
      </w:tr>
      <w:tr>
        <w:trPr/>
        <w:tc>
          <w:tcPr>
            <w:tcW w:w="665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252,991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240,316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648,886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633,540</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931,083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937,994</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AND SUBSIDIARIES</w:t>
      </w:r>
    </w:p>
    <w:p>
      <w:pPr>
        <w:pStyle w:val="TextBody"/>
        <w:spacing w:before="180" w:after="0"/>
        <w:jc w:val="center"/>
        <w:rPr>
          <w:rFonts w:ascii="Times New Roman" w:hAnsi="Times New Roman"/>
          <w:sz w:val="20"/>
        </w:rPr>
      </w:pPr>
      <w:bookmarkStart w:id="6" w:name="condensed_consolidated_statements_income"/>
      <w:bookmarkEnd w:id="6"/>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STATEMENTS OF INCOME</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serif" w:hAnsi="Times New Roman;serif"/>
          <w:b/>
          <w:sz w:val="20"/>
        </w:rPr>
      </w:pPr>
      <w:r>
        <w:rPr>
          <w:rFonts w:ascii="Times New Roman;serif" w:hAnsi="Times New Roman;serif"/>
          <w:b/>
          <w:sz w:val="20"/>
        </w:rPr>
        <w:t>(Amounts and Shares in Thousands, Except Per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8459" w:type="dxa"/>
        <w:jc w:val="left"/>
        <w:tblInd w:w="0" w:type="dxa"/>
        <w:tblCellMar>
          <w:top w:w="28" w:type="dxa"/>
          <w:left w:w="28" w:type="dxa"/>
          <w:bottom w:w="28" w:type="dxa"/>
          <w:right w:w="28" w:type="dxa"/>
        </w:tblCellMar>
      </w:tblPr>
      <w:tblGrid>
        <w:gridCol w:w="5626"/>
        <w:gridCol w:w="146"/>
        <w:gridCol w:w="211"/>
        <w:gridCol w:w="781"/>
        <w:gridCol w:w="166"/>
        <w:gridCol w:w="146"/>
        <w:gridCol w:w="211"/>
        <w:gridCol w:w="781"/>
        <w:gridCol w:w="391"/>
      </w:tblGrid>
      <w:tr>
        <w:trPr/>
        <w:tc>
          <w:tcPr>
            <w:tcW w:w="5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251,599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226,634</w:t>
            </w:r>
          </w:p>
        </w:tc>
        <w:tc>
          <w:tcPr>
            <w:tcW w:w="39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173,184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156,448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78,415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70,186</w:t>
            </w:r>
          </w:p>
        </w:tc>
        <w:tc>
          <w:tcPr>
            <w:tcW w:w="39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53,152</w:t>
            </w:r>
          </w:p>
        </w:tc>
        <w:tc>
          <w:tcPr>
            <w:tcW w:w="39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11,751</w:t>
            </w:r>
          </w:p>
        </w:tc>
        <w:tc>
          <w:tcPr>
            <w:tcW w:w="39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per common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0.54</w:t>
            </w:r>
          </w:p>
        </w:tc>
        <w:tc>
          <w:tcPr>
            <w:tcW w:w="39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 income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39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and potential common</w:t>
              <w:br/>
              <w:t>   shares outstanding:</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15,811</w:t>
            </w:r>
          </w:p>
        </w:tc>
        <w:tc>
          <w:tcPr>
            <w:tcW w:w="39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16,079</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4</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AND SUBSIDIARIES</w:t>
      </w:r>
    </w:p>
    <w:p>
      <w:pPr>
        <w:pStyle w:val="TextBody"/>
        <w:spacing w:before="180" w:after="0"/>
        <w:jc w:val="center"/>
        <w:rPr>
          <w:rFonts w:ascii="Times New Roman;serif" w:hAnsi="Times New Roman;serif"/>
          <w:b/>
          <w:sz w:val="20"/>
        </w:rPr>
      </w:pPr>
      <w:bookmarkStart w:id="7" w:name="condensed_consolidated_statement_stockho"/>
      <w:bookmarkEnd w:id="7"/>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serif" w:hAnsi="Times New Roman;serif"/>
          <w:b/>
          <w:sz w:val="20"/>
        </w:rPr>
      </w:pPr>
      <w:r>
        <w:rPr>
          <w:rFonts w:ascii="Times New Roman;serif" w:hAnsi="Times New Roman;serif"/>
          <w:b/>
          <w:sz w:val="20"/>
        </w:rPr>
        <w:t>(Amounts and Shares in Thousands)</w:t>
      </w:r>
    </w:p>
    <w:p>
      <w:pPr>
        <w:pStyle w:val="TextBody"/>
        <w:spacing w:before="0" w:after="120"/>
        <w:jc w:val="center"/>
        <w:rPr>
          <w:rFonts w:ascii="Times New Roman;serif" w:hAnsi="Times New Roman;serif"/>
          <w:b/>
          <w:sz w:val="20"/>
        </w:rPr>
      </w:pPr>
      <w:r>
        <w:rPr>
          <w:rFonts w:ascii="Times New Roman;serif" w:hAnsi="Times New Roman;serif"/>
          <w:b/>
          <w:sz w:val="20"/>
        </w:rPr>
        <w:t>(Unaudited)</w:t>
      </w:r>
    </w:p>
    <w:tbl>
      <w:tblPr>
        <w:tblW w:w="9638" w:type="dxa"/>
        <w:jc w:val="left"/>
        <w:tblInd w:w="0" w:type="dxa"/>
        <w:tblCellMar>
          <w:top w:w="28" w:type="dxa"/>
          <w:left w:w="28" w:type="dxa"/>
          <w:bottom w:w="28" w:type="dxa"/>
          <w:right w:w="28" w:type="dxa"/>
        </w:tblCellMar>
      </w:tblPr>
      <w:tblGrid>
        <w:gridCol w:w="3556"/>
        <w:gridCol w:w="146"/>
        <w:gridCol w:w="146"/>
        <w:gridCol w:w="676"/>
        <w:gridCol w:w="146"/>
        <w:gridCol w:w="146"/>
        <w:gridCol w:w="261"/>
        <w:gridCol w:w="430"/>
        <w:gridCol w:w="146"/>
        <w:gridCol w:w="146"/>
        <w:gridCol w:w="211"/>
        <w:gridCol w:w="781"/>
        <w:gridCol w:w="146"/>
        <w:gridCol w:w="146"/>
        <w:gridCol w:w="211"/>
        <w:gridCol w:w="781"/>
        <w:gridCol w:w="146"/>
        <w:gridCol w:w="146"/>
        <w:gridCol w:w="229"/>
        <w:gridCol w:w="851"/>
        <w:gridCol w:w="19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5"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191"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240,316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633,540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Issuance of shares of common stock under </w:t>
              <w:br/>
              <w:t>   restricted stock award agreements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395,879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252,991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648,886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5"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8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191"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380,037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194,291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574,344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Issuance of shares of common stock under </w:t>
              <w:br/>
              <w:t>   restricted stock award agreements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for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383,001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585,778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5</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AND SUBSIDIARIES</w:t>
      </w:r>
    </w:p>
    <w:p>
      <w:pPr>
        <w:pStyle w:val="TextBody"/>
        <w:spacing w:before="18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serif" w:hAnsi="Times New Roman;serif"/>
          <w:b/>
          <w:sz w:val="20"/>
        </w:rPr>
      </w:pPr>
      <w:r>
        <w:rPr>
          <w:rFonts w:ascii="Times New Roman;serif" w:hAnsi="Times New Roman;serif"/>
          <w:b/>
          <w:sz w:val="20"/>
        </w:rPr>
        <w:t>(Amounts 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824" w:type="dxa"/>
        <w:jc w:val="left"/>
        <w:tblInd w:w="0" w:type="dxa"/>
        <w:tblCellMar>
          <w:top w:w="28" w:type="dxa"/>
          <w:left w:w="28" w:type="dxa"/>
          <w:bottom w:w="28" w:type="dxa"/>
          <w:right w:w="28" w:type="dxa"/>
        </w:tblCellMar>
      </w:tblPr>
      <w:tblGrid>
        <w:gridCol w:w="6616"/>
        <w:gridCol w:w="146"/>
        <w:gridCol w:w="211"/>
        <w:gridCol w:w="736"/>
        <w:gridCol w:w="166"/>
        <w:gridCol w:w="146"/>
        <w:gridCol w:w="211"/>
        <w:gridCol w:w="781"/>
        <w:gridCol w:w="811"/>
      </w:tblGrid>
      <w:tr>
        <w:trPr/>
        <w:tc>
          <w:tcPr>
            <w:tcW w:w="6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w:t>
            </w:r>
          </w:p>
        </w:tc>
        <w:tc>
          <w:tcPr>
            <w:tcW w:w="81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(used in) operating</w:t>
              <w:br/>
              <w:t>   activities,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3,521</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issuance costs under the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 of operating lease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w:t>
            </w:r>
          </w:p>
        </w:tc>
        <w:tc>
          <w:tcPr>
            <w:tcW w:w="811" w:type="dxa"/>
            <w:tcBorders/>
            <w:shd w:fill="auto" w:val="clear"/>
            <w:vAlign w:val="center"/>
          </w:tcPr>
          <w:p>
            <w:pPr>
              <w:pStyle w:val="TableContents"/>
              <w:spacing w:before="0" w:after="0"/>
              <w:ind w:left="0" w:right="0" w:firstLine="400"/>
              <w:jc w:val="left"/>
              <w:rPr/>
            </w:pPr>
            <w:r>
              <w:rPr/>
              <w:t> </w:t>
            </w:r>
          </w:p>
        </w:tc>
      </w:tr>
      <w:tr>
        <w:trPr/>
        <w:tc>
          <w:tcPr>
            <w:tcW w:w="66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600"/>
              <w:jc w:val="left"/>
              <w:rPr/>
            </w:pPr>
            <w:r>
              <w:rPr/>
              <w:t> </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7,121</w:t>
            </w:r>
          </w:p>
        </w:tc>
        <w:tc>
          <w:tcPr>
            <w:tcW w:w="811" w:type="dxa"/>
            <w:tcBorders/>
            <w:shd w:fill="auto" w:val="clear"/>
            <w:vAlign w:val="center"/>
          </w:tcPr>
          <w:p>
            <w:pPr>
              <w:pStyle w:val="TableContents"/>
              <w:spacing w:before="0" w:after="0"/>
              <w:ind w:left="0" w:right="0" w:firstLine="600"/>
              <w:jc w:val="left"/>
              <w:rPr/>
            </w:pPr>
            <w:r>
              <w:rPr/>
              <w:t> </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4,161</w:t>
            </w:r>
          </w:p>
        </w:tc>
        <w:tc>
          <w:tcPr>
            <w:tcW w:w="811" w:type="dxa"/>
            <w:tcBorders/>
            <w:shd w:fill="auto" w:val="clear"/>
            <w:vAlign w:val="center"/>
          </w:tcPr>
          <w:p>
            <w:pPr>
              <w:pStyle w:val="TableContents"/>
              <w:spacing w:before="0" w:after="0"/>
              <w:ind w:left="0" w:right="0" w:firstLine="600"/>
              <w:jc w:val="left"/>
              <w:rPr/>
            </w:pPr>
            <w:r>
              <w:rPr/>
              <w:t> </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Government stimulus advances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600"/>
              <w:jc w:val="left"/>
              <w:rPr/>
            </w:pPr>
            <w:r>
              <w:rPr/>
              <w:t> </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811" w:type="dxa"/>
            <w:tcBorders/>
            <w:shd w:fill="auto" w:val="clear"/>
            <w:vAlign w:val="center"/>
          </w:tcPr>
          <w:p>
            <w:pPr>
              <w:pStyle w:val="TableContents"/>
              <w:spacing w:before="0" w:after="0"/>
              <w:ind w:left="0" w:right="0" w:firstLine="600"/>
              <w:jc w:val="left"/>
              <w:rPr/>
            </w:pPr>
            <w:r>
              <w:rPr/>
              <w:t> </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payroll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(17,443</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expenses and 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5,983</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businesses,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(84,490</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(85,594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term loan —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 on revolver —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received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(44,132</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79,961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168,895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124,763</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8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 (Unaudited)</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6</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ADDUS HOMECARE CORPORATION</w:t>
      </w:r>
    </w:p>
    <w:p>
      <w:pPr>
        <w:pStyle w:val="TextBody"/>
        <w:spacing w:before="0" w:after="0"/>
        <w:jc w:val="center"/>
        <w:rPr>
          <w:rFonts w:ascii="Times New Roman;serif" w:hAnsi="Times New Roman;serif"/>
          <w:b/>
          <w:sz w:val="20"/>
        </w:rPr>
      </w:pPr>
      <w:r>
        <w:rPr>
          <w:rFonts w:ascii="Times New Roman;serif" w:hAnsi="Times New Roman;serif"/>
          <w:b/>
          <w:sz w:val="20"/>
        </w:rPr>
        <w:t>AND SUBSIDIARIES</w:t>
      </w:r>
    </w:p>
    <w:p>
      <w:pPr>
        <w:pStyle w:val="TextBody"/>
        <w:spacing w:before="180" w:after="0"/>
        <w:jc w:val="center"/>
        <w:rPr>
          <w:rFonts w:ascii="Times New Roman;serif" w:hAnsi="Times New Roman;serif"/>
          <w:b/>
          <w:sz w:val="20"/>
        </w:rPr>
      </w:pPr>
      <w:bookmarkStart w:id="9" w:name="notes_to_condensed_consolidated_financia"/>
      <w:bookmarkEnd w:id="9"/>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180" w:after="0"/>
        <w:jc w:val="left"/>
        <w:rPr>
          <w:rFonts w:ascii="Times New Roman;serif" w:hAnsi="Times New Roman;serif"/>
          <w:b/>
          <w:sz w:val="20"/>
        </w:rPr>
      </w:pPr>
      <w:r>
        <w:rPr>
          <w:rFonts w:ascii="Times New Roman;serif" w:hAnsi="Times New Roman;serif"/>
          <w:b/>
          <w:sz w:val="20"/>
        </w:rPr>
        <w:t>1. Nature of Operations, Consolidation, and Presentation of Financial Statements</w:t>
      </w:r>
    </w:p>
    <w:p>
      <w:pPr>
        <w:pStyle w:val="TextBody"/>
        <w:spacing w:before="120" w:after="0"/>
        <w:jc w:val="left"/>
        <w:rPr>
          <w:rFonts w:ascii="Times New Roman" w:hAnsi="Times New Roman"/>
          <w:sz w:val="20"/>
        </w:rPr>
      </w:pPr>
      <w:r>
        <w:rPr>
          <w:rFonts w:ascii="Times New Roman;serif" w:hAnsi="Times New Roman;serif"/>
          <w:b w:val="false"/>
          <w:sz w:val="20"/>
        </w:rPr>
        <w:t>Addus HomeCare Corporation (“Holdings”) and its subsidiaries (together with Holdings, the “Company”, “we”, “us” or “our”) operate as a multi-state provider of three</w:t>
      </w:r>
      <w:r>
        <w:rPr>
          <w:rFonts w:ascii="Times New Roman" w:hAnsi="Times New Roman"/>
          <w:sz w:val="20"/>
        </w:rPr>
        <w:t xml:space="preserve"> </w:t>
      </w:r>
      <w:r>
        <w:rPr>
          <w:rFonts w:ascii="Times New Roman;serif" w:hAnsi="Times New Roman;serif"/>
          <w:b w:val="false"/>
          <w:sz w:val="20"/>
        </w:rPr>
        <w:t>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pStyle w:val="TextBody"/>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2022 has been derived from the Company’s audited financial statements for the year ended December 31, 2022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2022 included in our Annual Report on Form 10-K, which includes information and disclosures not included herein.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pStyle w:val="TextBody"/>
        <w:spacing w:before="360" w:after="0"/>
        <w:jc w:val="left"/>
        <w:rPr>
          <w:rFonts w:ascii="Times New Roman;serif" w:hAnsi="Times New Roman;serif"/>
          <w:b/>
          <w:i/>
          <w:sz w:val="20"/>
        </w:rPr>
      </w:pPr>
      <w:r>
        <w:rPr>
          <w:rFonts w:ascii="Times New Roman;serif" w:hAnsi="Times New Roman;serif"/>
          <w:b/>
          <w:i/>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Unaudited Condensed Consolidated Financial Statements include the accounts of Addus HomeCare Corporation, and its subsidiaries. All intercompany balances and transactions have been eliminated in consolidation.</w:t>
      </w:r>
    </w:p>
    <w:p>
      <w:pPr>
        <w:pStyle w:val="TextBody"/>
        <w:spacing w:before="36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spacing w:before="120" w:after="0"/>
        <w:jc w:val="left"/>
        <w:rPr>
          <w:rFonts w:ascii="Times New Roman;serif" w:hAnsi="Times New Roman;serif"/>
          <w:b/>
          <w:i/>
          <w:sz w:val="20"/>
        </w:rPr>
      </w:pPr>
      <w:r>
        <w:rPr>
          <w:rFonts w:ascii="Times New Roman;serif" w:hAnsi="Times New Roman;serif"/>
          <w:b/>
          <w:i/>
          <w:sz w:val="20"/>
        </w:rPr>
        <w:t>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7</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Computation of Weighted Average Shares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common shares:</w:t>
      </w:r>
    </w:p>
    <w:p>
      <w:pPr>
        <w:pStyle w:val="TextBody"/>
        <w:spacing w:before="60" w:after="0"/>
        <w:jc w:val="left"/>
        <w:rPr/>
      </w:pPr>
      <w:r>
        <w:rPr/>
        <w:t> </w:t>
      </w:r>
    </w:p>
    <w:tbl>
      <w:tblPr>
        <w:tblW w:w="10002" w:type="dxa"/>
        <w:jc w:val="left"/>
        <w:tblInd w:w="0" w:type="dxa"/>
        <w:tblCellMar>
          <w:top w:w="28" w:type="dxa"/>
          <w:left w:w="28" w:type="dxa"/>
          <w:bottom w:w="28" w:type="dxa"/>
          <w:right w:w="28" w:type="dxa"/>
        </w:tblCellMar>
      </w:tblPr>
      <w:tblGrid>
        <w:gridCol w:w="6481"/>
        <w:gridCol w:w="146"/>
        <w:gridCol w:w="225"/>
        <w:gridCol w:w="1042"/>
        <w:gridCol w:w="225"/>
        <w:gridCol w:w="225"/>
        <w:gridCol w:w="225"/>
        <w:gridCol w:w="1042"/>
        <w:gridCol w:w="391"/>
      </w:tblGrid>
      <w:tr>
        <w:trPr/>
        <w:tc>
          <w:tcPr>
            <w:tcW w:w="6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6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12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for basic per share calculation</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15,949</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15,811</w:t>
            </w:r>
          </w:p>
        </w:tc>
        <w:tc>
          <w:tcPr>
            <w:tcW w:w="39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dilutive potential shares:</w:t>
            </w:r>
          </w:p>
        </w:tc>
        <w:tc>
          <w:tcPr>
            <w:tcW w:w="146" w:type="dxa"/>
            <w:tcBorders/>
            <w:shd w:fill="auto" w:val="clear"/>
            <w:vAlign w:val="center"/>
          </w:tcPr>
          <w:p>
            <w:pPr>
              <w:pStyle w:val="TableContents"/>
              <w:spacing w:before="0" w:after="0"/>
              <w:ind w:left="0" w:right="0" w:hanging="0"/>
              <w:jc w:val="left"/>
              <w:rPr/>
            </w:pPr>
            <w:r>
              <w:rPr/>
              <w:t> </w:t>
            </w:r>
          </w:p>
        </w:tc>
        <w:tc>
          <w:tcPr>
            <w:tcW w:w="1267" w:type="dxa"/>
            <w:gridSpan w:val="2"/>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126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39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weighted average shares for diluted per share calculation</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16,297</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16,079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shares:</w:t>
            </w:r>
          </w:p>
        </w:tc>
        <w:tc>
          <w:tcPr>
            <w:tcW w:w="146" w:type="dxa"/>
            <w:tcBorders/>
            <w:shd w:fill="auto" w:val="clear"/>
            <w:vAlign w:val="center"/>
          </w:tcPr>
          <w:p>
            <w:pPr>
              <w:pStyle w:val="TableContents"/>
              <w:spacing w:before="0" w:after="0"/>
              <w:ind w:left="0" w:right="0" w:hanging="0"/>
              <w:jc w:val="left"/>
              <w:rPr/>
            </w:pPr>
            <w:r>
              <w:rPr/>
              <w:t> </w:t>
            </w:r>
          </w:p>
        </w:tc>
        <w:tc>
          <w:tcPr>
            <w:tcW w:w="1267" w:type="dxa"/>
            <w:gridSpan w:val="2"/>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126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39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In October 2021, the Financial Accounting Standards Board (“FASB”) issued ASU No. 2021-08, </w:t>
      </w:r>
      <w:r>
        <w:rPr>
          <w:rFonts w:ascii="Times New Roman;serif" w:hAnsi="Times New Roman;serif"/>
          <w:b w:val="false"/>
          <w:i/>
          <w:sz w:val="20"/>
        </w:rPr>
        <w:t>Accounting for Contract Assets and Contract Liabilities from Contracts with Customers (Topic 805)</w:t>
      </w:r>
      <w:r>
        <w:rPr>
          <w:rFonts w:ascii="Times New Roman;serif" w:hAnsi="Times New Roman;serif"/>
          <w:b w:val="false"/>
          <w:sz w:val="20"/>
        </w:rPr>
        <w:t>.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w:t>
      </w:r>
      <w:r>
        <w:rPr>
          <w:rFonts w:ascii="Times New Roman" w:hAnsi="Times New Roman"/>
          <w:sz w:val="20"/>
        </w:rPr>
        <w:t xml:space="preserve"> </w:t>
      </w:r>
      <w:r>
        <w:rPr>
          <w:rFonts w:ascii="Times New Roman;serif" w:hAnsi="Times New Roman;serif"/>
          <w:b w:val="false"/>
          <w:sz w:val="20"/>
        </w:rPr>
        <w:t>prospectively on January 1, 2023. The additional disclosures required did not have a material impact on our consolidated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In March 2020, the FASB issued ASU 2020-04, </w:t>
      </w:r>
      <w:r>
        <w:rPr>
          <w:rFonts w:ascii="Times New Roman;serif" w:hAnsi="Times New Roman;serif"/>
          <w:b w:val="false"/>
          <w:i/>
          <w:sz w:val="20"/>
        </w:rPr>
        <w:t>Reference Rate Reform (Topic 848): Facilitation of the Effects of Reference Rate Reform on Financial Reporting</w:t>
      </w:r>
      <w:r>
        <w:rPr>
          <w:rFonts w:ascii="Times New Roman;serif" w:hAnsi="Times New Roman;serif"/>
          <w:b w:val="false"/>
          <w:sz w:val="20"/>
        </w:rPr>
        <w:t>. ASU 2020-04 provides optional expedients and exceptions for applying GAAP to contract modifications and hedging relationships, 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was in effect for a limited time through December 31, 2022. The ASU could be adopted no later than December 1, 2022 with early adoption permitted. As discussed further in Note 7 and pursuant to the Second Amendment to Amended and Restated Credit Agreement dated as of July 30, 2021, the Credit Agreement contains hardwired fallback language that contemplates a transition from</w:t>
      </w:r>
      <w:r>
        <w:rPr>
          <w:rFonts w:ascii="Times New Roman" w:hAnsi="Times New Roman"/>
          <w:sz w:val="20"/>
        </w:rPr>
        <w:t xml:space="preserve"> </w:t>
      </w:r>
      <w:r>
        <w:rPr>
          <w:rFonts w:ascii="Times New Roman;serif" w:hAnsi="Times New Roman;serif"/>
          <w:b w:val="false"/>
          <w:sz w:val="20"/>
        </w:rPr>
        <w:t>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pStyle w:val="TextBody"/>
        <w:spacing w:before="360" w:after="0"/>
        <w:jc w:val="left"/>
        <w:rPr>
          <w:rFonts w:ascii="Times New Roman" w:hAnsi="Times New Roman"/>
          <w:sz w:val="20"/>
        </w:rPr>
      </w:pPr>
      <w:r>
        <w:rPr>
          <w:rFonts w:ascii="Times New Roman;serif" w:hAnsi="Times New Roman;serif"/>
          <w:b/>
          <w:sz w:val="20"/>
        </w:rPr>
        <w:t>3. Leases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Amounts reported on the Company’s Unaudited Condensed Consolidated Balance Sheets for operating leases were as follows:</w:t>
      </w:r>
    </w:p>
    <w:p>
      <w:pPr>
        <w:pStyle w:val="TextBody"/>
        <w:spacing w:before="0" w:after="0"/>
        <w:jc w:val="left"/>
        <w:rPr/>
      </w:pPr>
      <w:r>
        <w:rPr/>
        <w:t> </w:t>
      </w:r>
    </w:p>
    <w:tbl>
      <w:tblPr>
        <w:tblW w:w="8250" w:type="dxa"/>
        <w:jc w:val="left"/>
        <w:tblInd w:w="0" w:type="dxa"/>
        <w:tblCellMar>
          <w:top w:w="28" w:type="dxa"/>
          <w:left w:w="28" w:type="dxa"/>
          <w:bottom w:w="28" w:type="dxa"/>
          <w:right w:w="28" w:type="dxa"/>
        </w:tblCellMar>
      </w:tblPr>
      <w:tblGrid>
        <w:gridCol w:w="4861"/>
        <w:gridCol w:w="146"/>
        <w:gridCol w:w="299"/>
        <w:gridCol w:w="961"/>
        <w:gridCol w:w="146"/>
        <w:gridCol w:w="146"/>
        <w:gridCol w:w="357"/>
        <w:gridCol w:w="1143"/>
        <w:gridCol w:w="191"/>
      </w:tblGrid>
      <w:tr>
        <w:trPr/>
        <w:tc>
          <w:tcPr>
            <w:tcW w:w="4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 net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38,980</w:t>
            </w:r>
          </w:p>
        </w:tc>
        <w:tc>
          <w:tcPr>
            <w:tcW w:w="191" w:type="dxa"/>
            <w:tcBorders/>
            <w:shd w:fill="auto" w:val="cle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operating lease liabilities (in accrued expenses)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10,801</w:t>
            </w:r>
          </w:p>
        </w:tc>
        <w:tc>
          <w:tcPr>
            <w:tcW w:w="191" w:type="dxa"/>
            <w:tcBorders/>
            <w:shd w:fill="auto" w:val="cle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46,280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8</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180" w:after="0"/>
        <w:jc w:val="left"/>
        <w:rPr>
          <w:rFonts w:ascii="Times New Roman;serif" w:hAnsi="Times New Roman;serif"/>
          <w:b/>
          <w:i/>
          <w:sz w:val="20"/>
        </w:rPr>
      </w:pPr>
      <w:r>
        <w:rPr>
          <w:rFonts w:ascii="Times New Roman;serif" w:hAnsi="Times New Roman;serif"/>
          <w:b/>
          <w:i/>
          <w:sz w:val="20"/>
        </w:rPr>
        <w:t>Lease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Components of lease costs were reported in general and administrative expenses in the Company’s Unaudited Condensed Consolidated Statements of Income as follows:</w:t>
      </w:r>
    </w:p>
    <w:p>
      <w:pPr>
        <w:pStyle w:val="TextBody"/>
        <w:spacing w:before="0" w:after="0"/>
        <w:jc w:val="left"/>
        <w:rPr/>
      </w:pPr>
      <w:r>
        <w:rPr/>
        <w:t> </w:t>
      </w:r>
    </w:p>
    <w:tbl>
      <w:tblPr>
        <w:tblW w:w="5340" w:type="dxa"/>
        <w:jc w:val="left"/>
        <w:tblInd w:w="0" w:type="dxa"/>
        <w:tblCellMar>
          <w:top w:w="28" w:type="dxa"/>
          <w:left w:w="28" w:type="dxa"/>
          <w:bottom w:w="28" w:type="dxa"/>
          <w:right w:w="28" w:type="dxa"/>
        </w:tblCellMar>
      </w:tblPr>
      <w:tblGrid>
        <w:gridCol w:w="1921"/>
        <w:gridCol w:w="146"/>
        <w:gridCol w:w="335"/>
        <w:gridCol w:w="908"/>
        <w:gridCol w:w="264"/>
        <w:gridCol w:w="232"/>
        <w:gridCol w:w="335"/>
        <w:gridCol w:w="908"/>
        <w:gridCol w:w="291"/>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br/>
              <w:t> (Amounts in Thousands)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3,042</w:t>
            </w:r>
          </w:p>
        </w:tc>
        <w:tc>
          <w:tcPr>
            <w:tcW w:w="264"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2,801</w:t>
            </w:r>
          </w:p>
        </w:tc>
        <w:tc>
          <w:tcPr>
            <w:tcW w:w="291" w:type="dxa"/>
            <w:tcBorders/>
            <w:shd w:fill="auto" w:val="clear"/>
            <w:vAlign w:val="center"/>
          </w:tcPr>
          <w:p>
            <w:pPr>
              <w:pStyle w:val="TableContents"/>
              <w:spacing w:before="0" w:after="0"/>
              <w:ind w:left="0" w:right="0" w:hanging="0"/>
              <w:jc w:val="left"/>
              <w:rPr/>
            </w:pPr>
            <w:r>
              <w:rPr/>
              <w:t> </w:t>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3,458</w:t>
            </w:r>
          </w:p>
        </w:tc>
        <w:tc>
          <w:tcPr>
            <w:tcW w:w="264"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3,552</w:t>
            </w:r>
          </w:p>
        </w:tc>
        <w:tc>
          <w:tcPr>
            <w:tcW w:w="291" w:type="dxa"/>
            <w:tcBorders/>
            <w:shd w:fill="auto" w:val="clear"/>
            <w:vAlign w:val="center"/>
          </w:tcPr>
          <w:p>
            <w:pPr>
              <w:pStyle w:val="TableContents"/>
              <w:spacing w:before="0" w:after="0"/>
              <w:ind w:left="0" w:right="0" w:firstLine="100"/>
              <w:jc w:val="left"/>
              <w:rPr/>
            </w:pPr>
            <w:r>
              <w:rPr/>
              <w:t> </w:t>
            </w:r>
          </w:p>
        </w:tc>
      </w:tr>
      <w:tr>
        <w:trPr/>
        <w:tc>
          <w:tcPr>
            <w:tcW w:w="19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sublease income</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2"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 net</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2,758</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serif" w:hAnsi="Times New Roman;serif"/>
          <w:b/>
          <w:i/>
          <w:sz w:val="20"/>
        </w:rPr>
      </w:pPr>
      <w:r>
        <w:rPr>
          <w:rFonts w:ascii="Times New Roman;serif" w:hAnsi="Times New Roman;serif"/>
          <w:b/>
          <w:i/>
          <w:sz w:val="20"/>
        </w:rPr>
        <w:t>Lease Term and Discount 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Weighted average remaining lease terms and discount rates were as follows:</w:t>
      </w:r>
    </w:p>
    <w:p>
      <w:pPr>
        <w:pStyle w:val="TextBody"/>
        <w:spacing w:before="0" w:after="0"/>
        <w:jc w:val="left"/>
        <w:rPr/>
      </w:pPr>
      <w:r>
        <w:rPr/>
        <w:t> </w:t>
      </w:r>
    </w:p>
    <w:tbl>
      <w:tblPr>
        <w:tblW w:w="6955" w:type="dxa"/>
        <w:jc w:val="left"/>
        <w:tblInd w:w="0" w:type="dxa"/>
        <w:tblCellMar>
          <w:top w:w="28" w:type="dxa"/>
          <w:left w:w="28" w:type="dxa"/>
          <w:bottom w:w="28" w:type="dxa"/>
          <w:right w:w="28" w:type="dxa"/>
        </w:tblCellMar>
      </w:tblPr>
      <w:tblGrid>
        <w:gridCol w:w="3316"/>
        <w:gridCol w:w="146"/>
        <w:gridCol w:w="300"/>
        <w:gridCol w:w="960"/>
        <w:gridCol w:w="271"/>
        <w:gridCol w:w="146"/>
        <w:gridCol w:w="357"/>
        <w:gridCol w:w="1143"/>
        <w:gridCol w:w="316"/>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283"/>
              <w:ind w:left="0" w:right="0" w:hanging="0"/>
              <w:rPr>
                <w:sz w:val="4"/>
                <w:szCs w:val="4"/>
              </w:rPr>
            </w:pPr>
            <w:r>
              <w:rPr>
                <w:sz w:val="4"/>
                <w:szCs w:val="4"/>
              </w:rPr>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316"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80" w:after="0"/>
        <w:jc w:val="left"/>
        <w:rPr>
          <w:rFonts w:ascii="Times New Roman;serif" w:hAnsi="Times New Roman;serif"/>
          <w:b/>
          <w:i/>
          <w:sz w:val="20"/>
        </w:rPr>
      </w:pPr>
      <w:r>
        <w:rPr>
          <w:rFonts w:ascii="Times New Roman;serif" w:hAnsi="Times New Roman;serif"/>
          <w:b/>
          <w:i/>
          <w:sz w:val="20"/>
        </w:rPr>
        <w:t>Maturity of Lease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Remaining operating lease payments as of March 31, 2023 were as follows:</w:t>
      </w:r>
    </w:p>
    <w:p>
      <w:pPr>
        <w:pStyle w:val="TextBody"/>
        <w:spacing w:before="0" w:after="0"/>
        <w:jc w:val="left"/>
        <w:rPr/>
      </w:pPr>
      <w:r>
        <w:rPr/>
        <w:t> </w:t>
      </w:r>
    </w:p>
    <w:tbl>
      <w:tblPr>
        <w:tblW w:w="6078" w:type="dxa"/>
        <w:jc w:val="left"/>
        <w:tblInd w:w="0" w:type="dxa"/>
        <w:tblCellMar>
          <w:top w:w="28" w:type="dxa"/>
          <w:left w:w="28" w:type="dxa"/>
          <w:bottom w:w="28" w:type="dxa"/>
          <w:right w:w="28" w:type="dxa"/>
        </w:tblCellMar>
      </w:tblPr>
      <w:tblGrid>
        <w:gridCol w:w="3781"/>
        <w:gridCol w:w="146"/>
        <w:gridCol w:w="414"/>
        <w:gridCol w:w="1446"/>
        <w:gridCol w:w="29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the 12-month period ended March 31,</w:t>
            </w:r>
          </w:p>
        </w:tc>
        <w:tc>
          <w:tcPr>
            <w:tcW w:w="146" w:type="dxa"/>
            <w:tcBorders/>
            <w:shd w:fill="auto" w:val="clear"/>
            <w:vAlign w:val="center"/>
          </w:tcPr>
          <w:p>
            <w:pPr>
              <w:pStyle w:val="TableContents"/>
              <w:spacing w:before="0" w:after="0"/>
              <w:ind w:left="0" w:right="0" w:hanging="0"/>
              <w:jc w:val="left"/>
              <w:rPr/>
            </w:pPr>
            <w:r>
              <w:rPr/>
              <w:t> </w:t>
            </w:r>
          </w:p>
        </w:tc>
        <w:tc>
          <w:tcPr>
            <w:tcW w:w="186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13,454</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11,420</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8,226</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6,471</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5,262</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minimum rental commitments</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65,051</w:t>
            </w:r>
          </w:p>
        </w:tc>
        <w:tc>
          <w:tcPr>
            <w:tcW w:w="291" w:type="dxa"/>
            <w:tcBorders/>
            <w:shd w:fill="auto" w:val="clear"/>
            <w:vAlign w:val="center"/>
          </w:tcPr>
          <w:p>
            <w:pPr>
              <w:pStyle w:val="TableContents"/>
              <w:spacing w:before="0" w:after="0"/>
              <w:ind w:left="0" w:right="0" w:firstLine="100"/>
              <w:jc w:val="left"/>
              <w:rPr/>
            </w:pPr>
            <w:r>
              <w:rPr/>
              <w:t> </w:t>
            </w:r>
          </w:p>
        </w:tc>
      </w:tr>
      <w:tr>
        <w:trPr/>
        <w:tc>
          <w:tcPr>
            <w:tcW w:w="37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54,093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serif" w:hAnsi="Times New Roman;serif"/>
          <w:b/>
          <w:i/>
          <w:sz w:val="20"/>
        </w:rPr>
      </w:pPr>
      <w:r>
        <w:rPr>
          <w:rFonts w:ascii="Times New Roman;serif" w:hAnsi="Times New Roman;serif"/>
          <w:b/>
          <w:i/>
          <w:sz w:val="20"/>
        </w:rPr>
        <w:t>Supplemental cash flows information</w:t>
      </w:r>
    </w:p>
    <w:p>
      <w:pPr>
        <w:pStyle w:val="TextBody"/>
        <w:spacing w:before="0" w:after="0"/>
        <w:jc w:val="left"/>
        <w:rPr/>
      </w:pPr>
      <w:r>
        <w:rPr/>
        <w:t> </w:t>
      </w:r>
    </w:p>
    <w:tbl>
      <w:tblPr>
        <w:tblW w:w="9387" w:type="dxa"/>
        <w:jc w:val="left"/>
        <w:tblInd w:w="0" w:type="dxa"/>
        <w:tblCellMar>
          <w:top w:w="28" w:type="dxa"/>
          <w:left w:w="28" w:type="dxa"/>
          <w:bottom w:w="28" w:type="dxa"/>
          <w:right w:w="28" w:type="dxa"/>
        </w:tblCellMar>
      </w:tblPr>
      <w:tblGrid>
        <w:gridCol w:w="5866"/>
        <w:gridCol w:w="146"/>
        <w:gridCol w:w="321"/>
        <w:gridCol w:w="1029"/>
        <w:gridCol w:w="222"/>
        <w:gridCol w:w="222"/>
        <w:gridCol w:w="321"/>
        <w:gridCol w:w="869"/>
        <w:gridCol w:w="391"/>
      </w:tblGrid>
      <w:tr>
        <w:trPr/>
        <w:tc>
          <w:tcPr>
            <w:tcW w:w="5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center"/>
              <w:rPr/>
            </w:pPr>
            <w:r>
              <w:rPr/>
              <w:t> </w:t>
            </w:r>
          </w:p>
        </w:tc>
        <w:tc>
          <w:tcPr>
            <w:tcW w:w="11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119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3,374</w:t>
            </w:r>
          </w:p>
        </w:tc>
        <w:tc>
          <w:tcPr>
            <w:tcW w:w="22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3,194</w:t>
            </w:r>
          </w:p>
        </w:tc>
        <w:tc>
          <w:tcPr>
            <w:tcW w:w="391" w:type="dxa"/>
            <w:tcBorders/>
            <w:shd w:fill="auto" w:val="clear"/>
            <w:vAlign w:val="center"/>
          </w:tcPr>
          <w:p>
            <w:pPr>
              <w:pStyle w:val="TableContents"/>
              <w:spacing w:before="0" w:after="0"/>
              <w:ind w:left="0" w:right="0" w:firstLine="200"/>
              <w:jc w:val="left"/>
              <w:rPr/>
            </w:pPr>
            <w:r>
              <w:rPr/>
              <w:t> </w:t>
            </w:r>
          </w:p>
        </w:tc>
      </w:tr>
      <w:tr>
        <w:trPr/>
        <w:tc>
          <w:tcPr>
            <w:tcW w:w="5866"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119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lease obligations:</w:t>
            </w:r>
          </w:p>
        </w:tc>
        <w:tc>
          <w:tcPr>
            <w:tcW w:w="146" w:type="dxa"/>
            <w:tcBorders/>
            <w:shd w:fill="auto" w:val="clear"/>
            <w:vAlign w:val="center"/>
          </w:tcPr>
          <w:p>
            <w:pPr>
              <w:pStyle w:val="TableContents"/>
              <w:spacing w:before="0" w:after="0"/>
              <w:ind w:left="0" w:right="0" w:hanging="0"/>
              <w:jc w:val="left"/>
              <w:rPr/>
            </w:pPr>
            <w:r>
              <w:rPr/>
              <w:t> </w:t>
            </w:r>
          </w:p>
        </w:tc>
        <w:tc>
          <w:tcPr>
            <w:tcW w:w="1350" w:type="dxa"/>
            <w:gridSpan w:val="2"/>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119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10,836</w:t>
            </w:r>
          </w:p>
        </w:tc>
        <w:tc>
          <w:tcPr>
            <w:tcW w:w="222"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righ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9,199</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9</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4. Goodwill and Intangible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the goodwill and related adjustments is provided below:</w:t>
      </w:r>
    </w:p>
    <w:p>
      <w:pPr>
        <w:pStyle w:val="TextBody"/>
        <w:spacing w:before="0" w:after="0"/>
        <w:jc w:val="left"/>
        <w:rPr/>
      </w:pPr>
      <w:r>
        <w:rPr/>
        <w:t> </w:t>
      </w:r>
    </w:p>
    <w:tbl>
      <w:tblPr>
        <w:tblW w:w="9020" w:type="dxa"/>
        <w:jc w:val="left"/>
        <w:tblInd w:w="0" w:type="dxa"/>
        <w:tblCellMar>
          <w:top w:w="28" w:type="dxa"/>
          <w:left w:w="28" w:type="dxa"/>
          <w:bottom w:w="28" w:type="dxa"/>
          <w:right w:w="28" w:type="dxa"/>
        </w:tblCellMar>
      </w:tblPr>
      <w:tblGrid>
        <w:gridCol w:w="3796"/>
        <w:gridCol w:w="146"/>
        <w:gridCol w:w="211"/>
        <w:gridCol w:w="781"/>
        <w:gridCol w:w="146"/>
        <w:gridCol w:w="146"/>
        <w:gridCol w:w="242"/>
        <w:gridCol w:w="898"/>
        <w:gridCol w:w="146"/>
        <w:gridCol w:w="146"/>
        <w:gridCol w:w="211"/>
        <w:gridCol w:w="676"/>
        <w:gridCol w:w="146"/>
        <w:gridCol w:w="146"/>
        <w:gridCol w:w="211"/>
        <w:gridCol w:w="781"/>
        <w:gridCol w:w="19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Hospice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Personal Care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Home</w:t>
              <w:br/>
              <w:t>Health</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8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582,837</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for acquisition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previously recorded 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as of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583,972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January 1, 2023, the Company completed its acquisition of Coastal Nursecare of Florida, Inc. (“CareStaff”) for approximately $1.0</w:t>
      </w:r>
      <w:r>
        <w:rPr>
          <w:rFonts w:ascii="Times New Roman" w:hAnsi="Times New Roman"/>
          <w:sz w:val="20"/>
        </w:rPr>
        <w:t xml:space="preserve"> </w:t>
      </w:r>
      <w:r>
        <w:rPr>
          <w:rFonts w:ascii="Times New Roman;serif" w:hAnsi="Times New Roman;serif"/>
          <w:b w:val="false"/>
          <w:sz w:val="20"/>
        </w:rPr>
        <w:t>million. With the purchase of CareStaff, the Company expanded its personal care services segment in Florida. In connection with the CareStaff acquisition, the Company recognized goodwill in its personal care segment of $0.6</w:t>
      </w:r>
      <w:r>
        <w:rPr>
          <w:rFonts w:ascii="Times New Roman" w:hAnsi="Times New Roman"/>
          <w:sz w:val="20"/>
        </w:rPr>
        <w:t xml:space="preserve"> </w:t>
      </w:r>
      <w:r>
        <w:rPr>
          <w:rFonts w:ascii="Times New Roman;serif" w:hAnsi="Times New Roman;serif"/>
          <w:b w:val="false"/>
          <w:sz w:val="20"/>
        </w:rPr>
        <w:t>million during the three months ended March 31,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w:t>
      </w:r>
      <w:r>
        <w:rPr>
          <w:rFonts w:ascii="Times New Roman" w:hAnsi="Times New Roman"/>
          <w:sz w:val="20"/>
        </w:rPr>
        <w:t xml:space="preserve"> </w:t>
      </w:r>
      <w:r>
        <w:rPr>
          <w:rFonts w:ascii="Times New Roman;serif" w:hAnsi="Times New Roman;serif"/>
          <w:b w:val="false"/>
          <w:sz w:val="20"/>
        </w:rPr>
        <w:t>to twenty-five years. Customer and referral relationships are amortized systematically over the periods of expected economic benefit, which range from five</w:t>
      </w:r>
      <w:r>
        <w:rPr>
          <w:rFonts w:ascii="Times New Roman" w:hAnsi="Times New Roman"/>
          <w:sz w:val="20"/>
        </w:rPr>
        <w:t xml:space="preserve"> </w:t>
      </w:r>
      <w:r>
        <w:rPr>
          <w:rFonts w:ascii="Times New Roman;serif" w:hAnsi="Times New Roman;serif"/>
          <w:b w:val="false"/>
          <w:sz w:val="20"/>
        </w:rPr>
        <w:t>to ten 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carrying amount and accumulated amortization of each identifiable intangible asset category consisted of the following as of March 31, 2023:</w:t>
      </w:r>
    </w:p>
    <w:p>
      <w:pPr>
        <w:pStyle w:val="TextBody"/>
        <w:spacing w:before="0" w:after="0"/>
        <w:jc w:val="left"/>
        <w:rPr/>
      </w:pPr>
      <w:r>
        <w:rPr/>
        <w:t> </w:t>
      </w:r>
    </w:p>
    <w:tbl>
      <w:tblPr>
        <w:tblW w:w="10149" w:type="dxa"/>
        <w:jc w:val="left"/>
        <w:tblInd w:w="0" w:type="dxa"/>
        <w:tblCellMar>
          <w:top w:w="28" w:type="dxa"/>
          <w:left w:w="28" w:type="dxa"/>
          <w:bottom w:w="28" w:type="dxa"/>
          <w:right w:w="28" w:type="dxa"/>
        </w:tblCellMar>
      </w:tblPr>
      <w:tblGrid>
        <w:gridCol w:w="3736"/>
        <w:gridCol w:w="146"/>
        <w:gridCol w:w="227"/>
        <w:gridCol w:w="794"/>
        <w:gridCol w:w="166"/>
        <w:gridCol w:w="146"/>
        <w:gridCol w:w="211"/>
        <w:gridCol w:w="736"/>
        <w:gridCol w:w="166"/>
        <w:gridCol w:w="146"/>
        <w:gridCol w:w="240"/>
        <w:gridCol w:w="721"/>
        <w:gridCol w:w="166"/>
        <w:gridCol w:w="146"/>
        <w:gridCol w:w="211"/>
        <w:gridCol w:w="676"/>
        <w:gridCol w:w="166"/>
        <w:gridCol w:w="146"/>
        <w:gridCol w:w="211"/>
        <w:gridCol w:w="781"/>
        <w:gridCol w:w="21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Customer</w:t>
              <w:br/>
              <w:t>and referral</w:t>
              <w:br/>
              <w:t>relationships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Trade</w:t>
              <w:br/>
              <w:t>names and</w:t>
              <w:br/>
              <w:t>trademarks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w:t>
              <w:br/>
              <w:t>competition</w:t>
              <w:br/>
              <w:t>agreements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w:t>
              <w:br/>
              <w:t>Licenses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6"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with indefinite lives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27,108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27,108</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amount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116,174</w:t>
            </w:r>
          </w:p>
        </w:tc>
        <w:tc>
          <w:tcPr>
            <w:tcW w:w="21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(72,678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 net</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43,496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 at March 31, 2023</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70,604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Amortization expense related to the intangible assets was $1.7</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r>
        <w:rPr>
          <w:rFonts w:ascii="Times New Roman;serif" w:hAnsi="Times New Roman;serif"/>
          <w:b w:val="false"/>
          <w:sz w:val="20"/>
        </w:rPr>
        <w:t>The weighted average remaining useful lives of identifiable intangible assets as of March 31, 2023 was 9.7</w:t>
      </w:r>
      <w:r>
        <w:rPr>
          <w:rFonts w:ascii="Times New Roman" w:hAnsi="Times New Roman"/>
          <w:sz w:val="20"/>
        </w:rPr>
        <w:t xml:space="preserve"> </w:t>
      </w:r>
      <w:r>
        <w:rPr>
          <w:rFonts w:ascii="Times New Roman;serif" w:hAnsi="Times New Roman;serif"/>
          <w:b w:val="false"/>
          <w:sz w:val="20"/>
        </w:rPr>
        <w:t>years.</w:t>
      </w:r>
    </w:p>
    <w:p>
      <w:pPr>
        <w:pStyle w:val="TextBody"/>
        <w:spacing w:before="360" w:after="0"/>
        <w:jc w:val="left"/>
        <w:rPr>
          <w:rFonts w:ascii="Times New Roman;serif" w:hAnsi="Times New Roman;serif"/>
          <w:b/>
          <w:sz w:val="20"/>
        </w:rPr>
      </w:pPr>
      <w:r>
        <w:rPr>
          <w:rFonts w:ascii="Times New Roman;serif" w:hAnsi="Times New Roman;serif"/>
          <w:b/>
          <w:sz w:val="20"/>
        </w:rPr>
        <w:t>5. Details of Certain Balance Sheet Accounts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consisted of the following:</w:t>
      </w:r>
    </w:p>
    <w:p>
      <w:pPr>
        <w:pStyle w:val="TextBody"/>
        <w:spacing w:before="0" w:after="0"/>
        <w:jc w:val="left"/>
        <w:rPr/>
      </w:pPr>
      <w:r>
        <w:rPr/>
        <w:t> </w:t>
      </w:r>
    </w:p>
    <w:tbl>
      <w:tblPr>
        <w:tblW w:w="7890" w:type="dxa"/>
        <w:jc w:val="left"/>
        <w:tblInd w:w="0" w:type="dxa"/>
        <w:tblCellMar>
          <w:top w:w="28" w:type="dxa"/>
          <w:left w:w="28" w:type="dxa"/>
          <w:bottom w:w="28" w:type="dxa"/>
          <w:right w:w="28" w:type="dxa"/>
        </w:tblCellMar>
      </w:tblPr>
      <w:tblGrid>
        <w:gridCol w:w="4501"/>
        <w:gridCol w:w="146"/>
        <w:gridCol w:w="299"/>
        <w:gridCol w:w="961"/>
        <w:gridCol w:w="146"/>
        <w:gridCol w:w="146"/>
        <w:gridCol w:w="357"/>
        <w:gridCol w:w="1143"/>
        <w:gridCol w:w="191"/>
      </w:tblGrid>
      <w:tr>
        <w:trPr/>
        <w:tc>
          <w:tcPr>
            <w:tcW w:w="4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payroll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7,566</w:t>
            </w:r>
          </w:p>
        </w:tc>
        <w:tc>
          <w:tcPr>
            <w:tcW w:w="19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workers' compensation and liability insurance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3,399</w:t>
            </w:r>
          </w:p>
        </w:tc>
        <w:tc>
          <w:tcPr>
            <w:tcW w:w="19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Licensing fees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3,722</w:t>
            </w:r>
          </w:p>
        </w:tc>
        <w:tc>
          <w:tcPr>
            <w:tcW w:w="19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Workers' compensation insurance receivable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9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10</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Accrued expenses consisted of the following:</w:t>
      </w:r>
    </w:p>
    <w:p>
      <w:pPr>
        <w:pStyle w:val="TextBody"/>
        <w:spacing w:before="0" w:after="0"/>
        <w:jc w:val="left"/>
        <w:rPr/>
      </w:pPr>
      <w:r>
        <w:rPr/>
        <w:t> </w:t>
      </w:r>
    </w:p>
    <w:tbl>
      <w:tblPr>
        <w:tblW w:w="6090" w:type="dxa"/>
        <w:jc w:val="left"/>
        <w:tblInd w:w="0" w:type="dxa"/>
        <w:tblCellMar>
          <w:top w:w="28" w:type="dxa"/>
          <w:left w:w="28" w:type="dxa"/>
          <w:bottom w:w="28" w:type="dxa"/>
          <w:right w:w="28" w:type="dxa"/>
        </w:tblCellMar>
      </w:tblPr>
      <w:tblGrid>
        <w:gridCol w:w="2701"/>
        <w:gridCol w:w="146"/>
        <w:gridCol w:w="299"/>
        <w:gridCol w:w="961"/>
        <w:gridCol w:w="146"/>
        <w:gridCol w:w="146"/>
        <w:gridCol w:w="357"/>
        <w:gridCol w:w="1143"/>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health insurance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5,152</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Payor advances</w:t>
            </w:r>
            <w:r>
              <w:rPr>
                <w:rFonts w:ascii="Times New Roman" w:hAnsi="Times New Roman"/>
                <w:sz w:val="20"/>
              </w:rPr>
              <w:t>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4,473</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3,576</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other taxes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6,175</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160"/>
        <w:jc w:val="left"/>
        <w:rPr>
          <w:rFonts w:ascii="Times New Roman" w:hAnsi="Times New Roman"/>
          <w:b w:val="false"/>
          <w:sz w:val="18"/>
        </w:rPr>
      </w:pPr>
      <w:r>
        <w:rPr>
          <w:rFonts w:ascii="Times New Roman" w:hAnsi="Times New Roman"/>
          <w:b w:val="false"/>
          <w:sz w:val="18"/>
        </w:rPr>
        <w:t>(1)</w:t>
      </w:r>
    </w:p>
    <w:p>
      <w:pPr>
        <w:pStyle w:val="TextBody"/>
        <w:spacing w:before="0" w:after="160"/>
        <w:jc w:val="left"/>
        <w:rPr>
          <w:rFonts w:ascii="Times New Roman;serif" w:hAnsi="Times New Roman;serif"/>
          <w:b w:val="false"/>
          <w:sz w:val="18"/>
        </w:rPr>
      </w:pPr>
      <w:r>
        <w:rPr>
          <w:rFonts w:ascii="Times New Roman;serif" w:hAnsi="Times New Roman;serif"/>
          <w:b w:val="false"/>
          <w:sz w:val="18"/>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6. Government Actions to Mitigate COVID-19’s Impact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2020, the World Health Organization declared the novel coronavirus (“COVID-19”) outbreak a global pandemic. The COVID-19 pandemic continues to cause disruption in the economy, in terms of increased costs and disruptions in the labor market. Although vaccines and booster shots for the COVID-19 virus have become widely available in the United States, COVID-19 has continued to result in a significant number of hospitalizations, and the future course of the pandemic remains uncertain, particularly due to the spread of COVID-19 variants. We will continue to closely monitor the impact of COVID-19 on all aspects of our business, including the impacts to our employees, patients and suppliers.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Coronavirus Aid, Relief, and Economic Security Act ("CARES Act"), which was expanded by the Paycheck Protection Program and Health Care Enhancement (“PPPHCE”) Act, and the Consolidated Appropriations Act (“CAA”). Another relief package with numerous provisions that affect healthcare providers is the American Rescue Plan Act of 2021 (“ARPA”).</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ARPA Spending Plans</w:t>
      </w:r>
    </w:p>
    <w:p>
      <w:pPr>
        <w:pStyle w:val="TextBody"/>
        <w:spacing w:before="120" w:after="0"/>
        <w:jc w:val="left"/>
        <w:rPr>
          <w:rFonts w:ascii="Times New Roman" w:hAnsi="Times New Roman"/>
          <w:sz w:val="20"/>
        </w:rPr>
      </w:pPr>
      <w:r>
        <w:rPr>
          <w:rFonts w:ascii="Times New Roman;serif" w:hAnsi="Times New Roman;serif"/>
          <w:b w:val="false"/>
          <w:sz w:val="20"/>
        </w:rPr>
        <w:t>ARPA provides for $350</w:t>
      </w:r>
      <w:r>
        <w:rPr>
          <w:rFonts w:ascii="Times New Roman" w:hAnsi="Times New Roman"/>
          <w:sz w:val="20"/>
        </w:rPr>
        <w:t xml:space="preserve"> </w:t>
      </w:r>
      <w:r>
        <w:rPr>
          <w:rFonts w:ascii="Times New Roman;serif" w:hAnsi="Times New Roman;serif"/>
          <w:b w:val="false"/>
          <w:sz w:val="20"/>
        </w:rPr>
        <w:t>billion in relief funding for eligible state, local, territorial, and Tribal governments to mitigate the fiscal effects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HCBS spending plans for the additional matching funds vary by state, but common initiatives in which the Company is participating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three months ended March 31, 2023, the Company received state funding provided by the ARPA in an aggregate amount of $0.4</w:t>
      </w:r>
      <w:r>
        <w:rPr>
          <w:rFonts w:ascii="Times New Roman" w:hAnsi="Times New Roman"/>
          <w:sz w:val="20"/>
        </w:rPr>
        <w:t xml:space="preserve"> </w:t>
      </w:r>
      <w:r>
        <w:rPr>
          <w:rFonts w:ascii="Times New Roman;serif" w:hAnsi="Times New Roman;serif"/>
          <w:b w:val="false"/>
          <w:sz w:val="20"/>
        </w:rPr>
        <w:t>million. The Company did not record revenue and related costs of service revenue during the three months ended March 31, 2023, because revenue recognition criteria were not met. The Company deferred the remaining $11.0</w:t>
      </w:r>
      <w:r>
        <w:rPr>
          <w:rFonts w:ascii="Times New Roman" w:hAnsi="Times New Roman"/>
          <w:sz w:val="20"/>
        </w:rPr>
        <w:t xml:space="preserve"> </w:t>
      </w:r>
      <w:r>
        <w:rPr>
          <w:rFonts w:ascii="Times New Roman;serif" w:hAnsi="Times New Roman;serif"/>
          <w:b w:val="false"/>
          <w:sz w:val="20"/>
        </w:rPr>
        <w:t>million, which was received from states with specific spending plans and reporting requirements. The Company utilized $2.4</w:t>
      </w:r>
      <w:r>
        <w:rPr>
          <w:rFonts w:ascii="Times New Roman" w:hAnsi="Times New Roman"/>
          <w:sz w:val="20"/>
        </w:rPr>
        <w:t xml:space="preserve"> </w:t>
      </w:r>
      <w:r>
        <w:rPr>
          <w:rFonts w:ascii="Times New Roman;serif" w:hAnsi="Times New Roman;serif"/>
          <w:b w:val="false"/>
          <w:sz w:val="20"/>
        </w:rPr>
        <w:t>million of these funds during the three months ended March 31, 2023, primarily for caregivers and adding support to recruiting and retention efforts, included as a reduction of cost of service revenues in the Company’s Unaudited Condensed Consolidated Statements of Income. As of March 31, 2023, the deferred portion of ARPA funding of $11.0</w:t>
      </w:r>
      <w:r>
        <w:rPr>
          <w:rFonts w:ascii="Times New Roman" w:hAnsi="Times New Roman"/>
          <w:sz w:val="20"/>
        </w:rPr>
        <w:t xml:space="preserve"> </w:t>
      </w:r>
      <w:r>
        <w:rPr>
          <w:rFonts w:ascii="Times New Roman;serif" w:hAnsi="Times New Roman;serif"/>
          <w:b w:val="false"/>
          <w:sz w:val="20"/>
        </w:rPr>
        <w:t>million is included within Government stimulus advances on the Company’s Unaudited Condensed Consolidated Balance Sheets.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Medicare sequester</w:t>
      </w:r>
    </w:p>
    <w:p>
      <w:pPr>
        <w:pStyle w:val="TextBody"/>
        <w:spacing w:before="120" w:after="0"/>
        <w:jc w:val="left"/>
        <w:rPr>
          <w:rFonts w:ascii="Times New Roman" w:hAnsi="Times New Roman"/>
          <w:sz w:val="20"/>
        </w:rPr>
      </w:pPr>
      <w:r>
        <w:rPr>
          <w:rFonts w:ascii="Times New Roman;serif" w:hAnsi="Times New Roman;serif"/>
          <w:b w:val="false"/>
          <w:sz w:val="20"/>
        </w:rPr>
        <w:t>The CARES Act and related laws temporarily lifted the Medicare sequester which would have otherwise reduced payments to Medicare providers by 2%, as required by the Budget Control Act of 2011, from May 1, 2020, through March 31, 2022. The sequestration payment</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11</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adjustment was phased back in with a 1% reduction beginning April 1, 2022, and returned to 2% on July 1, 2022. These sequestration cuts have been extended through 2032.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ARPA increases the federal budget deficit in a manner that triggers an additional statutorily mandated sequestration under the Pay-</w:t>
      </w:r>
    </w:p>
    <w:p>
      <w:pPr>
        <w:pStyle w:val="TextBody"/>
        <w:spacing w:before="0" w:after="0"/>
        <w:jc w:val="left"/>
        <w:rPr>
          <w:rFonts w:ascii="Times New Roman" w:hAnsi="Times New Roman"/>
          <w:sz w:val="20"/>
        </w:rPr>
      </w:pPr>
      <w:r>
        <w:rPr>
          <w:rFonts w:ascii="Times New Roman;serif" w:hAnsi="Times New Roman;serif"/>
          <w:b w:val="false"/>
          <w:sz w:val="20"/>
        </w:rPr>
        <w:t>As-You-Go Act of 2010 (“PAYGO Act”). As a result, an additional Medicare payment reduction of up to 4% was required to take effect in January 2022. However, Congress delayed implementation of this payment reduction until 2025.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hospice segment, Medicare sequester relief resulted in an increase in net service revenues of $0.0</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In the home health segment, Medicare sequester relief resulted in an increase in net service revenues of $0.0</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360" w:after="0"/>
        <w:jc w:val="left"/>
        <w:rPr>
          <w:rFonts w:ascii="Times New Roman;serif" w:hAnsi="Times New Roman;serif"/>
          <w:b/>
          <w:sz w:val="20"/>
        </w:rPr>
      </w:pPr>
      <w:r>
        <w:rPr>
          <w:rFonts w:ascii="Times New Roman;serif" w:hAnsi="Times New Roman;serif"/>
          <w:b/>
          <w:sz w:val="20"/>
        </w:rPr>
        <w:t>7. Long-Term Debt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Long-term debt consisted of the following:</w:t>
      </w:r>
    </w:p>
    <w:p>
      <w:pPr>
        <w:pStyle w:val="TextBody"/>
        <w:spacing w:before="0" w:after="0"/>
        <w:jc w:val="left"/>
        <w:rPr/>
      </w:pPr>
      <w:r>
        <w:rPr/>
        <w:t> </w:t>
      </w:r>
    </w:p>
    <w:tbl>
      <w:tblPr>
        <w:tblW w:w="6775" w:type="dxa"/>
        <w:jc w:val="left"/>
        <w:tblInd w:w="0" w:type="dxa"/>
        <w:tblCellMar>
          <w:top w:w="28" w:type="dxa"/>
          <w:left w:w="28" w:type="dxa"/>
          <w:bottom w:w="28" w:type="dxa"/>
          <w:right w:w="28" w:type="dxa"/>
        </w:tblCellMar>
      </w:tblPr>
      <w:tblGrid>
        <w:gridCol w:w="3346"/>
        <w:gridCol w:w="146"/>
        <w:gridCol w:w="268"/>
        <w:gridCol w:w="992"/>
        <w:gridCol w:w="166"/>
        <w:gridCol w:w="146"/>
        <w:gridCol w:w="319"/>
        <w:gridCol w:w="1181"/>
        <w:gridCol w:w="21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loan under the credit facility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134,853</w:t>
            </w:r>
          </w:p>
        </w:tc>
        <w:tc>
          <w:tcPr>
            <w:tcW w:w="211" w:type="dxa"/>
            <w:tcBorders/>
            <w:shd w:fill="auto" w:val="clear"/>
            <w:vAlign w:val="center"/>
          </w:tcPr>
          <w:p>
            <w:pPr>
              <w:pStyle w:val="TableContents"/>
              <w:spacing w:before="0" w:after="0"/>
              <w:ind w:left="0" w:right="0" w:hanging="0"/>
              <w:jc w:val="left"/>
              <w:rPr/>
            </w:pPr>
            <w:r>
              <w:rPr/>
              <w:t> </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108,487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131,772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serif" w:hAnsi="Times New Roman;serif"/>
          <w:b/>
          <w:i/>
          <w:sz w:val="20"/>
        </w:rPr>
      </w:pPr>
      <w:r>
        <w:rPr>
          <w:rFonts w:ascii="Times New Roman;serif" w:hAnsi="Times New Roman;serif"/>
          <w:b/>
          <w:i/>
          <w:sz w:val="20"/>
        </w:rPr>
        <w:t>Amended and Restated Senior Secured Credit Facility</w:t>
      </w:r>
    </w:p>
    <w:p>
      <w:pPr>
        <w:pStyle w:val="TextBody"/>
        <w:spacing w:before="120" w:after="0"/>
        <w:jc w:val="left"/>
        <w:rPr>
          <w:rFonts w:ascii="Times New Roman" w:hAnsi="Times New Roman"/>
          <w:sz w:val="20"/>
        </w:rPr>
      </w:pPr>
      <w:r>
        <w:rPr>
          <w:rFonts w:ascii="Times New Roman;serif" w:hAnsi="Times New Roman;serif"/>
          <w:b w:val="false"/>
          <w:sz w:val="20"/>
        </w:rPr>
        <w:t>On October 31, 2018, the Company entered into the Amended and Restated Credit Agreement, dated as of October 31, 2018, with certain lenders and Capital One, National Association, as a lender and as agent for all lenders, as amended by the First Amendment to Amended and Restated Credit Agreement, dated as of September 12, 2019, and as further amended by the Second Amendment to Amended and Restated Credit Agreement, dated as of July 30, 2021 (as amended, the “Credit Agreement”; as used throughout this Quarterly Report on Form 10-Q, “credit facility” shall mean the credit facility evidenced by the Credit Agreement). The credit facility consists of a $600.0</w:t>
      </w:r>
      <w:r>
        <w:rPr>
          <w:rFonts w:ascii="Times New Roman" w:hAnsi="Times New Roman"/>
          <w:sz w:val="20"/>
        </w:rPr>
        <w:t xml:space="preserve"> </w:t>
      </w:r>
      <w:r>
        <w:rPr>
          <w:rFonts w:ascii="Times New Roman;serif" w:hAnsi="Times New Roman;serif"/>
          <w:b w:val="false"/>
          <w:sz w:val="20"/>
        </w:rPr>
        <w:t>million revolving credit facility and a $125.0</w:t>
      </w:r>
      <w:r>
        <w:rPr>
          <w:rFonts w:ascii="Times New Roman" w:hAnsi="Times New Roman"/>
          <w:sz w:val="20"/>
        </w:rPr>
        <w:t xml:space="preserve"> </w:t>
      </w:r>
      <w:r>
        <w:rPr>
          <w:rFonts w:ascii="Times New Roman;serif" w:hAnsi="Times New Roman;serif"/>
          <w:b w:val="false"/>
          <w:sz w:val="20"/>
        </w:rPr>
        <w:t>million incremental loan facility, which incremental loan facility may be for term loans or an increase to the revolving loan commitments. The maturity of this credit facility is July 30, 2026.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12</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pays a fee ranging from 0.20% to 0.35% based on the applicable senior net leverage ratio times the unused portion of the revolving loan portion of the credit facility.</w:t>
      </w:r>
    </w:p>
    <w:p>
      <w:pPr>
        <w:pStyle w:val="TextBody"/>
        <w:spacing w:before="240" w:after="0"/>
        <w:jc w:val="left"/>
        <w:rPr>
          <w:rFonts w:ascii="Times New Roman" w:hAnsi="Times New Roman"/>
          <w:sz w:val="20"/>
        </w:rPr>
      </w:pPr>
      <w:r>
        <w:rPr>
          <w:rFonts w:ascii="Times New Roman;serif" w:hAnsi="Times New Roman;serif"/>
          <w:b w:val="false"/>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w:t>
      </w:r>
      <w:r>
        <w:rPr>
          <w:rFonts w:ascii="Times New Roman" w:hAnsi="Times New Roman"/>
          <w:sz w:val="20"/>
        </w:rPr>
        <w:t xml:space="preserve"> </w:t>
      </w:r>
      <w:r>
        <w:rPr>
          <w:rFonts w:ascii="Times New Roman;serif" w:hAnsi="Times New Roman;serif"/>
          <w:b w:val="false"/>
          <w:sz w:val="20"/>
        </w:rPr>
        <w:t>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 did not draw on its credit facility and repaid $23.5</w:t>
      </w:r>
      <w:r>
        <w:rPr>
          <w:rFonts w:ascii="Times New Roman" w:hAnsi="Times New Roman"/>
          <w:sz w:val="20"/>
        </w:rPr>
        <w:t xml:space="preserve"> </w:t>
      </w:r>
      <w:r>
        <w:rPr>
          <w:rFonts w:ascii="Times New Roman;serif" w:hAnsi="Times New Roman;serif"/>
          <w:b w:val="false"/>
          <w:sz w:val="20"/>
        </w:rPr>
        <w:t>million under the revolving credit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At March 31, 2023, the Company had a total of $111.4</w:t>
      </w:r>
      <w:r>
        <w:rPr>
          <w:rFonts w:ascii="Times New Roman" w:hAnsi="Times New Roman"/>
          <w:sz w:val="20"/>
        </w:rPr>
        <w:t xml:space="preserve"> </w:t>
      </w:r>
      <w:r>
        <w:rPr>
          <w:rFonts w:ascii="Times New Roman;serif" w:hAnsi="Times New Roman;serif"/>
          <w:b w:val="false"/>
          <w:sz w:val="20"/>
        </w:rPr>
        <w:t>million of revolving loans, with an interest rate of 6.59%, outstanding on its credit facility. After giving effect to the amount drawn on its credit facility, approximately $8.0</w:t>
      </w:r>
      <w:r>
        <w:rPr>
          <w:rFonts w:ascii="Times New Roman" w:hAnsi="Times New Roman"/>
          <w:sz w:val="20"/>
        </w:rPr>
        <w:t xml:space="preserve"> </w:t>
      </w:r>
      <w:r>
        <w:rPr>
          <w:rFonts w:ascii="Times New Roman;serif" w:hAnsi="Times New Roman;serif"/>
          <w:b w:val="false"/>
          <w:sz w:val="20"/>
        </w:rPr>
        <w:t>million of outstanding letters of credit and borrowing limits based on an advance multiple of adjusted EBITDA (as defined in the Credit Agreement), the Company had $395.1</w:t>
      </w:r>
      <w:r>
        <w:rPr>
          <w:rFonts w:ascii="Times New Roman" w:hAnsi="Times New Roman"/>
          <w:sz w:val="20"/>
        </w:rPr>
        <w:t xml:space="preserve"> </w:t>
      </w:r>
      <w:r>
        <w:rPr>
          <w:rFonts w:ascii="Times New Roman;serif" w:hAnsi="Times New Roman;serif"/>
          <w:b w:val="false"/>
          <w:sz w:val="20"/>
        </w:rPr>
        <w:t>of capacity and $275.7</w:t>
      </w:r>
      <w:r>
        <w:rPr>
          <w:rFonts w:ascii="Times New Roman" w:hAnsi="Times New Roman"/>
          <w:sz w:val="20"/>
        </w:rPr>
        <w:t xml:space="preserve"> </w:t>
      </w:r>
      <w:r>
        <w:rPr>
          <w:rFonts w:ascii="Times New Roman;serif" w:hAnsi="Times New Roman;serif"/>
          <w:b w:val="false"/>
          <w:sz w:val="20"/>
        </w:rPr>
        <w:t>million available for borrowing under its credit facility.</w:t>
      </w:r>
      <w:r>
        <w:rPr>
          <w:rFonts w:ascii="Times New Roman" w:hAnsi="Times New Roman"/>
          <w:sz w:val="20"/>
        </w:rPr>
        <w:t xml:space="preserve"> </w:t>
      </w:r>
      <w:r>
        <w:rPr>
          <w:rFonts w:ascii="Times New Roman;serif" w:hAnsi="Times New Roman;serif"/>
          <w:b w:val="false"/>
          <w:sz w:val="20"/>
        </w:rPr>
        <w:t>As of December 31, 2022, the Company had a total of $134.9</w:t>
      </w:r>
      <w:r>
        <w:rPr>
          <w:rFonts w:ascii="Times New Roman" w:hAnsi="Times New Roman"/>
          <w:sz w:val="20"/>
        </w:rPr>
        <w:t xml:space="preserve"> </w:t>
      </w:r>
      <w:r>
        <w:rPr>
          <w:rFonts w:ascii="Times New Roman;serif" w:hAnsi="Times New Roman;serif"/>
          <w:b w:val="false"/>
          <w:sz w:val="20"/>
        </w:rPr>
        <w:t>million of revolving loans, with an interest rate of 6.13%, outstanding on its credit facility.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was in compliance with all financial covenants under the Credit Agreement.</w:t>
      </w:r>
    </w:p>
    <w:p>
      <w:pPr>
        <w:pStyle w:val="TextBody"/>
        <w:spacing w:before="360" w:after="0"/>
        <w:jc w:val="left"/>
        <w:rPr>
          <w:rFonts w:ascii="Times New Roman;serif" w:hAnsi="Times New Roman;serif"/>
          <w:b/>
          <w:sz w:val="20"/>
        </w:rPr>
      </w:pPr>
      <w:r>
        <w:rPr>
          <w:rFonts w:ascii="Times New Roman;serif" w:hAnsi="Times New Roman;serif"/>
          <w:b/>
          <w:sz w:val="20"/>
        </w:rPr>
        <w:t>8. Income Taxes</w:t>
      </w:r>
    </w:p>
    <w:p>
      <w:pPr>
        <w:pStyle w:val="TextBody"/>
        <w:spacing w:before="120" w:after="0"/>
        <w:jc w:val="left"/>
        <w:rPr>
          <w:rFonts w:ascii="Times New Roman" w:hAnsi="Times New Roman"/>
          <w:sz w:val="20"/>
        </w:rPr>
      </w:pPr>
      <w:r>
        <w:rPr>
          <w:rFonts w:ascii="Times New Roman;serif" w:hAnsi="Times New Roman;serif"/>
          <w:b w:val="false"/>
          <w:sz w:val="20"/>
        </w:rPr>
        <w:t>The effective income tax rates were 22.0%</w:t>
      </w:r>
      <w:r>
        <w:rPr>
          <w:rFonts w:ascii="Times New Roman" w:hAnsi="Times New Roman"/>
          <w:sz w:val="20"/>
        </w:rPr>
        <w:t xml:space="preserve"> </w:t>
      </w:r>
      <w:r>
        <w:rPr>
          <w:rFonts w:ascii="Times New Roman;serif" w:hAnsi="Times New Roman;serif"/>
          <w:b w:val="false"/>
          <w:sz w:val="20"/>
        </w:rPr>
        <w:t>and 27.9%</w:t>
      </w:r>
      <w:r>
        <w:rPr>
          <w:rFonts w:ascii="Times New Roman" w:hAnsi="Times New Roman"/>
          <w:sz w:val="20"/>
        </w:rPr>
        <w:t xml:space="preserve"> </w:t>
      </w:r>
      <w:r>
        <w:rPr>
          <w:rFonts w:ascii="Times New Roman;serif" w:hAnsi="Times New Roman;serif"/>
          <w:b w:val="false"/>
          <w:sz w:val="20"/>
        </w:rPr>
        <w:t>for the three months ended March 31, 2023 and 2022, respectively.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the difference between our federal statutory and effective income tax rates was principally due to the inclusion of state taxes and non-deductible compensation, partially offset by the use of federal employment tax credits and excess tax benefit. For the three months ended March 31, 2023 and 2022, the effective tax rates were inclusive of an excess tax benefit of 1.2% and an excess tax expense of 2.7%, respectively. The excess tax expense or benefit is a discrete item, related to the vesting of equity shares, which requires the Company to recognize the expense or benefit fully in the period. An excess tax expense results if the Company’s cumulative costs of the award recognized exceed the income tax deduction on the Unaudited Condensed Consolidated Statements of Income, whereas an excess tax benefit results if the Company’s cumulative costs of the award recognized are less than the income tax deduction on the Unaudited Condensed Consolidated Statements of Income.</w:t>
      </w:r>
    </w:p>
    <w:p>
      <w:pPr>
        <w:pStyle w:val="TextBody"/>
        <w:spacing w:before="360" w:after="0"/>
        <w:jc w:val="left"/>
        <w:rPr>
          <w:rFonts w:ascii="Times New Roman;serif" w:hAnsi="Times New Roman;serif"/>
          <w:b/>
          <w:sz w:val="20"/>
        </w:rPr>
      </w:pPr>
      <w:r>
        <w:rPr>
          <w:rFonts w:ascii="Times New Roman;serif" w:hAnsi="Times New Roman;serif"/>
          <w:b/>
          <w:sz w:val="20"/>
        </w:rPr>
        <w:t>9. 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is subject to legal and/or administrative proceedings incidental to its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June 2, 2021, the Company received a $6.5</w:t>
      </w:r>
      <w:r>
        <w:rPr>
          <w:rFonts w:ascii="Times New Roman" w:hAnsi="Times New Roman"/>
          <w:sz w:val="20"/>
        </w:rPr>
        <w:t xml:space="preserve"> </w:t>
      </w:r>
      <w:r>
        <w:rPr>
          <w:rFonts w:ascii="Times New Roman;serif" w:hAnsi="Times New Roman;serif"/>
          <w:b w:val="false"/>
          <w:sz w:val="20"/>
        </w:rPr>
        <w:t>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13</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It is the opinion of management that the outcome of pending legal and/or administrative proceedings will not have a material effect on the Company’s Unaudited Condensed Consolidated Balance Sheets and Unaudited Condensed Consolidated Statements of Income.</w:t>
      </w:r>
    </w:p>
    <w:p>
      <w:pPr>
        <w:pStyle w:val="TextBody"/>
        <w:spacing w:before="360" w:after="0"/>
        <w:jc w:val="left"/>
        <w:rPr>
          <w:rFonts w:ascii="Times New Roman;serif" w:hAnsi="Times New Roman;serif"/>
          <w:b/>
          <w:sz w:val="20"/>
        </w:rPr>
      </w:pPr>
      <w:r>
        <w:rPr>
          <w:rFonts w:ascii="Times New Roman;serif" w:hAnsi="Times New Roman;serif"/>
          <w:b/>
          <w:sz w:val="20"/>
        </w:rPr>
        <w:t>10. Segment Information</w:t>
      </w:r>
    </w:p>
    <w:p>
      <w:pPr>
        <w:pStyle w:val="TextBody"/>
        <w:spacing w:before="120" w:after="0"/>
        <w:jc w:val="left"/>
        <w:rPr>
          <w:rFonts w:ascii="Times New Roman" w:hAnsi="Times New Roman"/>
          <w:sz w:val="20"/>
        </w:rPr>
      </w:pPr>
      <w:r>
        <w:rPr>
          <w:rFonts w:ascii="Times New Roman;serif" w:hAnsi="Times New Roman;serif"/>
          <w:b w:val="false"/>
          <w:sz w:val="20"/>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w:t>
      </w:r>
      <w:r>
        <w:rPr>
          <w:rFonts w:ascii="Times New Roman" w:hAnsi="Times New Roman"/>
          <w:sz w:val="20"/>
        </w:rPr>
        <w:t xml:space="preserve"> </w:t>
      </w:r>
      <w:r>
        <w:rPr>
          <w:rFonts w:ascii="Times New Roman;serif" w:hAnsi="Times New Roman;serif"/>
          <w:b w:val="false"/>
          <w:sz w:val="20"/>
        </w:rPr>
        <w:t>distinct but related business segments providing in-home services.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pStyle w:val="TextBody"/>
        <w:spacing w:before="0" w:after="0"/>
        <w:jc w:val="left"/>
        <w:rPr/>
      </w:pPr>
      <w:r>
        <w:rPr/>
        <w:t> </w:t>
      </w:r>
    </w:p>
    <w:tbl>
      <w:tblPr>
        <w:tblW w:w="8733" w:type="dxa"/>
        <w:jc w:val="left"/>
        <w:tblInd w:w="0" w:type="dxa"/>
        <w:tblCellMar>
          <w:top w:w="28" w:type="dxa"/>
          <w:left w:w="28" w:type="dxa"/>
          <w:bottom w:w="28" w:type="dxa"/>
          <w:right w:w="28" w:type="dxa"/>
        </w:tblCellMar>
      </w:tblPr>
      <w:tblGrid>
        <w:gridCol w:w="3091"/>
        <w:gridCol w:w="146"/>
        <w:gridCol w:w="280"/>
        <w:gridCol w:w="1040"/>
        <w:gridCol w:w="146"/>
        <w:gridCol w:w="146"/>
        <w:gridCol w:w="211"/>
        <w:gridCol w:w="676"/>
        <w:gridCol w:w="146"/>
        <w:gridCol w:w="146"/>
        <w:gridCol w:w="292"/>
        <w:gridCol w:w="938"/>
        <w:gridCol w:w="146"/>
        <w:gridCol w:w="146"/>
        <w:gridCol w:w="211"/>
        <w:gridCol w:w="781"/>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Personal Care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Hospice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Home Health</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251,599</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173,184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78,415</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31,829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403" w:type="dxa"/>
        <w:jc w:val="left"/>
        <w:tblInd w:w="0" w:type="dxa"/>
        <w:tblCellMar>
          <w:top w:w="28" w:type="dxa"/>
          <w:left w:w="28" w:type="dxa"/>
          <w:bottom w:w="28" w:type="dxa"/>
          <w:right w:w="28" w:type="dxa"/>
        </w:tblCellMar>
      </w:tblPr>
      <w:tblGrid>
        <w:gridCol w:w="3091"/>
        <w:gridCol w:w="146"/>
        <w:gridCol w:w="242"/>
        <w:gridCol w:w="898"/>
        <w:gridCol w:w="146"/>
        <w:gridCol w:w="146"/>
        <w:gridCol w:w="211"/>
        <w:gridCol w:w="676"/>
        <w:gridCol w:w="146"/>
        <w:gridCol w:w="146"/>
        <w:gridCol w:w="291"/>
        <w:gridCol w:w="789"/>
        <w:gridCol w:w="146"/>
        <w:gridCol w:w="146"/>
        <w:gridCol w:w="211"/>
        <w:gridCol w:w="781"/>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Personal Care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Hospice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Home Health</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226,634</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70,186</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14</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tbl>
      <w:tblPr>
        <w:tblW w:w="6896" w:type="dxa"/>
        <w:jc w:val="left"/>
        <w:tblInd w:w="0" w:type="dxa"/>
        <w:tblCellMar>
          <w:top w:w="28" w:type="dxa"/>
          <w:left w:w="28" w:type="dxa"/>
          <w:bottom w:w="28" w:type="dxa"/>
          <w:right w:w="28" w:type="dxa"/>
        </w:tblCellMar>
      </w:tblPr>
      <w:tblGrid>
        <w:gridCol w:w="3556"/>
        <w:gridCol w:w="146"/>
        <w:gridCol w:w="302"/>
        <w:gridCol w:w="967"/>
        <w:gridCol w:w="237"/>
        <w:gridCol w:w="208"/>
        <w:gridCol w:w="302"/>
        <w:gridCol w:w="967"/>
        <w:gridCol w:w="21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 w:type="dxa"/>
            <w:tcBorders/>
            <w:shd w:fill="auto" w:val="clear"/>
            <w:vAlign w:val="center"/>
          </w:tcPr>
          <w:p>
            <w:pPr>
              <w:pStyle w:val="TableContents"/>
              <w:spacing w:before="0" w:after="0"/>
              <w:ind w:left="0" w:right="0" w:hanging="0"/>
              <w:jc w:val="center"/>
              <w:rPr/>
            </w:pPr>
            <w:r>
              <w:rPr/>
              <w:t> </w:t>
            </w:r>
          </w:p>
        </w:tc>
        <w:tc>
          <w:tcPr>
            <w:tcW w:w="12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reconciliation:</w:t>
            </w:r>
          </w:p>
        </w:tc>
        <w:tc>
          <w:tcPr>
            <w:tcW w:w="146"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46,586</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41,111</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Items not allocated at segment level:</w:t>
            </w:r>
          </w:p>
        </w:tc>
        <w:tc>
          <w:tcPr>
            <w:tcW w:w="146"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269"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24,531</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24,077</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3,447</w:t>
            </w:r>
          </w:p>
        </w:tc>
        <w:tc>
          <w:tcPr>
            <w:tcW w:w="237"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3,521</w:t>
            </w:r>
          </w:p>
        </w:tc>
        <w:tc>
          <w:tcPr>
            <w:tcW w:w="2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9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2,461</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16,253</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11,751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11. Significant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revenue by payor type was as follows:</w:t>
      </w:r>
    </w:p>
    <w:p>
      <w:pPr>
        <w:pStyle w:val="TextBody"/>
        <w:spacing w:before="0" w:after="0"/>
        <w:jc w:val="left"/>
        <w:rPr/>
      </w:pPr>
      <w:r>
        <w:rPr/>
        <w:t> </w:t>
      </w:r>
    </w:p>
    <w:tbl>
      <w:tblPr>
        <w:tblW w:w="9831" w:type="dxa"/>
        <w:jc w:val="left"/>
        <w:tblInd w:w="0" w:type="dxa"/>
        <w:tblCellMar>
          <w:top w:w="28" w:type="dxa"/>
          <w:left w:w="28" w:type="dxa"/>
          <w:bottom w:w="28" w:type="dxa"/>
          <w:right w:w="28" w:type="dxa"/>
        </w:tblCellMar>
      </w:tblPr>
      <w:tblGrid>
        <w:gridCol w:w="4066"/>
        <w:gridCol w:w="146"/>
        <w:gridCol w:w="1171"/>
        <w:gridCol w:w="146"/>
        <w:gridCol w:w="1126"/>
        <w:gridCol w:w="271"/>
        <w:gridCol w:w="146"/>
        <w:gridCol w:w="1171"/>
        <w:gridCol w:w="146"/>
        <w:gridCol w:w="1126"/>
        <w:gridCol w:w="316"/>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Personal Care Segment</w:t>
            </w:r>
          </w:p>
        </w:tc>
        <w:tc>
          <w:tcPr>
            <w:tcW w:w="146" w:type="dxa"/>
            <w:tcBorders/>
            <w:shd w:fill="auto" w:val="clear"/>
            <w:vAlign w:val="center"/>
          </w:tcPr>
          <w:p>
            <w:pPr>
              <w:pStyle w:val="TableContents"/>
              <w:spacing w:before="0" w:after="0"/>
              <w:ind w:left="0" w:right="0" w:hanging="0"/>
              <w:jc w:val="left"/>
              <w:rPr/>
            </w:pPr>
            <w:r>
              <w:rPr/>
              <w:t> </w:t>
            </w:r>
          </w:p>
        </w:tc>
        <w:tc>
          <w:tcPr>
            <w:tcW w:w="530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local and other governmental programs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$95,320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$83,908</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87,901</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77,390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pay</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4,626</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9486" w:type="dxa"/>
        <w:jc w:val="left"/>
        <w:tblInd w:w="0" w:type="dxa"/>
        <w:tblCellMar>
          <w:top w:w="28" w:type="dxa"/>
          <w:left w:w="28" w:type="dxa"/>
          <w:bottom w:w="28" w:type="dxa"/>
          <w:right w:w="28" w:type="dxa"/>
        </w:tblCellMar>
      </w:tblPr>
      <w:tblGrid>
        <w:gridCol w:w="3631"/>
        <w:gridCol w:w="146"/>
        <w:gridCol w:w="1216"/>
        <w:gridCol w:w="146"/>
        <w:gridCol w:w="1126"/>
        <w:gridCol w:w="271"/>
        <w:gridCol w:w="146"/>
        <w:gridCol w:w="1216"/>
        <w:gridCol w:w="146"/>
        <w:gridCol w:w="1126"/>
        <w:gridCol w:w="316"/>
      </w:tblGrid>
      <w:tr>
        <w:trPr/>
        <w:tc>
          <w:tcPr>
            <w:tcW w:w="3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Hospice Segment</w:t>
            </w:r>
          </w:p>
        </w:tc>
        <w:tc>
          <w:tcPr>
            <w:tcW w:w="146" w:type="dxa"/>
            <w:tcBorders/>
            <w:shd w:fill="auto" w:val="clear"/>
            <w:vAlign w:val="center"/>
          </w:tcPr>
          <w:p>
            <w:pPr>
              <w:pStyle w:val="TableContents"/>
              <w:spacing w:before="0" w:after="0"/>
              <w:ind w:left="0" w:right="0" w:hanging="0"/>
              <w:jc w:val="left"/>
              <w:rPr/>
            </w:pPr>
            <w:r>
              <w:rPr/>
              <w:t> </w:t>
            </w:r>
          </w:p>
        </w:tc>
        <w:tc>
          <w:tcPr>
            <w:tcW w:w="539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$44,556</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$43,485</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2,547</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1,647</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9861" w:type="dxa"/>
        <w:jc w:val="left"/>
        <w:tblInd w:w="0" w:type="dxa"/>
        <w:tblCellMar>
          <w:top w:w="28" w:type="dxa"/>
          <w:left w:w="28" w:type="dxa"/>
          <w:bottom w:w="28" w:type="dxa"/>
          <w:right w:w="28" w:type="dxa"/>
        </w:tblCellMar>
      </w:tblPr>
      <w:tblGrid>
        <w:gridCol w:w="4006"/>
        <w:gridCol w:w="146"/>
        <w:gridCol w:w="1216"/>
        <w:gridCol w:w="146"/>
        <w:gridCol w:w="1126"/>
        <w:gridCol w:w="271"/>
        <w:gridCol w:w="146"/>
        <w:gridCol w:w="1216"/>
        <w:gridCol w:w="146"/>
        <w:gridCol w:w="1126"/>
        <w:gridCol w:w="316"/>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Home Health Segment</w:t>
            </w:r>
          </w:p>
        </w:tc>
        <w:tc>
          <w:tcPr>
            <w:tcW w:w="146" w:type="dxa"/>
            <w:tcBorders/>
            <w:shd w:fill="auto" w:val="clear"/>
            <w:vAlign w:val="center"/>
          </w:tcPr>
          <w:p>
            <w:pPr>
              <w:pStyle w:val="TableContents"/>
              <w:spacing w:before="0" w:after="0"/>
              <w:ind w:left="0" w:right="0" w:hanging="0"/>
              <w:jc w:val="left"/>
              <w:rPr/>
            </w:pPr>
            <w:r>
              <w:rPr/>
              <w:t> </w:t>
            </w:r>
          </w:p>
        </w:tc>
        <w:tc>
          <w:tcPr>
            <w:tcW w:w="539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$6,812</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2,539</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1,904</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16"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15</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derives a significant amount of its revenue from its operations in Illinois, New Mexico and New York. The percentages of segment revenue for each of these significant states were as follows:</w:t>
      </w:r>
    </w:p>
    <w:p>
      <w:pPr>
        <w:pStyle w:val="TextBody"/>
        <w:spacing w:before="0" w:after="0"/>
        <w:jc w:val="left"/>
        <w:rPr/>
      </w:pPr>
      <w:r>
        <w:rPr/>
        <w:t> </w:t>
      </w:r>
    </w:p>
    <w:tbl>
      <w:tblPr>
        <w:tblW w:w="9921" w:type="dxa"/>
        <w:jc w:val="left"/>
        <w:tblInd w:w="0" w:type="dxa"/>
        <w:tblCellMar>
          <w:top w:w="28" w:type="dxa"/>
          <w:left w:w="28" w:type="dxa"/>
          <w:bottom w:w="28" w:type="dxa"/>
          <w:right w:w="28" w:type="dxa"/>
        </w:tblCellMar>
      </w:tblPr>
      <w:tblGrid>
        <w:gridCol w:w="4066"/>
        <w:gridCol w:w="146"/>
        <w:gridCol w:w="1216"/>
        <w:gridCol w:w="146"/>
        <w:gridCol w:w="1126"/>
        <w:gridCol w:w="271"/>
        <w:gridCol w:w="146"/>
        <w:gridCol w:w="1216"/>
        <w:gridCol w:w="146"/>
        <w:gridCol w:w="1126"/>
        <w:gridCol w:w="316"/>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Personal Care Segment</w:t>
            </w:r>
          </w:p>
        </w:tc>
        <w:tc>
          <w:tcPr>
            <w:tcW w:w="146" w:type="dxa"/>
            <w:tcBorders/>
            <w:shd w:fill="auto" w:val="clear"/>
            <w:vAlign w:val="center"/>
          </w:tcPr>
          <w:p>
            <w:pPr>
              <w:pStyle w:val="TableContents"/>
              <w:spacing w:before="0" w:after="0"/>
              <w:ind w:left="0" w:right="0" w:hanging="0"/>
              <w:jc w:val="left"/>
              <w:rPr/>
            </w:pPr>
            <w:r>
              <w:rPr/>
              <w:t> </w:t>
            </w:r>
          </w:p>
        </w:tc>
        <w:tc>
          <w:tcPr>
            <w:tcW w:w="539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$98,414</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$84,693</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28,474</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New York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21,885</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21,385</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Calibri;sans-serif" w:hAnsi="Calibri;sans-serif"/>
          <w:sz w:val="22"/>
        </w:rPr>
      </w:pPr>
      <w:r>
        <w:rPr>
          <w:rFonts w:ascii="Times New Roman;serif" w:hAnsi="Times New Roman;serif"/>
          <w:b w:val="false"/>
          <w:sz w:val="20"/>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submits an attestation and supporting information to the New York State Department of Health no later than November 29, 2022. The Company submitted an attestation on November 22, 2022. Under this provision, the Company is allowed to continue to contract with all of its current payors for CDPAP services, as of the contract award date, which was anticipated to be April 1, 2023. However, the New York State Department of Health has not yet awarded these contracts. The Company continues to assess the future of its participation in this program. Given the current profitability of the program, the Company has suspended materially all of its new fee-for-service patient admissions through County Social Service Departments in the CDPAP program.</w:t>
      </w:r>
      <w:r>
        <w:rPr>
          <w:rFonts w:ascii="Calibri;sans-serif" w:hAnsi="Calibri;sans-serif"/>
          <w:sz w:val="22"/>
        </w:rPr>
        <w:t xml:space="preserve"> </w:t>
      </w:r>
    </w:p>
    <w:p>
      <w:pPr>
        <w:pStyle w:val="TextBody"/>
        <w:spacing w:before="0" w:after="0"/>
        <w:jc w:val="left"/>
        <w:rPr/>
      </w:pPr>
      <w:r>
        <w:rPr/>
        <w:t> </w:t>
      </w:r>
    </w:p>
    <w:tbl>
      <w:tblPr>
        <w:tblW w:w="9216" w:type="dxa"/>
        <w:jc w:val="left"/>
        <w:tblInd w:w="0" w:type="dxa"/>
        <w:tblCellMar>
          <w:top w:w="28" w:type="dxa"/>
          <w:left w:w="28" w:type="dxa"/>
          <w:bottom w:w="28" w:type="dxa"/>
          <w:right w:w="28" w:type="dxa"/>
        </w:tblCellMar>
      </w:tblPr>
      <w:tblGrid>
        <w:gridCol w:w="3631"/>
        <w:gridCol w:w="146"/>
        <w:gridCol w:w="1171"/>
        <w:gridCol w:w="146"/>
        <w:gridCol w:w="1126"/>
        <w:gridCol w:w="271"/>
        <w:gridCol w:w="146"/>
        <w:gridCol w:w="1111"/>
        <w:gridCol w:w="146"/>
        <w:gridCol w:w="1006"/>
        <w:gridCol w:w="316"/>
      </w:tblGrid>
      <w:tr>
        <w:trPr/>
        <w:tc>
          <w:tcPr>
            <w:tcW w:w="3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Hospice Segment</w:t>
            </w:r>
          </w:p>
        </w:tc>
        <w:tc>
          <w:tcPr>
            <w:tcW w:w="146" w:type="dxa"/>
            <w:tcBorders/>
            <w:shd w:fill="auto" w:val="clear"/>
            <w:vAlign w:val="center"/>
          </w:tcPr>
          <w:p>
            <w:pPr>
              <w:pStyle w:val="TableContents"/>
              <w:spacing w:before="0" w:after="0"/>
              <w:ind w:left="0" w:right="0" w:hanging="0"/>
              <w:jc w:val="left"/>
              <w:rPr/>
            </w:pPr>
            <w:r>
              <w:rPr/>
              <w:t> </w:t>
            </w:r>
          </w:p>
        </w:tc>
        <w:tc>
          <w:tcPr>
            <w:tcW w:w="512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Ohio</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$18,451</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$16,328</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11,480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9,541</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6,486</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8,233</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9591" w:type="dxa"/>
        <w:jc w:val="left"/>
        <w:tblInd w:w="0" w:type="dxa"/>
        <w:tblCellMar>
          <w:top w:w="28" w:type="dxa"/>
          <w:left w:w="28" w:type="dxa"/>
          <w:bottom w:w="28" w:type="dxa"/>
          <w:right w:w="28" w:type="dxa"/>
        </w:tblCellMar>
      </w:tblPr>
      <w:tblGrid>
        <w:gridCol w:w="4006"/>
        <w:gridCol w:w="146"/>
        <w:gridCol w:w="1171"/>
        <w:gridCol w:w="146"/>
        <w:gridCol w:w="1126"/>
        <w:gridCol w:w="271"/>
        <w:gridCol w:w="146"/>
        <w:gridCol w:w="1111"/>
        <w:gridCol w:w="146"/>
        <w:gridCol w:w="1006"/>
        <w:gridCol w:w="316"/>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Home Health Segment</w:t>
            </w:r>
          </w:p>
        </w:tc>
        <w:tc>
          <w:tcPr>
            <w:tcW w:w="146" w:type="dxa"/>
            <w:tcBorders/>
            <w:shd w:fill="auto" w:val="clear"/>
            <w:vAlign w:val="center"/>
          </w:tcPr>
          <w:p>
            <w:pPr>
              <w:pStyle w:val="TableContents"/>
              <w:spacing w:before="0" w:after="0"/>
              <w:ind w:left="0" w:right="0" w:hanging="0"/>
              <w:jc w:val="left"/>
              <w:rPr/>
            </w:pPr>
            <w:r>
              <w:rPr/>
              <w:t> </w:t>
            </w:r>
          </w:p>
        </w:tc>
        <w:tc>
          <w:tcPr>
            <w:tcW w:w="512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$9,116</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$7,509</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16</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substantial portion of the Company’s revenue and accounts receivable are derived from services performed for federal, state and local governmental agencies. We derive a significant amount of our net service revenues in Illinois, which represented 39.1% and 37.4% of our net service revenues for the three months ended March 31, 2023 and 2022, respectively. The Illinois Department on Aging, the largest payor program for the Company’s Illinois personal care operations, accounted for 21.5% and 20.7% of the Company’s net service revenues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related receivables due from the Illinois Department on Aging represented 20.7% and 18.0% of the Company’s net accounts receivable at March 31, 2023 and December 31, 2022, respectively.</w:t>
      </w:r>
    </w:p>
    <w:p>
      <w:pPr>
        <w:pStyle w:val="TextBody"/>
        <w:spacing w:before="360" w:after="0"/>
        <w:jc w:val="left"/>
        <w:rPr>
          <w:rFonts w:ascii="Times New Roman;serif" w:hAnsi="Times New Roman;serif"/>
          <w:b/>
          <w:sz w:val="20"/>
        </w:rPr>
      </w:pPr>
      <w:r>
        <w:rPr>
          <w:rFonts w:ascii="Times New Roman;serif" w:hAnsi="Times New Roman;serif"/>
          <w:b/>
          <w:sz w:val="20"/>
        </w:rPr>
        <w:t>12. Subsequent Events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26, 2023, the Company entered into a Third Amendment to Amended and Restated Credit Agreement (the “Third</w:t>
      </w:r>
    </w:p>
    <w:p>
      <w:pPr>
        <w:pStyle w:val="TextBody"/>
        <w:spacing w:before="0" w:after="0"/>
        <w:jc w:val="left"/>
        <w:rPr>
          <w:rFonts w:ascii="Times New Roman" w:hAnsi="Times New Roman"/>
          <w:sz w:val="20"/>
        </w:rPr>
      </w:pPr>
      <w:r>
        <w:rPr>
          <w:rFonts w:ascii="Times New Roman;serif" w:hAnsi="Times New Roman;serif"/>
          <w:b w:val="false"/>
          <w:sz w:val="20"/>
        </w:rPr>
        <w:t>Amendment”), by and among Addus HealthCare, Inc., as the borrower, the Company, certain subsidiaries of the Company party thereto, the lenders party thereto and Capital One, National Association, as a lender and as administrative agent for all lenders, which amended the Company’s existing Credit Agreement. The Third Amendment (i) replaces LIBOR with a forward-looking term SOFR-based rate as the applicable benchmark reference rate for loans under the credit facility and (ii) adds a 10-basis point credit spread adjustment for loans bearing interest based on SOFR. The Third Amendment does not change the interest rate margins applicable to the credit facility.</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17</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rising global inflation and interest rates, legislative developments, trade disruptions and supply chain disruptions on our business and our customers’ businesses; financial market instability and disruptions to the banking system due to bank failures, particularly in light of the closures of Silicon Valley Bank and Signature Bank in March 2023; business disruptions due to natural disasters, acts of terrorism, pandemics (including the ongoing COVID-19 pandemic), riots, civil insurrection or social unrest, looting, protests, strikes or street demonstrations;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the acceptance of privatized social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potential impact of the discontinuation or modification of LIBOR; the effectiveness, quality and cost of our services; our ability to successfully execute our growth strategy; changes in tax rates;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2022, filed with the SEC on February 28, 2023.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pStyle w:val="TextBody"/>
        <w:spacing w:before="270" w:after="0"/>
        <w:jc w:val="left"/>
        <w:rPr>
          <w:rFonts w:ascii="Times New Roman;serif" w:hAnsi="Times New Roman;serif"/>
          <w:b/>
          <w:i/>
          <w:sz w:val="20"/>
        </w:rPr>
      </w:pPr>
      <w:r>
        <w:rPr>
          <w:rFonts w:ascii="Times New Roman;serif" w:hAnsi="Times New Roman;serif"/>
          <w:b/>
          <w:i/>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36.6% and 35.7% of our net service revenues during the three months ended March 31, 2023 and 2022, respectively.</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18</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 summary of certain consolidated financial results is provided in the table below.</w:t>
      </w:r>
    </w:p>
    <w:p>
      <w:pPr>
        <w:pStyle w:val="TextBody"/>
        <w:spacing w:before="0" w:after="0"/>
        <w:jc w:val="left"/>
        <w:rPr/>
      </w:pPr>
      <w:r>
        <w:rPr/>
        <w:t> </w:t>
      </w:r>
    </w:p>
    <w:tbl>
      <w:tblPr>
        <w:tblW w:w="6340" w:type="dxa"/>
        <w:jc w:val="left"/>
        <w:tblInd w:w="0" w:type="dxa"/>
        <w:tblCellMar>
          <w:top w:w="28" w:type="dxa"/>
          <w:left w:w="28" w:type="dxa"/>
          <w:bottom w:w="28" w:type="dxa"/>
          <w:right w:w="28" w:type="dxa"/>
        </w:tblCellMar>
      </w:tblPr>
      <w:tblGrid>
        <w:gridCol w:w="2821"/>
        <w:gridCol w:w="146"/>
        <w:gridCol w:w="276"/>
        <w:gridCol w:w="1024"/>
        <w:gridCol w:w="191"/>
        <w:gridCol w:w="191"/>
        <w:gridCol w:w="276"/>
        <w:gridCol w:w="1024"/>
        <w:gridCol w:w="391"/>
      </w:tblGrid>
      <w:tr>
        <w:trPr/>
        <w:tc>
          <w:tcPr>
            <w:tcW w:w="2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 by segment:</w:t>
            </w:r>
          </w:p>
        </w:tc>
        <w:tc>
          <w:tcPr>
            <w:tcW w:w="146" w:type="dxa"/>
            <w:tcBorders/>
            <w:shd w:fill="auto" w:val="clear"/>
            <w:vAlign w:val="center"/>
          </w:tcPr>
          <w:p>
            <w:pPr>
              <w:pStyle w:val="TableContents"/>
              <w:spacing w:before="0" w:after="0"/>
              <w:ind w:left="0" w:right="0" w:hanging="0"/>
              <w:jc w:val="left"/>
              <w:rPr/>
            </w:pPr>
            <w:r>
              <w:rPr/>
              <w:t> </w:t>
            </w:r>
          </w:p>
        </w:tc>
        <w:tc>
          <w:tcPr>
            <w:tcW w:w="298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391" w:type="dxa"/>
            <w:tcBorders/>
            <w:shd w:fill="auto" w:val="clear"/>
            <w:vAlign w:val="center"/>
          </w:tcPr>
          <w:p>
            <w:pPr>
              <w:pStyle w:val="TableContents"/>
              <w:spacing w:before="0" w:after="0"/>
              <w:ind w:left="0" w:right="0" w:firstLine="200"/>
              <w:jc w:val="center"/>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Personal care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Hospice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Home health</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service revenue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251,599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226,634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0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we provided our services in 22 states through 203 offices. We served approximately 55,000 and 53,000 discrete individuals, respectively, during the three months ended March 31, 2023 and 2022. Our personal care segment also includes staffing services, with clients including assisted living facilities, nursing homes and hospice facilities.</w:t>
      </w:r>
    </w:p>
    <w:p>
      <w:pPr>
        <w:pStyle w:val="TextBody"/>
        <w:spacing w:before="360" w:after="0"/>
        <w:jc w:val="left"/>
        <w:rPr>
          <w:rFonts w:ascii="Times New Roman;serif" w:hAnsi="Times New Roman;serif"/>
          <w:b/>
          <w:i/>
          <w:sz w:val="20"/>
        </w:rPr>
      </w:pPr>
      <w:r>
        <w:rPr>
          <w:rFonts w:ascii="Times New Roman;serif" w:hAnsi="Times New Roman;serif"/>
          <w:b/>
          <w:i/>
          <w:sz w:val="20"/>
        </w:rPr>
        <w:t>Acquisitions</w:t>
      </w:r>
    </w:p>
    <w:p>
      <w:pPr>
        <w:pStyle w:val="TextBody"/>
        <w:spacing w:before="120" w:after="0"/>
        <w:jc w:val="left"/>
        <w:rPr>
          <w:rFonts w:ascii="Times New Roman" w:hAnsi="Times New Roman"/>
          <w:sz w:val="20"/>
        </w:rPr>
      </w:pPr>
      <w:r>
        <w:rPr>
          <w:rFonts w:ascii="Times New Roman;serif" w:hAnsi="Times New Roman;serif"/>
          <w:b w:val="false"/>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February 1, 2022, we completed the acquisition of the operations of JourneyCare Inc. (“JourneyCare”). The purchase price was approximately $86.6 million, including the amount of acquired excess cash held by JourneyCare at the closing of the acquisition (approximately $0.4 million). The JourneyCare acquisition was funded with a combination of a $35.0 million draw on the Company’s revolving credit facility and available cash. With the JourneyCare acquisition, the Company expanded its hospice services in Illinois.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October 1, 2022, we completed the acquisition of Apple Home HealthCare, LTD (“Apple Home”) for $12.7 million, with funding provided by drawing on the Company’s revolving credit facility. With the purchase of Apple Home, the Company expanded clinical services for its home health segment in Illinois.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January 1, 2023, we completed the acquisition of CareStaff for approximately $1.0 million, with funding provided by available cash. With the purchase of CareStaff, the Company expanded its personal care services in Florida.</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COVID-19 Pandemic Update</w:t>
      </w:r>
    </w:p>
    <w:p>
      <w:pPr>
        <w:pStyle w:val="TextBody"/>
        <w:spacing w:before="120" w:after="0"/>
        <w:jc w:val="left"/>
        <w:rPr>
          <w:rFonts w:ascii="Times New Roman" w:hAnsi="Times New Roman"/>
          <w:sz w:val="20"/>
        </w:rPr>
      </w:pPr>
      <w:r>
        <w:rPr>
          <w:rFonts w:ascii="Times New Roman;serif" w:hAnsi="Times New Roman;serif"/>
          <w:b w:val="false"/>
          <w:sz w:val="20"/>
        </w:rPr>
        <w:t>Compared to earlier periods, the United States has generally experienced a moderation of COVID-19 infections and related hospitalizations. However, given the longer-term uncertainties associated with the COVID-19 pandemic, it is difficult to predict the effect and ultimate impact of the COVID-19 pandemic on the Company as conditions related to the COVID-19 pandemic continue to evolve.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and 2022, COVID-19-related expenses in our personal care segment were approximately $0.7 million and $1.7 million, respectively, and are included in cost of service revenues on the Consolidated Statements of Income. Additionally, we recognized revenue of $0.9 million and $1.4 million attributable to temporary rate increases from certain payors in our personal care segment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deferred the recognition of $2.9 million of payments received from payors for COVID-19 reimbursement, included within accrued expenses, which will be recognized as we incur specific expenses related to the pandemic, such as expenses related to acquiring additional PPE and COVID-19 related paid time off, or will be returned to the extent COVID-19-related expenses are not incurred. We are not able to reasonably predict the total costs we will incur related to the COVID-19 pandemic, and such costs could be substantial.</w:t>
      </w:r>
    </w:p>
    <w:p>
      <w:pPr>
        <w:pStyle w:val="TextBody"/>
        <w:spacing w:before="240" w:after="0"/>
        <w:jc w:val="left"/>
        <w:rPr>
          <w:rFonts w:ascii="Times New Roman" w:hAnsi="Times New Roman"/>
          <w:sz w:val="20"/>
        </w:rPr>
      </w:pPr>
      <w:r>
        <w:rPr>
          <w:rFonts w:ascii="Times New Roman;serif" w:hAnsi="Times New Roman;serif"/>
          <w:b w:val="false"/>
          <w:sz w:val="20"/>
        </w:rPr>
        <w:t>As the COVID-19 public health situation continues to evolve, federal and state governments have shifted to reducing or terminating certain temporary measures that were implemented to ease delivery of care earlier in the COVID-19 public health emergency. In addition, the current federal public health emergency declaration expires May 11, 2023, and the Biden administration has indicated it will not be extended. We will continue to assess the impact and consequences of the COVID-19 pandemic and government responses to the pandemic, including the implementation of the CARES Act, the PPPHCE Act, the CAA, the ARPA, other stimulus and relief legislation, the President’s National COVID-19 Preparedness Plan, and existing and potential additional federal, state and local vaccine mandates, on our business, results of operations, financial condition and cash flows. Given the dynamic nature of these circumstances, we cannot currently predict with certainty the extent to which our business, results of operations, financial condition or liquidity will ultimately be impacted by the pandemic but is not</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19</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expected to have a material adverse impact. See Part I, Item 1A—Risk Factors — “</w:t>
      </w:r>
      <w:r>
        <w:rPr>
          <w:rFonts w:ascii="Times New Roman;serif" w:hAnsi="Times New Roman;serif"/>
          <w:b w:val="false"/>
          <w:i/>
          <w:sz w:val="20"/>
        </w:rPr>
        <w:t>The COVID-19 pandemic could negatively affect our operations, business and financial condition, and our liquidity could also be negatively impacted, particularly if the U.S. economic and/or public health conditions deteriorate in connection with the pandemic</w:t>
      </w:r>
      <w:r>
        <w:rPr>
          <w:rFonts w:ascii="Times New Roman" w:hAnsi="Times New Roman"/>
          <w:sz w:val="20"/>
        </w:rPr>
        <w:t xml:space="preserve">” </w:t>
      </w:r>
      <w:r>
        <w:rPr>
          <w:rFonts w:ascii="Times New Roman;serif" w:hAnsi="Times New Roman;serif"/>
          <w:b w:val="false"/>
          <w:sz w:val="20"/>
        </w:rPr>
        <w:t>of our Annual Report on Form 10-K for the year ended December 31, 2022, filed with the SEC on February 28,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See “Liquidity and Capital Resources” below for additional information regarding funds received related to COVID-19 pandemic relief.</w:t>
      </w:r>
    </w:p>
    <w:p>
      <w:pPr>
        <w:pStyle w:val="TextBody"/>
        <w:spacing w:before="360" w:after="0"/>
        <w:jc w:val="left"/>
        <w:rPr>
          <w:rFonts w:ascii="Times New Roman;serif" w:hAnsi="Times New Roman;serif"/>
          <w:b/>
          <w:i/>
          <w:sz w:val="20"/>
        </w:rPr>
      </w:pPr>
      <w:r>
        <w:rPr>
          <w:rFonts w:ascii="Times New Roman;serif" w:hAnsi="Times New Roman;serif"/>
          <w:b/>
          <w:i/>
          <w:sz w:val="20"/>
        </w:rPr>
        <w:t>Recruiting</w:t>
      </w:r>
    </w:p>
    <w:p>
      <w:pPr>
        <w:pStyle w:val="TextBody"/>
        <w:spacing w:before="120" w:after="0"/>
        <w:jc w:val="left"/>
        <w:rPr>
          <w:rFonts w:ascii="Times New Roman" w:hAnsi="Times New Roman"/>
          <w:sz w:val="20"/>
        </w:rPr>
      </w:pPr>
      <w:r>
        <w:rPr>
          <w:rFonts w:ascii="Times New Roman;serif" w:hAnsi="Times New Roman;serif"/>
          <w:b w:val="false"/>
          <w:sz w:val="20"/>
        </w:rPr>
        <w:t>As the labor market has tightened and unemployment has declined in comparison to earlier levels, the competition for new caregivers, including skilled healthcare staff, and support staff has increased. In addition, the United States economy continues to experience significant inflationary pressures and a competitive labor market. To the extent that we continue to experience a shortage of caregivers, it may hinder our ability to fully meet the continuing demand for both our non-clinical and clinical services.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Revenue by Payor and Significant States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pStyle w:val="TextBody"/>
        <w:spacing w:before="240" w:after="0"/>
        <w:jc w:val="left"/>
        <w:rPr>
          <w:rFonts w:ascii="Times New Roman" w:hAnsi="Times New Roman"/>
          <w:sz w:val="20"/>
        </w:rPr>
      </w:pPr>
      <w:r>
        <w:rPr>
          <w:rFonts w:ascii="Times New Roman;serif" w:hAnsi="Times New Roman;serif"/>
          <w:b w:val="false"/>
          <w:sz w:val="20"/>
        </w:rPr>
        <w:t>Our revenue by payor and significant states by segment were as follows:</w:t>
      </w:r>
      <w:r>
        <w:rPr>
          <w:rFonts w:ascii="Times New Roman" w:hAnsi="Times New Roman"/>
          <w:sz w:val="20"/>
        </w:rPr>
        <w:t xml:space="preserve"> </w:t>
      </w:r>
    </w:p>
    <w:p>
      <w:pPr>
        <w:pStyle w:val="TextBody"/>
        <w:spacing w:before="0" w:after="0"/>
        <w:jc w:val="left"/>
        <w:rPr/>
      </w:pPr>
      <w:r>
        <w:rPr/>
        <w:t> </w:t>
      </w:r>
    </w:p>
    <w:tbl>
      <w:tblPr>
        <w:tblW w:w="9831" w:type="dxa"/>
        <w:jc w:val="left"/>
        <w:tblInd w:w="0" w:type="dxa"/>
        <w:tblCellMar>
          <w:top w:w="28" w:type="dxa"/>
          <w:left w:w="28" w:type="dxa"/>
          <w:bottom w:w="28" w:type="dxa"/>
          <w:right w:w="28" w:type="dxa"/>
        </w:tblCellMar>
      </w:tblPr>
      <w:tblGrid>
        <w:gridCol w:w="4066"/>
        <w:gridCol w:w="146"/>
        <w:gridCol w:w="1171"/>
        <w:gridCol w:w="146"/>
        <w:gridCol w:w="1126"/>
        <w:gridCol w:w="271"/>
        <w:gridCol w:w="146"/>
        <w:gridCol w:w="1171"/>
        <w:gridCol w:w="146"/>
        <w:gridCol w:w="1126"/>
        <w:gridCol w:w="316"/>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Personal Care Segment</w:t>
            </w:r>
          </w:p>
        </w:tc>
        <w:tc>
          <w:tcPr>
            <w:tcW w:w="146" w:type="dxa"/>
            <w:tcBorders/>
            <w:shd w:fill="auto" w:val="clear"/>
            <w:vAlign w:val="center"/>
          </w:tcPr>
          <w:p>
            <w:pPr>
              <w:pStyle w:val="TableContents"/>
              <w:spacing w:before="0" w:after="0"/>
              <w:ind w:left="0" w:right="0" w:hanging="0"/>
              <w:jc w:val="center"/>
              <w:rPr/>
            </w:pPr>
            <w:r>
              <w:rPr/>
              <w:t> </w:t>
            </w:r>
          </w:p>
        </w:tc>
        <w:tc>
          <w:tcPr>
            <w:tcW w:w="530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local and other governmental programs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$95,320</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$83,908</w:t>
            </w:r>
          </w:p>
        </w:tc>
        <w:tc>
          <w:tcPr>
            <w:tcW w:w="146"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87,901</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77,390</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pay</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4,626</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$98,414</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$84,693</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28,474</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25,440</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New York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21,885</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21,385</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316"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personal care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jc w:val="left"/>
        <w:rPr>
          <w:rFonts w:ascii="Times New Roman;serif" w:hAnsi="Times New Roman;serif"/>
          <w:b w:val="false"/>
          <w:sz w:val="18"/>
        </w:rPr>
      </w:pPr>
      <w:r>
        <w:rPr>
          <w:rFonts w:ascii="Times New Roman;serif" w:hAnsi="Times New Roman;serif"/>
          <w:b w:val="false"/>
          <w:sz w:val="18"/>
        </w:rPr>
        <w:t xml:space="preserve">The Company has suspended materially all of its new patient admissions under the New York CDPAP program as discussed below. </w:t>
      </w:r>
    </w:p>
    <w:p>
      <w:pPr>
        <w:pStyle w:val="TextBody"/>
        <w:spacing w:before="0" w:after="0"/>
        <w:jc w:val="left"/>
        <w:rPr/>
      </w:pPr>
      <w:r>
        <w:rPr/>
        <w:t> </w:t>
      </w:r>
    </w:p>
    <w:tbl>
      <w:tblPr>
        <w:tblW w:w="9396" w:type="dxa"/>
        <w:jc w:val="left"/>
        <w:tblInd w:w="0" w:type="dxa"/>
        <w:tblCellMar>
          <w:top w:w="28" w:type="dxa"/>
          <w:left w:w="28" w:type="dxa"/>
          <w:bottom w:w="28" w:type="dxa"/>
          <w:right w:w="28" w:type="dxa"/>
        </w:tblCellMar>
      </w:tblPr>
      <w:tblGrid>
        <w:gridCol w:w="3631"/>
        <w:gridCol w:w="146"/>
        <w:gridCol w:w="1171"/>
        <w:gridCol w:w="146"/>
        <w:gridCol w:w="1126"/>
        <w:gridCol w:w="271"/>
        <w:gridCol w:w="146"/>
        <w:gridCol w:w="1171"/>
        <w:gridCol w:w="146"/>
        <w:gridCol w:w="1126"/>
        <w:gridCol w:w="316"/>
      </w:tblGrid>
      <w:tr>
        <w:trPr/>
        <w:tc>
          <w:tcPr>
            <w:tcW w:w="3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Hospice Segment</w:t>
            </w:r>
          </w:p>
        </w:tc>
        <w:tc>
          <w:tcPr>
            <w:tcW w:w="146" w:type="dxa"/>
            <w:tcBorders/>
            <w:shd w:fill="auto" w:val="clear"/>
            <w:vAlign w:val="center"/>
          </w:tcPr>
          <w:p>
            <w:pPr>
              <w:pStyle w:val="TableContents"/>
              <w:spacing w:before="0" w:after="0"/>
              <w:ind w:left="0" w:right="0" w:hanging="0"/>
              <w:jc w:val="center"/>
              <w:rPr/>
            </w:pPr>
            <w:r>
              <w:rPr/>
              <w:t> </w:t>
            </w:r>
          </w:p>
        </w:tc>
        <w:tc>
          <w:tcPr>
            <w:tcW w:w="530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$44,556</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$43,485</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insurance</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2,547</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1,647</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Ohio</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$18,451</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$16,328</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11,480</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9,541</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6,486</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8,233</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316" w:type="dxa"/>
            <w:tcBorders/>
            <w:shd w:fill="auto" w:val="cle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states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hospice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20</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tbl>
      <w:tblPr>
        <w:tblW w:w="9771" w:type="dxa"/>
        <w:jc w:val="left"/>
        <w:tblInd w:w="0" w:type="dxa"/>
        <w:tblCellMar>
          <w:top w:w="28" w:type="dxa"/>
          <w:left w:w="28" w:type="dxa"/>
          <w:bottom w:w="28" w:type="dxa"/>
          <w:right w:w="28" w:type="dxa"/>
        </w:tblCellMar>
      </w:tblPr>
      <w:tblGrid>
        <w:gridCol w:w="4006"/>
        <w:gridCol w:w="146"/>
        <w:gridCol w:w="1171"/>
        <w:gridCol w:w="146"/>
        <w:gridCol w:w="1126"/>
        <w:gridCol w:w="271"/>
        <w:gridCol w:w="146"/>
        <w:gridCol w:w="1171"/>
        <w:gridCol w:w="146"/>
        <w:gridCol w:w="1126"/>
        <w:gridCol w:w="316"/>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Home Health Segment</w:t>
            </w:r>
          </w:p>
        </w:tc>
        <w:tc>
          <w:tcPr>
            <w:tcW w:w="146" w:type="dxa"/>
            <w:tcBorders/>
            <w:shd w:fill="auto" w:val="clear"/>
            <w:vAlign w:val="center"/>
          </w:tcPr>
          <w:p>
            <w:pPr>
              <w:pStyle w:val="TableContents"/>
              <w:spacing w:before="0" w:after="0"/>
              <w:ind w:left="0" w:right="0" w:hanging="0"/>
              <w:jc w:val="center"/>
              <w:rPr/>
            </w:pPr>
            <w:r>
              <w:rPr/>
              <w:t> </w:t>
            </w:r>
          </w:p>
        </w:tc>
        <w:tc>
          <w:tcPr>
            <w:tcW w:w="530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b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Segment</w:t>
              <w:br/>
              <w:t>Net Service</w:t>
              <w:br/>
              <w:t>Revenues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$9,270</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$6,812</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care organizations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2,539</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1,904</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16"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Mexico</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$9,116</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$7,509</w:t>
            </w:r>
          </w:p>
        </w:tc>
        <w:tc>
          <w:tcPr>
            <w:tcW w:w="14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Illinois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home health segment net service revenues</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derive a significant amount of our net service revenues in Illinois, which represented 39.1% and 37.4% of our net service revenues for the three months ended March 31, 2023 and 2022, respectively.</w:t>
      </w:r>
    </w:p>
    <w:p>
      <w:pPr>
        <w:pStyle w:val="TextBody"/>
        <w:spacing w:before="240" w:after="0"/>
        <w:jc w:val="left"/>
        <w:rPr>
          <w:rFonts w:ascii="Times New Roman" w:hAnsi="Times New Roman"/>
          <w:sz w:val="20"/>
        </w:rPr>
      </w:pPr>
      <w:r>
        <w:rPr>
          <w:rFonts w:ascii="Times New Roman;serif" w:hAnsi="Times New Roman;serif"/>
          <w:b w:val="false"/>
          <w:sz w:val="20"/>
        </w:rPr>
        <w:t>A significant amount of our net service revenues are derived from one payor, the Illinois Department on Aging, the largest payor program for our Illinois personal care operations, which accounted for 21.5% and 20.7% of our net service revenues for the three months ended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Changes in Reimbursement Rates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Illinois</w:t>
      </w:r>
    </w:p>
    <w:p>
      <w:pPr>
        <w:pStyle w:val="TextBody"/>
        <w:spacing w:before="120" w:after="0"/>
        <w:jc w:val="left"/>
        <w:rPr>
          <w:rFonts w:ascii="Times New Roman" w:hAnsi="Times New Roman"/>
          <w:sz w:val="20"/>
        </w:rPr>
      </w:pPr>
      <w:r>
        <w:rPr>
          <w:rFonts w:ascii="Times New Roman;serif" w:hAnsi="Times New Roman;serif"/>
          <w:b w:val="false"/>
          <w:sz w:val="20"/>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2022, the rate was adjusted to $15.40 based on the increase in the CPI.</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Illinois fiscal year 2022 budget included an increase of hourly rates for in-home care services to $24.96, to be effective January 1, 2022. On July 12, 2021, in connection with the temporary increase in federal funding for Medicaid home and community-based services authorized by the ARPA, the State of Illinois submitted its Initial Spending Plan and Narrative to CMS for approval. That plan included the acceleration by two months of the rate increase to $24.96 from January 1, 2022, to November 1, 2021. The Company recognized $3.6 million related to the rate increase for the year ended December 31, 2021.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Illinois fiscal year 2023 budget included an increase of hourly rates for in-home care services to $25.66, to be effective January 1, 2023. This increase offsets the $0.40 increase in Chicago minimum wage that occurred on July 1, 2022. In March 2023, the Illinois Department of Healthcare and Family Services submitted a waiver amendment proposal to CMS to further increase in-home care rates to $26.92, effective as of April 1,2023, which CMS approved.</w:t>
      </w:r>
    </w:p>
    <w:p>
      <w:pPr>
        <w:pStyle w:val="TextBody"/>
        <w:spacing w:before="240" w:after="0"/>
        <w:jc w:val="left"/>
        <w:rPr>
          <w:rFonts w:ascii="Times New Roman" w:hAnsi="Times New Roman"/>
          <w:sz w:val="20"/>
        </w:rPr>
      </w:pPr>
      <w:r>
        <w:rPr>
          <w:rFonts w:ascii="Times New Roman;serif" w:hAnsi="Times New Roman;serif"/>
          <w:b w:val="false"/>
          <w:sz w:val="20"/>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21</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Impact of Changes in Medicare and Medicaid Reimbursement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Home Health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CMS updates the HHPPS payment rates each calendar year. For calendar year 2023, CMS estimates that Medicare payments to home health agencies will increase by 0.7%. This is based on a home health payment update percentage of 4.0, which reflects a 4.1% market basket update reduced by a productivity adjustment of negative 0.1 percentage points, and an estimated 3.5% decrease associated with the transition to the PDGM that is intended to help achieve budget-neutrality on a prospective basis,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CMS began implementing a nationwide expansion of the Home Health Value-Based Purchasing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IMPACT Act requires HHS, together with the Medicare Payment Advisory Commission, to work toward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presenting a prototype for a unified post-acute care payment model in July 2022. CMS noted in its report the need for additional analyses and acknowledged that the universal implementation of a unified post-acute care payment system would require congressional action. The Medicare Payment Advisory Commission is required to submit a report to Congress by June 2023.</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Hospice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2022, CMS increased hospice payment rates by 3.8%. This reflects a 4.1% market basket increase and a negative 0.3 percentage point productivity adjustment. Hospices that do not satisfy quality reporting requirements are subject to a 2-percentage point reduction to the market basket update. Beginning in 2024, the reduction to the market basket update for failure to report quality data will increase to 4 percentage points.</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22</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$32,486.92 for federal fiscal year 2023. If a hospice’s Medicare payments exceed its inpatient or aggregate caps, it must repay Medicare the excess amount.</w:t>
      </w:r>
    </w:p>
    <w:p>
      <w:pPr>
        <w:pStyle w:val="TextBody"/>
        <w:spacing w:before="360" w:after="0"/>
        <w:jc w:val="left"/>
        <w:rPr>
          <w:rFonts w:ascii="Times New Roman" w:hAnsi="Times New Roman"/>
          <w:sz w:val="20"/>
        </w:rPr>
      </w:pPr>
      <w:r>
        <w:rPr>
          <w:rFonts w:ascii="Times New Roman;serif" w:hAnsi="Times New Roman;serif"/>
          <w:b/>
          <w:i/>
          <w:sz w:val="20"/>
        </w:rPr>
        <w:t>New York Consumer Directed Personal Assistance Program (</w:t>
      </w:r>
      <w:r>
        <w:rPr>
          <w:rFonts w:ascii="Times New Roman" w:hAnsi="Times New Roman"/>
          <w:sz w:val="20"/>
        </w:rPr>
        <w:t>“</w:t>
      </w:r>
      <w:r>
        <w:rPr>
          <w:rFonts w:ascii="Times New Roman;serif" w:hAnsi="Times New Roman;serif"/>
          <w:b/>
          <w:i/>
          <w:sz w:val="20"/>
        </w:rPr>
        <w:t>CDPAP</w:t>
      </w:r>
      <w:r>
        <w:rPr>
          <w:rFonts w:ascii="Times New Roman" w:hAnsi="Times New Roman"/>
          <w:sz w:val="20"/>
        </w:rPr>
        <w:t>”</w:t>
      </w:r>
      <w:r>
        <w:rPr>
          <w:rFonts w:ascii="Times New Roman;serif" w:hAnsi="Times New Roman;serif"/>
          <w:b/>
          <w:i/>
          <w:sz w:val="20"/>
        </w:rPr>
        <w:t>)</w:t>
      </w:r>
    </w:p>
    <w:p>
      <w:pPr>
        <w:pStyle w:val="TextBody"/>
        <w:spacing w:before="120" w:after="0"/>
        <w:jc w:val="left"/>
        <w:rPr>
          <w:rFonts w:ascii="Times New Roman" w:hAnsi="Times New Roman"/>
          <w:sz w:val="20"/>
        </w:rPr>
      </w:pPr>
      <w:r>
        <w:rPr>
          <w:rFonts w:ascii="Times New Roman;serif" w:hAnsi="Times New Roman;serif"/>
          <w:b w:val="false"/>
          <w:sz w:val="20"/>
        </w:rPr>
        <w:t>The CDPAP is a self-directed care alternative program that allows eligible individuals who need help with activities of daily living or skilled nursing services to choose their caregivers. We provide support services as a CDPAP fiscal intermediary.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April 2022, the New York legislature passed the fiscal year 2023 state budget, which amended the Fiscal Intermediary Request For Offer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These fiscal intermediaries are permitted to continue operating in all counties contained in their RFO application, provided they submitted an attestation and supporting information to the NYSDOH no later than November 29, 2022. The Company submitted an attestation on November 22, 2022. For the fiscal intermediaries whose attestation and supporting information meet all requirements, the NYSDOH will issue award letters on the contract award date, which was anticipated to be April 1, 2023. However, the New York State Department of Health has not yet awarded these contracts. Any fiscal intermediary that does not receive an award letter must cease fiscal intermediary operations. The Company continues to assess the future of its participation in this program. Given the current profitability of the program, the Company has suspended materially all of its new fee-for-service patient admissions through County Social Service Departments in the CDPAP program.</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 xml:space="preserve">HHS Proposed Rule: </w:t>
      </w:r>
      <w:r>
        <w:rPr>
          <w:rFonts w:ascii="Times New Roman" w:hAnsi="Times New Roman"/>
          <w:sz w:val="20"/>
        </w:rPr>
        <w:t>“</w:t>
      </w:r>
      <w:r>
        <w:rPr>
          <w:rFonts w:ascii="Times New Roman;serif" w:hAnsi="Times New Roman;serif"/>
          <w:b/>
          <w:i/>
          <w:sz w:val="20"/>
        </w:rPr>
        <w:t>Assuring Access to Medicaid Services</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20"/>
        </w:rPr>
        <w:t>On April 27, 2023, HHS introduced a proposed rule titled “Assuring Access to Medicaid Services.” The proposed rule has a stated goal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of improving access to services for Medicaid beneficiaries. As part of this proposed rule, HHS is proposing that state Medicaid agencies provide assurances that a minimum of 80% of Medicaid payments for personal care and similar services be spent on compensation to direct care workers. The proposed rule would allow states four years to implement changes required by a final rule, with extended time specified for managed care delivery systems. The proposed rule is subject to comment and specifically requests comments on the 80% threshold, related definitions and the implementation period. The ultimate impact of any final rule, which could be adverse for periods after implementation, but could also benefit our business by improving access to services, depends on the requirements set forth in any final rule.</w:t>
      </w:r>
    </w:p>
    <w:p>
      <w:pPr>
        <w:pStyle w:val="TextBody"/>
        <w:spacing w:before="360" w:after="0"/>
        <w:jc w:val="left"/>
        <w:rPr>
          <w:rFonts w:ascii="Times New Roman;serif" w:hAnsi="Times New Roman;serif"/>
          <w:b/>
          <w:i/>
          <w:sz w:val="20"/>
        </w:rPr>
      </w:pPr>
      <w:r>
        <w:rPr>
          <w:rFonts w:ascii="Times New Roman;serif" w:hAnsi="Times New Roman;serif"/>
          <w:b/>
          <w:i/>
          <w:sz w:val="20"/>
        </w:rPr>
        <w:t>Components of our Statements of Income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Net Service Revenues</w:t>
      </w:r>
    </w:p>
    <w:p>
      <w:pPr>
        <w:pStyle w:val="TextBody"/>
        <w:spacing w:before="120" w:after="0"/>
        <w:jc w:val="left"/>
        <w:rPr>
          <w:rFonts w:ascii="Times New Roman" w:hAnsi="Times New Roman"/>
          <w:sz w:val="20"/>
        </w:rPr>
      </w:pPr>
      <w:r>
        <w:rPr>
          <w:rFonts w:ascii="Times New Roman;serif" w:hAnsi="Times New Roman;serif"/>
          <w:b w:val="false"/>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Cost of Service Revenues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23</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120" w:after="0"/>
        <w:jc w:val="left"/>
        <w:rPr>
          <w:rFonts w:ascii="Times New Roman" w:hAnsi="Times New Roman"/>
          <w:sz w:val="20"/>
        </w:rPr>
      </w:pPr>
      <w:r>
        <w:rPr>
          <w:rFonts w:ascii="Times New Roman;serif" w:hAnsi="Times New Roman;serif"/>
          <w:b w:val="false"/>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Depreciation and Amortization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Interest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is reported when incurred and principally consists of interest and unused credit line fees on the credit facility.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spacing w:before="120" w:after="0"/>
        <w:jc w:val="left"/>
        <w:rPr>
          <w:rFonts w:ascii="Times New Roman" w:hAnsi="Times New Roman"/>
          <w:sz w:val="20"/>
        </w:rPr>
      </w:pPr>
      <w:r>
        <w:rPr>
          <w:rFonts w:ascii="Times New Roman;serif" w:hAnsi="Times New Roman;serif"/>
          <w:b w:val="false"/>
          <w:sz w:val="20"/>
        </w:rPr>
        <w:t>All of our income is from domestic sources. We incur state and local taxes in states in which we operate. The effective income tax rate was 22.0% and 27.9% for the three months ended March 31, 2023 and 2022, respectively, compared to our federal statutory rate of 21%. The difference between our federal statutory and effective income tax rates was principally due to the inclusion of state taxes, non-deductible compensation, excess tax expense/benefit and the use of federal employment tax credits.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Results of Operations — Consolidated</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Three Months Ended March 31, 2023 Compared to Three Months Ended March 31,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our unaudited condensed consolidated results of operations.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02"/>
        <w:gridCol w:w="146"/>
        <w:gridCol w:w="211"/>
        <w:gridCol w:w="781"/>
        <w:gridCol w:w="166"/>
        <w:gridCol w:w="146"/>
        <w:gridCol w:w="189"/>
        <w:gridCol w:w="675"/>
        <w:gridCol w:w="146"/>
        <w:gridCol w:w="271"/>
        <w:gridCol w:w="146"/>
        <w:gridCol w:w="211"/>
        <w:gridCol w:w="781"/>
        <w:gridCol w:w="166"/>
        <w:gridCol w:w="146"/>
        <w:gridCol w:w="189"/>
        <w:gridCol w:w="675"/>
        <w:gridCol w:w="146"/>
        <w:gridCol w:w="271"/>
        <w:gridCol w:w="146"/>
        <w:gridCol w:w="211"/>
        <w:gridCol w:w="676"/>
        <w:gridCol w:w="166"/>
        <w:gridCol w:w="146"/>
        <w:gridCol w:w="146"/>
        <w:gridCol w:w="466"/>
        <w:gridCol w:w="166"/>
        <w:gridCol w:w="318"/>
      </w:tblGrid>
      <w:tr>
        <w:trPr/>
        <w:tc>
          <w:tcPr>
            <w:tcW w:w="23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3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9"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Service</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Service</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pPr>
            <w:r>
              <w:rPr/>
              <w:t> </w:t>
            </w:r>
          </w:p>
        </w:tc>
        <w:tc>
          <w:tcPr>
            <w:tcW w:w="7903" w:type="dxa"/>
            <w:gridSpan w:val="2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 Except Percentages)</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251,599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173,184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78,415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2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Net service revenues increased by 11.0% to $251.6 million for the three months ended March 31, 2023 compared to $226.6 million for the three months ended March 31, 2022. Revenue increased by $1.4 million in our hospice segment and by $3.2 million in our home health segment during the three months ended March 31, 2023, compared to the same period in 2022. The increase in our hospice segment revenue was due to organic growth and the acquisition of the operations of JourneyCare on February 1, 2022.</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24</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increased to 31.2% for the three months ended March 31, 2023, compared to 31.0% for the same period in 2022 due to growth in our higher margin hospice segment.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General and administrative expenses increased to $56.4 million for the three months ended March 31, 2023, as compared to $53.2 million for the three months ended March 31, 2022. The increase in general and administrative expenses was primarily due to an increase in administrative employee wage, bonus, tax and benefit costs of $4.4 million, offset by a decrease in acquisition related expense of $1.5 million. General and administrative expenses, expressed as a percentage of net service revenues decreased to 22.4% for the three months ended March 31, 2023, from 23.5% for the three months ended March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Interest expense increased to $2.5 million for the three months ended March 31, 2023 from $1.8 million for the three months ended March 31, 2022. The increase in interest expense was primarily due to increased interest rates under our credit facility for the three months ended March 31, 2023 compared to the three months ended March 31, 2022. The weighted average interest rate was 6.28% and 2.15%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of our income is from domestic sources. We incur state and local taxes in states in which we operate. The effective income tax rate was 22.0% and 27.9% for the three months ended March 31, 2023 and 2022, respectively. The difference between the federal statutory and our effective income tax rates was principally due to the inclusion of state taxes, non-deductible compensation, excess tax expense/benefit and the use of federal employment tax credits.</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Results of Operations – Segments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tables and related analysis summarize our operating results and business metrics by segment:</w:t>
      </w:r>
    </w:p>
    <w:p>
      <w:pPr>
        <w:pStyle w:val="TextBody"/>
        <w:spacing w:before="360" w:after="0"/>
        <w:jc w:val="left"/>
        <w:rPr>
          <w:rFonts w:ascii="Times New Roman;serif" w:hAnsi="Times New Roman;serif"/>
          <w:b/>
          <w:i/>
          <w:sz w:val="20"/>
        </w:rPr>
      </w:pPr>
      <w:r>
        <w:rPr>
          <w:rFonts w:ascii="Times New Roman;serif" w:hAnsi="Times New Roman;serif"/>
          <w:b/>
          <w:i/>
          <w:sz w:val="20"/>
        </w:rPr>
        <w:t>Personal Care Segment</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411"/>
        <w:gridCol w:w="146"/>
        <w:gridCol w:w="886"/>
        <w:gridCol w:w="271"/>
        <w:gridCol w:w="895"/>
        <w:gridCol w:w="271"/>
        <w:gridCol w:w="146"/>
        <w:gridCol w:w="886"/>
        <w:gridCol w:w="271"/>
        <w:gridCol w:w="895"/>
        <w:gridCol w:w="271"/>
        <w:gridCol w:w="146"/>
        <w:gridCol w:w="781"/>
        <w:gridCol w:w="146"/>
        <w:gridCol w:w="466"/>
        <w:gridCol w:w="317"/>
      </w:tblGrid>
      <w:tr>
        <w:trPr/>
        <w:tc>
          <w:tcPr>
            <w:tcW w:w="3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1"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2"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2"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1"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 Except Percentages)</w:t>
            </w:r>
          </w:p>
        </w:tc>
        <w:tc>
          <w:tcPr>
            <w:tcW w:w="317" w:type="dxa"/>
            <w:tcBorders/>
            <w:shd w:fill="auto" w:val="clear"/>
            <w:vAlign w:val="center"/>
          </w:tcPr>
          <w:p>
            <w:pPr>
              <w:pStyle w:val="TableContents"/>
              <w:spacing w:before="0" w:after="0"/>
              <w:ind w:left="0" w:right="0" w:hanging="0"/>
              <w:jc w:val="center"/>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Results</w:t>
            </w:r>
          </w:p>
        </w:tc>
        <w:tc>
          <w:tcPr>
            <w:tcW w:w="146" w:type="dxa"/>
            <w:tcBorders/>
            <w:shd w:fill="auto" w:val="clear"/>
            <w:vAlign w:val="center"/>
          </w:tcPr>
          <w:p>
            <w:pPr>
              <w:pStyle w:val="TableContents"/>
              <w:spacing w:before="0" w:after="0"/>
              <w:ind w:left="0" w:right="0" w:hanging="0"/>
              <w:jc w:val="left"/>
              <w:rPr/>
            </w:pPr>
            <w:r>
              <w:rPr/>
              <w:t> </w:t>
            </w:r>
          </w:p>
        </w:tc>
        <w:tc>
          <w:tcPr>
            <w:tcW w:w="6331" w:type="dxa"/>
            <w:gridSpan w:val="13"/>
            <w:tcBorders/>
            <w:shd w:fill="auto" w:val="clear"/>
            <w:vAlign w:val="center"/>
          </w:tcPr>
          <w:p>
            <w:pPr>
              <w:pStyle w:val="TableContents"/>
              <w:spacing w:before="0" w:after="0"/>
              <w:ind w:left="0" w:right="0" w:hanging="0"/>
              <w:jc w:val="center"/>
              <w:rPr/>
            </w:pPr>
            <w:r>
              <w:rPr/>
              <w:t> </w:t>
            </w:r>
          </w:p>
        </w:tc>
        <w:tc>
          <w:tcPr>
            <w:tcW w:w="317" w:type="dxa"/>
            <w:tcBorders/>
            <w:shd w:fill="auto" w:val="clear"/>
            <w:vAlign w:val="center"/>
          </w:tcPr>
          <w:p>
            <w:pPr>
              <w:pStyle w:val="TableContents"/>
              <w:spacing w:before="0" w:after="0"/>
              <w:ind w:left="0" w:right="0" w:hanging="0"/>
              <w:jc w:val="left"/>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$190,032</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$169,632</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$20,400</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138,383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126,291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51,649</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43,341</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317" w:type="dxa"/>
            <w:tcBorders/>
            <w:shd w:fill="auto" w:val="cle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$35,714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Business Metrics (Actual Numbers,</w:t>
              <w:br/>
              <w:t>Except Billable Hours in Thousands)</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r>
      <w:tr>
        <w:trPr/>
        <w:tc>
          <w:tcPr>
            <w:tcW w:w="3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Locations at period end</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billable census *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38,363</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36,582</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1,781</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Billable hours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7,592</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7,101</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317" w:type="dxa"/>
            <w:tcBorders/>
            <w:shd w:fill="auto" w:val="cle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billable hours per census per month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65.8</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7" w:type="dxa"/>
            <w:tcBorders/>
            <w:shd w:fill="auto" w:val="cle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Billable hours per business day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116,805</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110,951</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5,854</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17" w:type="dxa"/>
            <w:tcBorders/>
            <w:shd w:fill="auto" w:val="clear"/>
            <w:vAlign w:val="center"/>
          </w:tcPr>
          <w:p>
            <w:pPr>
              <w:pStyle w:val="TableContents"/>
              <w:spacing w:before="0" w:after="0"/>
              <w:ind w:left="0" w:right="0" w:hanging="0"/>
              <w:jc w:val="right"/>
              <w:rPr/>
            </w:pPr>
            <w:r>
              <w:rPr/>
              <w:t> </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Revenues per billable hour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w:t>
            </w:r>
          </w:p>
        </w:tc>
        <w:tc>
          <w:tcPr>
            <w:tcW w:w="271"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4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Same store growth revenue % *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95"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pPr>
            <w:r>
              <w:rPr/>
              <w:t> </w:t>
            </w:r>
          </w:p>
        </w:tc>
        <w:tc>
          <w:tcPr>
            <w:tcW w:w="317"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Average billable census is the number of unique clients receiving a billable service during the year and is the total census divided by months in operation during the period.</w:t>
      </w:r>
    </w:p>
    <w:p>
      <w:pPr>
        <w:pStyle w:val="TextBody"/>
        <w:spacing w:before="90" w:after="0"/>
        <w:jc w:val="left"/>
        <w:rPr>
          <w:rFonts w:ascii="Times New Roman" w:hAnsi="Times New Roman"/>
          <w:b w:val="false"/>
          <w:sz w:val="18"/>
        </w:rPr>
      </w:pPr>
      <w:r>
        <w:rPr>
          <w:rFonts w:ascii="Times New Roman" w:hAnsi="Times New Roman"/>
          <w:b w:val="false"/>
          <w:sz w:val="18"/>
        </w:rPr>
        <w:t>(2)</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pStyle w:val="TextBody"/>
        <w:spacing w:before="90" w:after="0"/>
        <w:jc w:val="left"/>
        <w:rPr>
          <w:rFonts w:ascii="Times New Roman" w:hAnsi="Times New Roman"/>
          <w:b w:val="false"/>
          <w:sz w:val="18"/>
        </w:rPr>
      </w:pPr>
      <w:r>
        <w:rPr>
          <w:rFonts w:ascii="Times New Roman" w:hAnsi="Times New Roman"/>
          <w:b w:val="false"/>
          <w:sz w:val="18"/>
        </w:rPr>
        <w:t>(3)</w:t>
      </w:r>
    </w:p>
    <w:p>
      <w:pPr>
        <w:pStyle w:val="TextBody"/>
        <w:spacing w:before="90" w:after="283"/>
        <w:jc w:val="left"/>
        <w:rPr>
          <w:rFonts w:ascii="Times New Roman;serif" w:hAnsi="Times New Roman;serif"/>
          <w:b w:val="false"/>
          <w:sz w:val="18"/>
        </w:rPr>
      </w:pPr>
      <w:r>
        <w:rPr>
          <w:rFonts w:ascii="Times New Roman;serif" w:hAnsi="Times New Roman;serif"/>
          <w:b w:val="false"/>
          <w:sz w:val="18"/>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the New York CDPAP program and ARPA associated revenue from this calculation.</w:t>
      </w:r>
    </w:p>
    <w:p>
      <w:pPr>
        <w:pStyle w:val="TextBody"/>
        <w:spacing w:before="90" w:after="0"/>
        <w:jc w:val="left"/>
        <w:rPr>
          <w:rFonts w:ascii="Times New Roman" w:hAnsi="Times New Roman"/>
          <w:sz w:val="20"/>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w:t>
      </w:r>
      <w:r>
        <w:rPr>
          <w:rFonts w:ascii="Times New Roman" w:hAnsi="Times New Roman"/>
          <w:sz w:val="20"/>
        </w:rPr>
        <w:t xml:space="preserve">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25</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personal care segment derives a significant amount of its net service revenues from operations in Illinois, which represented 39.1% and 37.4% of our net service revenues for the three months ended March 31, 2023 and 2022, respectively. One payor, the Illinois Department on Aging, accounted for 21.5% and 20.7% of net service revenues for the three months ended March 31, 2023 and 2022, respectively.</w:t>
      </w:r>
    </w:p>
    <w:p>
      <w:pPr>
        <w:pStyle w:val="TextBody"/>
        <w:spacing w:before="240" w:after="0"/>
        <w:jc w:val="left"/>
        <w:rPr>
          <w:rFonts w:ascii="Times New Roman" w:hAnsi="Times New Roman"/>
          <w:sz w:val="20"/>
        </w:rPr>
      </w:pPr>
      <w:r>
        <w:rPr>
          <w:rFonts w:ascii="Times New Roman;serif" w:hAnsi="Times New Roman;serif"/>
          <w:b w:val="false"/>
          <w:sz w:val="20"/>
        </w:rPr>
        <w:t>Net service revenues from state, local and other governmental programs accounted for 50.1% and 49.5% of net service revenues for the three months ended March 31, 2023 and 2022, respectively. Managed care organizations accounted for 46.3% and 45.6% of net service revenues for the three months ended March 31, 2023 and 2022, respectively, with commercial insurance, private pay and other payors accounting for the remainder of net service revenues.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service revenues increased by 12.0% for the three months ended March 31, 2023 compared to the three months ended March 31, 2022. Net service revenues included a 5.7% increase in revenues per billable hour for the three months ended March 31, 2023, mainly attributed to rate increases discussed above, as compared to the three months ended March 31, 2022. The Company experienced an increase in New York net service revenues of $0.5 million for the three months ended March 31, 2023, primarily driven by an increase in participation in the New York CDPAP program as discussed above, compared to 2022. Gross profit, expressed as a percentage of net service revenues, increased to 27.2% for the three months ended March 31, 2023 from 25.6% for the three months ended March 31, 2022. This increase was primarily due to decreases in direct payroll and benefits expenses as a percentage of net service revenues of 1.0% for the three months ended March 31, 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was 8.4% and 8.9% for the three months ended March 31, 2023 and 2022, respectively.</w:t>
      </w:r>
    </w:p>
    <w:p>
      <w:pPr>
        <w:pStyle w:val="TextBody"/>
        <w:spacing w:before="360" w:after="0"/>
        <w:jc w:val="left"/>
        <w:rPr>
          <w:rFonts w:ascii="Times New Roman;serif" w:hAnsi="Times New Roman;serif"/>
          <w:b/>
          <w:i/>
          <w:sz w:val="20"/>
        </w:rPr>
      </w:pPr>
      <w:r>
        <w:rPr>
          <w:rFonts w:ascii="Times New Roman;serif" w:hAnsi="Times New Roman;serif"/>
          <w:b/>
          <w:i/>
          <w:sz w:val="20"/>
        </w:rPr>
        <w:t>Hospice Segment</w:t>
      </w:r>
    </w:p>
    <w:p>
      <w:pPr>
        <w:pStyle w:val="TextBody"/>
        <w:spacing w:before="0" w:after="0"/>
        <w:jc w:val="left"/>
        <w:rPr/>
      </w:pPr>
      <w:r>
        <w:rPr/>
        <w:t> </w:t>
      </w:r>
    </w:p>
    <w:tbl>
      <w:tblPr>
        <w:tblW w:w="9926" w:type="dxa"/>
        <w:jc w:val="left"/>
        <w:tblInd w:w="0" w:type="dxa"/>
        <w:tblCellMar>
          <w:top w:w="28" w:type="dxa"/>
          <w:left w:w="28" w:type="dxa"/>
          <w:bottom w:w="28" w:type="dxa"/>
          <w:right w:w="28" w:type="dxa"/>
        </w:tblCellMar>
      </w:tblPr>
      <w:tblGrid>
        <w:gridCol w:w="3136"/>
        <w:gridCol w:w="146"/>
        <w:gridCol w:w="781"/>
        <w:gridCol w:w="271"/>
        <w:gridCol w:w="931"/>
        <w:gridCol w:w="271"/>
        <w:gridCol w:w="146"/>
        <w:gridCol w:w="781"/>
        <w:gridCol w:w="271"/>
        <w:gridCol w:w="931"/>
        <w:gridCol w:w="271"/>
        <w:gridCol w:w="146"/>
        <w:gridCol w:w="796"/>
        <w:gridCol w:w="146"/>
        <w:gridCol w:w="586"/>
        <w:gridCol w:w="316"/>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8"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8"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 Except Percentages)</w:t>
            </w:r>
          </w:p>
        </w:tc>
        <w:tc>
          <w:tcPr>
            <w:tcW w:w="316" w:type="dxa"/>
            <w:tcBorders/>
            <w:shd w:fill="auto" w:val="cle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Results</w:t>
            </w:r>
          </w:p>
        </w:tc>
        <w:tc>
          <w:tcPr>
            <w:tcW w:w="146" w:type="dxa"/>
            <w:tcBorders/>
            <w:shd w:fill="auto" w:val="clear"/>
            <w:vAlign w:val="center"/>
          </w:tcPr>
          <w:p>
            <w:pPr>
              <w:pStyle w:val="TableContents"/>
              <w:spacing w:before="0" w:after="0"/>
              <w:ind w:left="0" w:right="0" w:hanging="0"/>
              <w:jc w:val="left"/>
              <w:rPr/>
            </w:pPr>
            <w:r>
              <w:rPr/>
              <w:t> </w:t>
            </w:r>
          </w:p>
        </w:tc>
        <w:tc>
          <w:tcPr>
            <w:tcW w:w="6328" w:type="dxa"/>
            <w:gridSpan w:val="13"/>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$49,082</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$47,727</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27,267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23,441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21,815</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24,286</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16" w:type="dxa"/>
            <w:tcBorders/>
            <w:shd w:fill="auto" w:val="cle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Business Metrics (Actual Numbers)</w:t>
            </w:r>
          </w:p>
        </w:tc>
        <w:tc>
          <w:tcPr>
            <w:tcW w:w="146"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Locations at period end</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Admissions *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3,315</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daily census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3,195</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16" w:type="dxa"/>
            <w:tcBorders/>
            <w:shd w:fill="auto" w:val="cle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discharge length of stay *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16" w:type="dxa"/>
            <w:tcBorders/>
            <w:shd w:fill="auto" w:val="cle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Patient days *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287,551</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275,488</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12,063</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16" w:type="dxa"/>
            <w:tcBorders/>
            <w:shd w:fill="auto" w:val="clear"/>
            <w:vAlign w:val="center"/>
          </w:tcPr>
          <w:p>
            <w:pPr>
              <w:pStyle w:val="TableContents"/>
              <w:spacing w:before="0" w:after="0"/>
              <w:ind w:left="0" w:right="0" w:hanging="0"/>
              <w:jc w:val="right"/>
              <w:rPr/>
            </w:pPr>
            <w:r>
              <w:rPr/>
              <w:t> </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Revenue per patient day *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$176.22</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$173.24</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Organic growth</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firstLine="100"/>
              <w:jc w:val="right"/>
              <w:rPr/>
            </w:pPr>
            <w:r>
              <w:rPr/>
              <w:t> </w:t>
            </w:r>
          </w:p>
        </w:tc>
      </w:tr>
      <w:tr>
        <w:trPr/>
        <w:tc>
          <w:tcPr>
            <w:tcW w:w="3136"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 xml:space="preserve">- Revenue * </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firstLine="100"/>
              <w:jc w:val="right"/>
              <w:rPr/>
            </w:pPr>
            <w:r>
              <w:rPr/>
              <w:t> </w:t>
            </w:r>
          </w:p>
        </w:tc>
      </w:tr>
      <w:tr>
        <w:trPr/>
        <w:tc>
          <w:tcPr>
            <w:tcW w:w="3136"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 xml:space="preserve">- Average daily census * </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Represents referral process and new patients on service during the period.</w:t>
      </w:r>
    </w:p>
    <w:p>
      <w:pPr>
        <w:pStyle w:val="TextBody"/>
        <w:spacing w:before="90" w:after="0"/>
        <w:jc w:val="left"/>
        <w:rPr>
          <w:rFonts w:ascii="Times New Roman" w:hAnsi="Times New Roman"/>
          <w:b w:val="false"/>
          <w:sz w:val="18"/>
        </w:rPr>
      </w:pPr>
      <w:r>
        <w:rPr>
          <w:rFonts w:ascii="Times New Roman" w:hAnsi="Times New Roman"/>
          <w:b w:val="false"/>
          <w:sz w:val="18"/>
        </w:rPr>
        <w:t>(2)</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 xml:space="preserve">Average daily census is total patient days divided by the number of days in the period. </w:t>
      </w:r>
    </w:p>
    <w:p>
      <w:pPr>
        <w:pStyle w:val="TextBody"/>
        <w:spacing w:before="90" w:after="0"/>
        <w:jc w:val="left"/>
        <w:rPr>
          <w:rFonts w:ascii="Times New Roman" w:hAnsi="Times New Roman"/>
          <w:b w:val="false"/>
          <w:sz w:val="18"/>
        </w:rPr>
      </w:pPr>
      <w:r>
        <w:rPr>
          <w:rFonts w:ascii="Times New Roman" w:hAnsi="Times New Roman"/>
          <w:b w:val="false"/>
          <w:sz w:val="18"/>
        </w:rPr>
        <w:t>(3)</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Average length of stay is the average number of days a patient is on service, calculated upon discharge, and is total patient days divided by total discharges in the period.</w:t>
      </w:r>
    </w:p>
    <w:p>
      <w:pPr>
        <w:pStyle w:val="TextBody"/>
        <w:spacing w:before="90" w:after="0"/>
        <w:jc w:val="left"/>
        <w:rPr>
          <w:rFonts w:ascii="Times New Roman" w:hAnsi="Times New Roman"/>
          <w:b w:val="false"/>
          <w:sz w:val="18"/>
        </w:rPr>
      </w:pPr>
      <w:r>
        <w:rPr>
          <w:rFonts w:ascii="Times New Roman" w:hAnsi="Times New Roman"/>
          <w:b w:val="false"/>
          <w:sz w:val="18"/>
        </w:rPr>
        <w:t>(4)</w:t>
      </w:r>
    </w:p>
    <w:p>
      <w:pPr>
        <w:pStyle w:val="TextBody"/>
        <w:spacing w:before="90" w:after="283"/>
        <w:jc w:val="left"/>
        <w:rPr>
          <w:rFonts w:ascii="Times New Roman;serif" w:hAnsi="Times New Roman;serif"/>
          <w:b w:val="false"/>
          <w:sz w:val="18"/>
        </w:rPr>
      </w:pPr>
      <w:r>
        <w:rPr>
          <w:rFonts w:ascii="Times New Roman;serif" w:hAnsi="Times New Roman;serif"/>
          <w:b w:val="false"/>
          <w:sz w:val="18"/>
        </w:rPr>
        <w:t>Patient days is days of service for all patients in the period.</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26</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90" w:after="0"/>
        <w:jc w:val="left"/>
        <w:rPr>
          <w:rFonts w:ascii="Times New Roman" w:hAnsi="Times New Roman"/>
          <w:b w:val="false"/>
          <w:sz w:val="18"/>
        </w:rPr>
      </w:pPr>
      <w:r>
        <w:rPr>
          <w:rFonts w:ascii="Times New Roman" w:hAnsi="Times New Roman"/>
          <w:b w:val="false"/>
          <w:sz w:val="18"/>
        </w:rPr>
        <w:t>(5)</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 xml:space="preserve">Revenue per patient day is hospice revenue divided by the number of patient days in the period. </w:t>
      </w:r>
    </w:p>
    <w:p>
      <w:pPr>
        <w:pStyle w:val="TextBody"/>
        <w:spacing w:before="90" w:after="0"/>
        <w:jc w:val="left"/>
        <w:rPr>
          <w:rFonts w:ascii="Times New Roman" w:hAnsi="Times New Roman"/>
          <w:b w:val="false"/>
          <w:sz w:val="18"/>
        </w:rPr>
      </w:pPr>
      <w:r>
        <w:rPr>
          <w:rFonts w:ascii="Times New Roman" w:hAnsi="Times New Roman"/>
          <w:b w:val="false"/>
          <w:sz w:val="18"/>
        </w:rPr>
        <w:t>(6)</w:t>
      </w:r>
    </w:p>
    <w:p>
      <w:pPr>
        <w:pStyle w:val="TextBody"/>
        <w:spacing w:before="90" w:after="283"/>
        <w:jc w:val="left"/>
        <w:rPr/>
      </w:pPr>
      <w:r>
        <w:rPr>
          <w:rFonts w:ascii="Times New Roman;serif" w:hAnsi="Times New Roman;serif"/>
          <w:b w:val="false"/>
          <w:sz w:val="18"/>
        </w:rPr>
        <w:t>Revenue organic growth and average daily census organic growth reflect the change in year-over-year revenue and average daily census for the same store base. We define the same store base to include those stores open for at least 52 full weeks. These measures highlight the</w:t>
      </w:r>
      <w:r>
        <w:rPr/>
        <w:t xml:space="preserve"> </w:t>
      </w:r>
      <w:r>
        <w:rPr>
          <w:rFonts w:ascii="Times New Roman;serif" w:hAnsi="Times New Roman;serif"/>
          <w:b w:val="false"/>
          <w:sz w:val="18"/>
        </w:rPr>
        <w:t>performance of existing stores, while excluding the impact of acquisitions, new store openings and closures.</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90.7% and 91.1% for the three months ended March 31, 2023 and 2022, respectively. Net service revenues from managed care organizations accounted for 3.4% and 3.6%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service revenues increased by $1.4 million for the three months ended March 31, 2023 compared to the three months ended March 31, 2022, primarily attributed to organic growth and the acquisition of the operations of JourneyCare on February 1, 2022.</w:t>
      </w:r>
    </w:p>
    <w:p>
      <w:pPr>
        <w:pStyle w:val="TextBody"/>
        <w:spacing w:before="240" w:after="0"/>
        <w:jc w:val="left"/>
        <w:rPr>
          <w:rFonts w:ascii="Times New Roman" w:hAnsi="Times New Roman"/>
          <w:sz w:val="20"/>
        </w:rPr>
      </w:pPr>
      <w:r>
        <w:rPr>
          <w:rFonts w:ascii="Times New Roman;serif" w:hAnsi="Times New Roman;serif"/>
          <w:b w:val="false"/>
          <w:sz w:val="20"/>
        </w:rPr>
        <w:t>Gross profit, expressed as a percentage of net service revenues was 44.4% and 50.9% for the three months ended March 31, 2023 and 2022, respectively. For the three months ended March 31, 2023, the decrease was mainly attributed to increases in direct employee wage, tax and benefit costs.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hospice segment’s general and administrative expenses primarily consist of administrative employee wage, tax and benefit costs, rent, information technology and office expenses. General and administrative expenses, expressed as a percentage of net service revenues was 26.5% and 24.6% for the three months ended March 31, 2023 and 2022, respectively. The increase in general and administrative expenses was primarily due to a $1.2 million increase in administrative employee wage, tax and benefit costs for the three months ended March 31, 2023.</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Home Health Segment</w:t>
      </w:r>
    </w:p>
    <w:p>
      <w:pPr>
        <w:pStyle w:val="TextBody"/>
        <w:spacing w:before="0" w:after="0"/>
        <w:jc w:val="left"/>
        <w:rPr/>
      </w:pPr>
      <w:r>
        <w:rPr/>
        <w:t> </w:t>
      </w:r>
    </w:p>
    <w:tbl>
      <w:tblPr>
        <w:tblW w:w="9671" w:type="dxa"/>
        <w:jc w:val="left"/>
        <w:tblInd w:w="0" w:type="dxa"/>
        <w:tblCellMar>
          <w:top w:w="28" w:type="dxa"/>
          <w:left w:w="28" w:type="dxa"/>
          <w:bottom w:w="28" w:type="dxa"/>
          <w:right w:w="28" w:type="dxa"/>
        </w:tblCellMar>
      </w:tblPr>
      <w:tblGrid>
        <w:gridCol w:w="3091"/>
        <w:gridCol w:w="146"/>
        <w:gridCol w:w="781"/>
        <w:gridCol w:w="271"/>
        <w:gridCol w:w="931"/>
        <w:gridCol w:w="271"/>
        <w:gridCol w:w="146"/>
        <w:gridCol w:w="691"/>
        <w:gridCol w:w="271"/>
        <w:gridCol w:w="931"/>
        <w:gridCol w:w="271"/>
        <w:gridCol w:w="146"/>
        <w:gridCol w:w="691"/>
        <w:gridCol w:w="146"/>
        <w:gridCol w:w="571"/>
        <w:gridCol w:w="31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8"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0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w:t>
              <w:br/>
              <w:t>Segment</w:t>
              <w:br/>
              <w:t>Net Service</w:t>
              <w:br/>
              <w:t>Revenues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8"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 Except Percentages)</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Results</w:t>
            </w:r>
          </w:p>
        </w:tc>
        <w:tc>
          <w:tcPr>
            <w:tcW w:w="146" w:type="dxa"/>
            <w:tcBorders/>
            <w:shd w:fill="auto" w:val="clear"/>
            <w:vAlign w:val="center"/>
          </w:tcPr>
          <w:p>
            <w:pPr>
              <w:pStyle w:val="TableContents"/>
              <w:spacing w:before="0" w:after="0"/>
              <w:ind w:left="0" w:right="0" w:hanging="0"/>
              <w:jc w:val="left"/>
              <w:rPr/>
            </w:pPr>
            <w:r>
              <w:rPr/>
              <w:t> </w:t>
            </w:r>
          </w:p>
        </w:tc>
        <w:tc>
          <w:tcPr>
            <w:tcW w:w="6118" w:type="dxa"/>
            <w:gridSpan w:val="13"/>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service revenues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$12,485</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$9,275</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$3,210</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revenues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4,951</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2,559</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2,392</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93.5</w:t>
            </w:r>
          </w:p>
        </w:tc>
        <w:tc>
          <w:tcPr>
            <w:tcW w:w="316"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936.0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Business Metrics (Actual Numbers)</w:t>
            </w:r>
          </w:p>
        </w:tc>
        <w:tc>
          <w:tcPr>
            <w:tcW w:w="146"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Locations at period end</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New admissions *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3,893</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3,336</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Recertifications *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316"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volume *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5,442</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4,652</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316" w:type="dxa"/>
            <w:tcBorders/>
            <w:shd w:fill="auto" w:val="clear"/>
            <w:vAlign w:val="center"/>
          </w:tcPr>
          <w:p>
            <w:pPr>
              <w:pStyle w:val="TableContents"/>
              <w:spacing w:before="0" w:after="0"/>
              <w:ind w:left="0" w:right="0" w:hanging="0"/>
              <w:jc w:val="right"/>
              <w:rPr/>
            </w:pPr>
            <w:r>
              <w:rPr/>
              <w:t> </w:t>
            </w:r>
          </w:p>
        </w:tc>
      </w:tr>
      <w:tr>
        <w:trPr/>
        <w:tc>
          <w:tcPr>
            <w:tcW w:w="30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Visits *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77,828</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65,213</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12,615</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Organic growth</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firstLine="100"/>
              <w:jc w:val="right"/>
              <w:rPr/>
            </w:pPr>
            <w:r>
              <w:rPr/>
              <w:t> </w:t>
            </w:r>
          </w:p>
        </w:tc>
      </w:tr>
      <w:tr>
        <w:trPr/>
        <w:tc>
          <w:tcPr>
            <w:tcW w:w="3091"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 xml:space="preserve">- Revenue *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firstLine="100"/>
              <w:jc w:val="right"/>
              <w:rPr/>
            </w:pPr>
            <w:r>
              <w:rPr/>
              <w:t> </w:t>
            </w:r>
          </w:p>
        </w:tc>
      </w:tr>
      <w:tr>
        <w:trPr/>
        <w:tc>
          <w:tcPr>
            <w:tcW w:w="3091"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20"/>
              </w:rPr>
              <w:t xml:space="preserve">- Admissions *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27</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rFonts w:ascii="Times New Roman;serif" w:hAnsi="Times New Roman;serif"/>
          <w:b w:val="false"/>
          <w:sz w:val="18"/>
        </w:rPr>
      </w:pPr>
      <w:r>
        <w:rPr>
          <w:rFonts w:ascii="Times New Roman;serif" w:hAnsi="Times New Roman;serif"/>
          <w:b w:val="false"/>
          <w:sz w:val="18"/>
        </w:rPr>
        <w:t>Represents new patients during the period.</w:t>
      </w:r>
    </w:p>
    <w:p>
      <w:pPr>
        <w:pStyle w:val="TextBody"/>
        <w:spacing w:before="90" w:after="0"/>
        <w:jc w:val="left"/>
        <w:rPr>
          <w:rFonts w:ascii="Times New Roman" w:hAnsi="Times New Roman"/>
          <w:b w:val="false"/>
          <w:sz w:val="18"/>
        </w:rPr>
      </w:pPr>
      <w:r>
        <w:rPr>
          <w:rFonts w:ascii="Times New Roman" w:hAnsi="Times New Roman"/>
          <w:b w:val="false"/>
          <w:sz w:val="18"/>
        </w:rPr>
        <w:t>(2)</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pStyle w:val="TextBody"/>
        <w:spacing w:before="90" w:after="0"/>
        <w:jc w:val="left"/>
        <w:rPr>
          <w:rFonts w:ascii="Times New Roman" w:hAnsi="Times New Roman"/>
          <w:b w:val="false"/>
          <w:sz w:val="18"/>
        </w:rPr>
      </w:pPr>
      <w:r>
        <w:rPr>
          <w:rFonts w:ascii="Times New Roman" w:hAnsi="Times New Roman"/>
          <w:b w:val="false"/>
          <w:sz w:val="18"/>
        </w:rPr>
        <w:t>(3)</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Total volume is total admissions and total recertifications in the period.</w:t>
      </w:r>
    </w:p>
    <w:p>
      <w:pPr>
        <w:pStyle w:val="TextBody"/>
        <w:spacing w:before="90" w:after="0"/>
        <w:jc w:val="left"/>
        <w:rPr>
          <w:rFonts w:ascii="Times New Roman" w:hAnsi="Times New Roman"/>
          <w:b w:val="false"/>
          <w:sz w:val="18"/>
        </w:rPr>
      </w:pPr>
      <w:r>
        <w:rPr>
          <w:rFonts w:ascii="Times New Roman" w:hAnsi="Times New Roman"/>
          <w:b w:val="false"/>
          <w:sz w:val="18"/>
        </w:rPr>
        <w:t>(4)</w:t>
      </w:r>
    </w:p>
    <w:p>
      <w:pPr>
        <w:pStyle w:val="TextBody"/>
        <w:spacing w:before="90" w:after="0"/>
        <w:jc w:val="left"/>
        <w:rPr>
          <w:rFonts w:ascii="Times New Roman;serif" w:hAnsi="Times New Roman;serif"/>
          <w:b w:val="false"/>
          <w:sz w:val="18"/>
        </w:rPr>
      </w:pPr>
      <w:r>
        <w:rPr>
          <w:rFonts w:ascii="Times New Roman;serif" w:hAnsi="Times New Roman;serif"/>
          <w:b w:val="false"/>
          <w:sz w:val="18"/>
        </w:rPr>
        <w:t xml:space="preserve">Represents number of services to patients in the period. </w:t>
      </w:r>
    </w:p>
    <w:p>
      <w:pPr>
        <w:pStyle w:val="TextBody"/>
        <w:spacing w:before="90" w:after="0"/>
        <w:jc w:val="left"/>
        <w:rPr>
          <w:rFonts w:ascii="Times New Roman" w:hAnsi="Times New Roman"/>
          <w:b w:val="false"/>
          <w:sz w:val="18"/>
        </w:rPr>
      </w:pPr>
      <w:r>
        <w:rPr>
          <w:rFonts w:ascii="Times New Roman" w:hAnsi="Times New Roman"/>
          <w:b w:val="false"/>
          <w:sz w:val="18"/>
        </w:rPr>
        <w:t>(5)</w:t>
      </w:r>
    </w:p>
    <w:p>
      <w:pPr>
        <w:pStyle w:val="TextBody"/>
        <w:spacing w:before="90" w:after="283"/>
        <w:jc w:val="left"/>
        <w:rPr/>
      </w:pPr>
      <w:r>
        <w:rPr>
          <w:rFonts w:ascii="Times New Roman;serif" w:hAnsi="Times New Roman;serif"/>
          <w:b w:val="false"/>
          <w:sz w:val="18"/>
        </w:rPr>
        <w:t>Revenue organic growth and admissions organic growth reflect the change in year-over-year revenue and admissions for the same store base. We define the same store base to include those stores open for at least 52 full weeks. These measures highlight the</w:t>
      </w:r>
      <w:r>
        <w:rPr/>
        <w:t xml:space="preserve"> </w:t>
      </w:r>
      <w:r>
        <w:rPr>
          <w:rFonts w:ascii="Times New Roman;serif" w:hAnsi="Times New Roman;serif"/>
          <w:b w:val="false"/>
          <w:sz w:val="18"/>
        </w:rPr>
        <w:t>performance of existing stores, while excluding the impact of acquisitions, new store openings and closures.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home health segment generates net service revenues by providing home health services on a short-term, intermittent or episodic basis to individuals, generally to treat an illness or injury. Net service revenues from Medicare accounted for 74.2% and 73.4%, managed care organizations accounted for 20.3% and 20.5% and other accounted for 5.5% and 6.1% for the three months ended March 31, 2023 and 2022,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spacing w:before="240" w:after="0"/>
        <w:jc w:val="left"/>
        <w:rPr>
          <w:rFonts w:ascii="Times New Roman" w:hAnsi="Times New Roman"/>
          <w:sz w:val="20"/>
        </w:rPr>
      </w:pPr>
      <w:r>
        <w:rPr>
          <w:rFonts w:ascii="Times New Roman;serif" w:hAnsi="Times New Roman;serif"/>
          <w:b w:val="false"/>
          <w:sz w:val="20"/>
        </w:rPr>
        <w:t>Net service revenues increased by $3.2 million for the three months ended March 31, 2023, compared to the three months ended March 31, 2022. Total visits increased for the three months ended March 31, 2023, mainly attributed to the acquisition of Apple Home HealthCare on October 1,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Gross profit, expressed as a percentage of net service revenues was 39.7% and 27.6% for the three months ended March 31, 2023 and 2022, respectively. For the three months ended March 31, 2023, the increase was primarily due to an increase in net service revenues compared to the three months ended March 31, 2022. Cost of services revenues for the three months ended March 31, 2023 increased compared to the corresponding period in 2022, due to an increase in direct employee wage, tax and benefit costs.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home health segment’s general and administrative expenses primarily consist of administrative employee wage, tax and benefit costs, rent, information technology and office expenses. General and administrative expenses, expressed as a percentage of net service revenues was 23.1% and 25.4% for the three months ended March 31, 2023 and 2022, respectively. General and administrative expenses for the three months ended March 31, 2023 increased compared to the corresponding period in 2022, primarily due to an increase in administrative employee wage, tax and benefit costs of $ 0.4 million for the three months ended March 31, 2023.</w:t>
      </w:r>
    </w:p>
    <w:p>
      <w:pPr>
        <w:pStyle w:val="TextBody"/>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spacing w:before="120" w:after="0"/>
        <w:jc w:val="left"/>
        <w:rPr>
          <w:rFonts w:ascii="Times New Roman;serif" w:hAnsi="Times New Roman;serif"/>
          <w:b/>
          <w:i/>
          <w:sz w:val="20"/>
        </w:rPr>
      </w:pPr>
      <w:r>
        <w:rPr>
          <w:rFonts w:ascii="Times New Roman;serif" w:hAnsi="Times New Roman;serif"/>
          <w:b/>
          <w:i/>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primary sources of liquidity are cash on hand and cash from operations and borrowings under our credit facility. At March 31, 2023 and December 31, 2022, we had cash balances of $73.5 million and $80.0 million, respectively. At March 31, 2023, we had a $600.0 million revolving credit facility and a $125.0 million incremental loan facility, which may be for term loans or an increase to the revolving loan commitments. The maturity of this credit facility is July 30, 2026.</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we used approximately $1.0 million in cash to fund the CareStaff acquisition and repaid $23.5 million under our revolving credit facility.</w:t>
      </w:r>
      <w:r>
        <w:rPr>
          <w:rFonts w:ascii="Times New Roman" w:hAnsi="Times New Roman"/>
          <w:sz w:val="20"/>
        </w:rPr>
        <w:t xml:space="preserve"> </w:t>
      </w:r>
      <w:r>
        <w:rPr>
          <w:rFonts w:ascii="Times New Roman;serif" w:hAnsi="Times New Roman;serif"/>
          <w:b w:val="false"/>
          <w:sz w:val="20"/>
        </w:rPr>
        <w:t>As of March 31, 2023, we had a total of $111.4 million in revolving loans, with an interest rate of 6.59% outstanding on our credit facility and after giving effect to the amount drawn on our credit facility, approximately $8.0 million of outstanding letters of credit and borrowing limits based on an advance multiple of adjusted EBITDA (as defined in the Credit Agreement), we had $395.1 million of capacity and $275.7 million available for borrowing under our credit facility. At December 31, 2022, we had a total of $134.9 million revolving credit loans, with an interest rate of 6.13%, outstanding on our credit facility.</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28</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credit facility requires us to maintain a total net leverage ratio not exceeding 3.75:1.00. At March 31, 2023,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spacing w:before="240" w:after="0"/>
        <w:jc w:val="left"/>
        <w:rPr>
          <w:rFonts w:ascii="Times New Roman" w:hAnsi="Times New Roman"/>
          <w:sz w:val="20"/>
        </w:rPr>
      </w:pPr>
      <w:r>
        <w:rPr>
          <w:rFonts w:ascii="Times New Roman;serif" w:hAnsi="Times New Roman;serif"/>
          <w:b w:val="false"/>
          <w:sz w:val="20"/>
        </w:rPr>
        <w:t xml:space="preserve">See Note 7 to the Notes to Condensed Consolidated Financial Statements, </w:t>
      </w:r>
      <w:r>
        <w:rPr>
          <w:rFonts w:ascii="Times New Roman;serif" w:hAnsi="Times New Roman;serif"/>
          <w:b w:val="false"/>
          <w:i/>
          <w:sz w:val="20"/>
        </w:rPr>
        <w:t>Long-Term Debt</w:t>
      </w:r>
      <w:r>
        <w:rPr>
          <w:rFonts w:ascii="Times New Roman;serif" w:hAnsi="Times New Roman;serif"/>
          <w:b w:val="false"/>
          <w:sz w:val="20"/>
        </w:rPr>
        <w:t>, for additional details of our long-term debt.</w:t>
      </w:r>
    </w:p>
    <w:p>
      <w:pPr>
        <w:pStyle w:val="TextBody"/>
        <w:spacing w:before="360" w:after="0"/>
        <w:jc w:val="left"/>
        <w:rPr>
          <w:rFonts w:ascii="Times New Roman;serif" w:hAnsi="Times New Roman;serif"/>
          <w:b/>
          <w:i/>
          <w:sz w:val="20"/>
        </w:rPr>
      </w:pPr>
      <w:r>
        <w:rPr>
          <w:rFonts w:ascii="Times New Roman;serif" w:hAnsi="Times New Roman;serif"/>
          <w:b/>
          <w:i/>
          <w:sz w:val="20"/>
        </w:rPr>
        <w:t>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May 11, 2023, and the Biden administration has indicated that it will not be extended.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ARPA Spending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three months ended March 31, 2023, the Company received state funding provided by the ARPA in an aggregate amount of $0.4 million. The Company did not record revenue and related costs of service revenue during the three months ended March 31, 2023, because revenue recognition criteria were not met. The Company deferred the remaining $11.0 million, which was received from states with specific spending plans and reporting requirements. The Company utilized $2.4 million of these funds during the three months ended March 31, 2023, primarily for caregivers and adding support to recruiting and retention efforts, included as a reduction of cost of service revenues in the Company’s Consolidated Statements of Income. As of March 31, 2023, the deferred portion of ARPA funding of $11.0 million is included within Government stimulus advances on the Company’s Unaudited Condensed Consolidated Balance Sheets.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Medicare sequester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CARES Act and related legislation temporarily lifted the Medicare sequester that would have otherwise reduced payments to Medicare providers by 2% as required by the Budget Control Act of 2011, from May 1, 2020 through March 31, 2022. The sequestration payment adjustment was phased back in, returning to a 2% reduction on July 1, 2022. These sequestration cuts have been extended through the first six months of 2032.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our hospice segment, Medicare sequester relief resulted in an increase in net service revenues of $0.0 million and $0.9 million for the three months ended March 31, 2023 and 2022, respectively. In our home health segment, Medicare sequester relief resulted in an increase in net service revenues of $0.0 million and $0.2 million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w:t>
      </w:r>
    </w:p>
    <w:p>
      <w:pPr>
        <w:pStyle w:val="TextBody"/>
        <w:spacing w:before="240" w:after="0"/>
        <w:jc w:val="left"/>
        <w:rPr>
          <w:rFonts w:ascii="Times New Roman" w:hAnsi="Times New Roman"/>
          <w:sz w:val="20"/>
        </w:rPr>
      </w:pPr>
      <w:r>
        <w:rPr>
          <w:rFonts w:ascii="Times New Roman;serif" w:hAnsi="Times New Roman;serif"/>
          <w:b w:val="false"/>
          <w:sz w:val="20"/>
        </w:rPr>
        <w:t xml:space="preserve">See Note 6 to the Notes to Condensed Consolidated Financial Statements, </w:t>
      </w:r>
      <w:r>
        <w:rPr>
          <w:rFonts w:ascii="Times New Roman;serif" w:hAnsi="Times New Roman;serif"/>
          <w:b w:val="false"/>
          <w:i/>
          <w:sz w:val="20"/>
        </w:rPr>
        <w:t>COVID-19 Pandemic</w:t>
      </w:r>
      <w:r>
        <w:rPr>
          <w:rFonts w:ascii="Times New Roman;serif" w:hAnsi="Times New Roman;serif"/>
          <w:b w:val="false"/>
          <w:sz w:val="20"/>
        </w:rPr>
        <w:t>, for additional details of the COVID-19 pandemic.</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29</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changes in our cash flows:</w:t>
      </w:r>
    </w:p>
    <w:p>
      <w:pPr>
        <w:pStyle w:val="TextBody"/>
        <w:spacing w:before="0" w:after="0"/>
        <w:jc w:val="left"/>
        <w:rPr/>
      </w:pPr>
      <w:r>
        <w:rPr/>
        <w:t> </w:t>
      </w:r>
    </w:p>
    <w:tbl>
      <w:tblPr>
        <w:tblW w:w="7556" w:type="dxa"/>
        <w:jc w:val="left"/>
        <w:tblInd w:w="0" w:type="dxa"/>
        <w:tblCellMar>
          <w:top w:w="28" w:type="dxa"/>
          <w:left w:w="28" w:type="dxa"/>
          <w:bottom w:w="28" w:type="dxa"/>
          <w:right w:w="28" w:type="dxa"/>
        </w:tblCellMar>
      </w:tblPr>
      <w:tblGrid>
        <w:gridCol w:w="4216"/>
        <w:gridCol w:w="146"/>
        <w:gridCol w:w="285"/>
        <w:gridCol w:w="996"/>
        <w:gridCol w:w="224"/>
        <w:gridCol w:w="197"/>
        <w:gridCol w:w="285"/>
        <w:gridCol w:w="996"/>
        <w:gridCol w:w="2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(Amounts 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18,799</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5,983</w:t>
            </w:r>
          </w:p>
        </w:tc>
        <w:tc>
          <w:tcPr>
            <w:tcW w:w="2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(1,742</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(85,594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(23,475</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35,479</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Three Months Ended March 31, 2023 Compared to Three Months Ended March 31,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flows from operating activities represent the inflow of cash from our payors and the outflow of cash for payroll and payroll taxes, operating expenses, interest and taxes. Net cash provided by operating activities was $18.8 million for the three months ended March 31, 2023, compared to net cash used in operating activities of $5.9 million for the same period in 2022. The increase in cash provided by operations was primarily due to the timing of receipts on accounts receivable and the timing of government stimulus funds. The changes in accounts receivable were primarily related to the growth in revenue offset by a decrease in days sales outstanding (“DSO”) during the three months ended March 31, 2023 as compared to the three months ended March 31, 2022. The related receivables due from the Illinois Department on Aging represented 21.5% and 16.1% of the Company’s net accounts receivable at March 31, 2023 and March 31,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investing activities for the three months ended March 31, 2023, primarily consisted of $1.0 million of net cash used for the Carestaff acquisition and $0.7 million of cash used for property and equipment purchases, primarily related to our ongoing investments in technology infrastructure fixed assets. Net cash used in investing activities for the three months ended March 31, 2022 primarily consisted of $84.5 million of net cash used for the JourneyCare acquisition and $1.1 million of cash used for property and equipment purchases.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for the three months ended March 31, 2023, primarily consisted of a $23.5 million payment on the revolver portion of our credit facility. Net cash provided by financing activities for the three months ended March 31, 2022 primarily consisted of $35.0 million of borrowings under our credit facility to partially fund the JourneyCare acquisition.</w:t>
      </w:r>
    </w:p>
    <w:p>
      <w:pPr>
        <w:pStyle w:val="TextBody"/>
        <w:spacing w:before="360" w:after="0"/>
        <w:jc w:val="left"/>
        <w:rPr>
          <w:rFonts w:ascii="Times New Roman;serif" w:hAnsi="Times New Roman;serif"/>
          <w:b/>
          <w:i/>
          <w:sz w:val="20"/>
        </w:rPr>
      </w:pPr>
      <w:r>
        <w:rPr>
          <w:rFonts w:ascii="Times New Roman;serif" w:hAnsi="Times New Roman;serif"/>
          <w:b/>
          <w:i/>
          <w:sz w:val="20"/>
        </w:rPr>
        <w:t>Outstanding Accounts Receivable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Gross accounts receivable as of March 31, 2023 and December 31, 2022 were approximately $126.7 million and $127.1 million, respectively. Outstanding accounts receivable, net of allowance for credit losses, decreased by $0.1 million as of March 31, 2023 as compared to December 31, 2022. Accounts receivable for the Illinois Department on Aging increased approximately $0.1 million during the quarter ended March 31, 2023.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calculate our DSO by taking the trade accounts receivable outstanding, net of allowance for credit losses for doubtful accounts, divided by the net service revenues for the last quarter, multiplied by the number of days in that quarter. Our DSOs were 44 days and 45 days at March 31, 2023 and December 31, 2022, respectively. The DSOs for our largest payor, the Illinois Department on Aging, were 44 days and 42 days at March 31, 2023 and December 31, 2022, respectively.</w:t>
      </w:r>
    </w:p>
    <w:p>
      <w:pPr>
        <w:pStyle w:val="TextBody"/>
        <w:spacing w:before="360" w:after="0"/>
        <w:jc w:val="left"/>
        <w:rPr>
          <w:rFonts w:ascii="Times New Roman;serif" w:hAnsi="Times New Roman;serif"/>
          <w:b/>
          <w:i/>
          <w:sz w:val="20"/>
        </w:rPr>
      </w:pPr>
      <w:r>
        <w:rPr>
          <w:rFonts w:ascii="Times New Roman;serif" w:hAnsi="Times New Roman;serif"/>
          <w:b/>
          <w:i/>
          <w:sz w:val="20"/>
        </w:rPr>
        <w:t>Off-Balance Sheet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did not have any off-balance sheet guarantees or arrangements with unconsolidated entities.</w:t>
      </w:r>
    </w:p>
    <w:p>
      <w:pPr>
        <w:pStyle w:val="TextBody"/>
        <w:spacing w:before="360" w:after="0"/>
        <w:jc w:val="left"/>
        <w:rPr>
          <w:rFonts w:ascii="Times New Roman;serif" w:hAnsi="Times New Roman;serif"/>
          <w:b/>
          <w:i/>
          <w:sz w:val="20"/>
        </w:rPr>
      </w:pPr>
      <w:r>
        <w:rPr>
          <w:rFonts w:ascii="Times New Roman;serif" w:hAnsi="Times New Roman;serif"/>
          <w:b/>
          <w:i/>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2022, filed on February 28, 2023.</w:t>
      </w:r>
    </w:p>
    <w:p>
      <w:pPr>
        <w:pStyle w:val="TextBody"/>
        <w:spacing w:before="36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Refer to Note 2 to the Notes to Condensed Consolidated Financial Statements (Unaudited) for further discussion.</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30</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val="false"/>
          <w:sz w:val="20"/>
        </w:rPr>
        <w:t>We are exposed to market risk associated with changes in interest rates on our variable rate long-term debt. As of March 31, 2023, we had available borrowing capacity of approximately $275.7 million on our credit facility, all of such borrowings were subject to variable interest rates.</w:t>
      </w:r>
      <w:r>
        <w:rPr>
          <w:rFonts w:ascii="Times New Roman" w:hAnsi="Times New Roman"/>
          <w:sz w:val="20"/>
        </w:rPr>
        <w:t xml:space="preserve"> </w:t>
      </w:r>
    </w:p>
    <w:p>
      <w:pPr>
        <w:pStyle w:val="TextBody"/>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16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our Chief Financial Officer, evaluated the effectiveness of our disclosure controls and procedures as of March 31, 2023.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240" w:after="0"/>
        <w:jc w:val="left"/>
        <w:rPr>
          <w:rFonts w:ascii="Times New Roman" w:hAnsi="Times New Roman"/>
          <w:sz w:val="20"/>
        </w:rPr>
      </w:pPr>
      <w:r>
        <w:rPr>
          <w:rFonts w:ascii="Times New Roman;serif" w:hAnsi="Times New Roman;serif"/>
          <w:b w:val="false"/>
          <w:sz w:val="20"/>
        </w:rPr>
        <w:t>Based on the evaluation of our disclosure controls and procedures, our Chief Executive Officer and Chief Financial Officer concluded that our disclosure controls and procedures were effective as of March 31, 2023.</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Changes in Internal Controls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connection with the evaluation required by Rule 13a-15(d) and 15d-15(d) of the Exchange Act that occurred during the fiscal quarter ended March 31, 2023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31</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3" w:name="part_ii_or_information"/>
      <w:bookmarkEnd w:id="13"/>
      <w:r>
        <w:rPr>
          <w:rFonts w:ascii="Times New Roman;serif" w:hAnsi="Times New Roman;serif"/>
          <w:b/>
          <w:sz w:val="20"/>
        </w:rPr>
        <w:t>PART II – OTHER INFORMATION</w:t>
      </w:r>
    </w:p>
    <w:p>
      <w:pPr>
        <w:pStyle w:val="TextBody"/>
        <w:spacing w:before="180" w:after="0"/>
        <w:jc w:val="left"/>
        <w:rPr>
          <w:rFonts w:ascii="Times New Roman" w:hAnsi="Times New Roman"/>
          <w:sz w:val="20"/>
        </w:rPr>
      </w:pPr>
      <w:bookmarkStart w:id="14" w:name="item_1_legal_proceedings"/>
      <w:bookmarkEnd w:id="1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spacing w:before="18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Investing in our common stock involves a high degree of risk. You should carefully consider the risk factors discussed under the caption “Risk Factors” set forth in Part I, Item 1A, of our Annual Report on Form 10-K for the year ended December 31, 2022, filed on February 28, 2022.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pStyle w:val="TextBody"/>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sz w:val="20"/>
        </w:rPr>
        <w:t>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26, 2023, the Company entered into a Third Amendment to Amended and Restated Credit Agreement (the “Third Amendment”), by and among Addus HealthCare, Inc., as the borrower, the Company, certain subsidiaries of the Company party thereto, the lenders party thereto and Capital One, National Association, as a lender and as administrative agent for all lenders, which amended the Company’s existing Credit Agreement. The Third Amendment (i) replaces LIBOR with a forward-looking term SOFR-based rate as the applicable benchmark reference rate for loans under the credit facility and (ii) adds a 10-basis point credit spread adjustment for loans bearing interest based on SOFR. The Third Amendment does not change the interest rate margins applicable to the credit facility. The foregoing summary of the Third Amendment does not purport to be complete and is subject to, and qualified in its entirety by, the full text of the Third Amendment, which is filed as Exhibit 10.1 to this Form 10-Q, and, in its entirety, is incorporated by reference herein.</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32</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left"/>
        <w:rPr>
          <w:rFonts w:ascii="Times New Roman" w:hAnsi="Times New Roman"/>
          <w:sz w:val="20"/>
        </w:rPr>
      </w:pPr>
      <w:bookmarkStart w:id="20" w:name="item_6_exhibits"/>
      <w:bookmarkEnd w:id="20"/>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EXHIBIT INDEX</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821"/>
        <w:gridCol w:w="146"/>
        <w:gridCol w:w="5732"/>
        <w:gridCol w:w="146"/>
        <w:gridCol w:w="586"/>
        <w:gridCol w:w="146"/>
        <w:gridCol w:w="800"/>
        <w:gridCol w:w="146"/>
        <w:gridCol w:w="693"/>
        <w:gridCol w:w="146"/>
        <w:gridCol w:w="843"/>
      </w:tblGrid>
      <w:tr>
        <w:trPr/>
        <w:tc>
          <w:tcPr>
            <w:tcW w:w="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0"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Incorporated by Reference</w:t>
            </w:r>
          </w:p>
        </w:tc>
      </w:tr>
      <w:tr>
        <w:trPr/>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Description of Document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File No.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Date Filing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left"/>
              <w:rPr/>
            </w:pPr>
            <w:r>
              <w:rPr/>
              <w:t> </w:t>
            </w:r>
          </w:p>
        </w:tc>
      </w:tr>
      <w:tr>
        <w:trPr/>
        <w:tc>
          <w:tcPr>
            <w:tcW w:w="821" w:type="dxa"/>
            <w:tcBorders/>
            <w:shd w:fill="auto" w:val="clear"/>
            <w:vAlign w:val="center"/>
          </w:tcPr>
          <w:p>
            <w:pPr>
              <w:pStyle w:val="TableContents"/>
              <w:spacing w:before="0" w:after="0"/>
              <w:ind w:left="0" w:right="0" w:hanging="0"/>
              <w:jc w:val="center"/>
              <w:rPr/>
            </w:pPr>
            <w:hyperlink r:id="rId2">
              <w:r>
                <w:rPr>
                  <w:rStyle w:val="InternetLink"/>
                  <w:rFonts w:ascii="Times New Roman;serif" w:hAnsi="Times New Roman;serif"/>
                  <w:b w:val="false"/>
                  <w:sz w:val="20"/>
                  <w:u w:val="single"/>
                </w:rPr>
                <w:t>3.1</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Certificate of Incorporation of the Company dated as of October 27, 2009.</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001-34504</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11/20/2009</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r:id="rId4">
              <w:r>
                <w:rPr>
                  <w:rStyle w:val="InternetLink"/>
                  <w:rFonts w:ascii="Times New Roman;serif" w:hAnsi="Times New Roman;serif"/>
                  <w:b w:val="false"/>
                  <w:sz w:val="20"/>
                  <w:u w:val="single"/>
                </w:rPr>
                <w:t>3.2</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Amended and Restated Bylaws of the Company, as amended by the First Amendment to the Amended and Restated Bylaws.</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001-34504</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05/9/2013</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r:id="rId6">
              <w:r>
                <w:rPr>
                  <w:rStyle w:val="InternetLink"/>
                  <w:rFonts w:ascii="Times New Roman;serif" w:hAnsi="Times New Roman;serif"/>
                  <w:b w:val="false"/>
                  <w:sz w:val="20"/>
                  <w:u w:val="single"/>
                </w:rPr>
                <w:t>4.1</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Form of Common Stock Certificate.</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333-160634</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10/2/2009</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w:anchor="adus-ex10_1.htm">
              <w:r>
                <w:rPr>
                  <w:rStyle w:val="InternetLink"/>
                  <w:rFonts w:ascii="Times New Roman;serif" w:hAnsi="Times New Roman;serif"/>
                  <w:b w:val="false"/>
                  <w:sz w:val="20"/>
                  <w:u w:val="single"/>
                </w:rPr>
                <w:t>10.1</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w:anchor="adus-ex10_1.htm">
              <w:r>
                <w:rPr>
                  <w:rStyle w:val="InternetLink"/>
                  <w:rFonts w:ascii="Times New Roman;serif" w:hAnsi="Times New Roman;serif"/>
                  <w:b w:val="false"/>
                  <w:sz w:val="20"/>
                  <w:u w:val="single"/>
                </w:rPr>
                <w:t>Third Amendment to Amended and Restated Credit Agreement, dated as of April 26, 2023,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w:anchor="adus-ex31_1.htm">
              <w:r>
                <w:rPr>
                  <w:rStyle w:val="InternetLink"/>
                  <w:rFonts w:ascii="Times New Roman;serif" w:hAnsi="Times New Roman;serif"/>
                  <w:b w:val="false"/>
                  <w:sz w:val="20"/>
                  <w:u w:val="single"/>
                </w:rPr>
                <w:t>31.1</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w:anchor="adus-ex31_1.htm">
              <w:r>
                <w:rPr>
                  <w:rStyle w:val="InternetLink"/>
                  <w:rFonts w:ascii="Times New Roman;serif" w:hAnsi="Times New Roman;serif"/>
                  <w:b w:val="false"/>
                  <w:sz w:val="20"/>
                  <w:u w:val="single"/>
                </w:rPr>
                <w:t>Certification of Chief Executive Officer Pursuant to Rule 13a-14(a) of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w:anchor="adus-ex31_2.htm">
              <w:r>
                <w:rPr>
                  <w:rStyle w:val="InternetLink"/>
                  <w:rFonts w:ascii="Times New Roman;serif" w:hAnsi="Times New Roman;serif"/>
                  <w:b w:val="false"/>
                  <w:sz w:val="20"/>
                  <w:u w:val="single"/>
                </w:rPr>
                <w:t>31.2</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w:anchor="adus-ex31_2.htm">
              <w:r>
                <w:rPr>
                  <w:rStyle w:val="InternetLink"/>
                  <w:rFonts w:ascii="Times New Roman;serif" w:hAnsi="Times New Roman;serif"/>
                  <w:b w:val="false"/>
                  <w:sz w:val="20"/>
                  <w:u w:val="single"/>
                </w:rPr>
                <w:t>Certification of Chief Financial Officer Pursuant to Rule 13a-14(a) of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w:anchor="adus-ex32_1.htm">
              <w:r>
                <w:rPr>
                  <w:rStyle w:val="InternetLink"/>
                  <w:rFonts w:ascii="Times New Roman;serif" w:hAnsi="Times New Roman;serif"/>
                  <w:b w:val="false"/>
                  <w:sz w:val="20"/>
                  <w:u w:val="single"/>
                </w:rPr>
                <w:t>32.1</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w:anchor="adus-ex32_1.htm">
              <w:r>
                <w:rPr>
                  <w:rStyle w:val="InternetLink"/>
                  <w:rFonts w:ascii="Times New Roman;serif" w:hAnsi="Times New Roman;serif"/>
                  <w:b w:val="false"/>
                  <w:sz w:val="20"/>
                  <w:u w:val="single"/>
                </w:rPr>
                <w:t>Certification of Chief Executive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hyperlink w:anchor="adus-ex32_2.htm">
              <w:r>
                <w:rPr>
                  <w:rStyle w:val="InternetLink"/>
                  <w:rFonts w:ascii="Times New Roman;serif" w:hAnsi="Times New Roman;serif"/>
                  <w:b w:val="false"/>
                  <w:sz w:val="20"/>
                  <w:u w:val="single"/>
                </w:rPr>
                <w:t>32.2</w:t>
              </w:r>
            </w:hyperlink>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hyperlink w:anchor="adus-ex32_2.htm">
              <w:r>
                <w:rPr>
                  <w:rStyle w:val="InternetLink"/>
                  <w:rFonts w:ascii="Times New Roman;serif" w:hAnsi="Times New Roman;serif"/>
                  <w:b w:val="false"/>
                  <w:sz w:val="20"/>
                  <w:u w:val="single"/>
                </w:rPr>
                <w:t>Certification of Chief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tags are embedded within the Inline XBRL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r>
        <w:trPr/>
        <w:tc>
          <w:tcPr>
            <w:tcW w:w="8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 and contained in Exhibit 101).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3" w:type="dxa"/>
            <w:tcBorders/>
            <w:shd w:fill="auto" w:val="clear"/>
            <w:vAlign w:val="center"/>
          </w:tcPr>
          <w:p>
            <w:pPr>
              <w:pStyle w:val="TableContents"/>
              <w:spacing w:before="0" w:after="0"/>
              <w:ind w:left="0" w:right="0" w:hanging="0"/>
              <w:jc w:val="center"/>
              <w:rPr/>
            </w:pPr>
            <w:r>
              <w:rPr/>
              <w:t> </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 Management compensatory plan or arrangement</w:t>
      </w:r>
    </w:p>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33</w:t>
      </w:r>
    </w:p>
    <w:p>
      <w:pPr>
        <w:pStyle w:val="HorizontalLine"/>
        <w:rPr/>
      </w:pPr>
      <w:r>
        <w:rPr/>
      </w:r>
    </w:p>
    <w:p>
      <w:pPr>
        <w:pStyle w:val="TextBody"/>
        <w:spacing w:before="0" w:after="0"/>
        <w:jc w:val="left"/>
        <w:rPr/>
      </w:pPr>
      <w:hyperlink w:anchor="index">
        <w:r>
          <w:rPr>
            <w:rStyle w:val="InternetLink"/>
            <w:rFonts w:ascii="Times New Roman;serif" w:hAnsi="Times New Roman;serif"/>
            <w:b/>
            <w:sz w:val="20"/>
            <w:u w:val="single"/>
          </w:rPr>
          <w:t>Table of Contents</w:t>
        </w:r>
      </w:hyperlink>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SIGNATURES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295" w:type="dxa"/>
        <w:jc w:val="left"/>
        <w:tblInd w:w="0" w:type="dxa"/>
        <w:tblCellMar>
          <w:top w:w="28" w:type="dxa"/>
          <w:left w:w="28" w:type="dxa"/>
          <w:bottom w:w="28" w:type="dxa"/>
          <w:right w:w="28" w:type="dxa"/>
        </w:tblCellMar>
      </w:tblPr>
      <w:tblGrid>
        <w:gridCol w:w="1472"/>
        <w:gridCol w:w="162"/>
        <w:gridCol w:w="377"/>
        <w:gridCol w:w="162"/>
        <w:gridCol w:w="3122"/>
      </w:tblGrid>
      <w:tr>
        <w:trPr/>
        <w:tc>
          <w:tcPr>
            <w:tcW w:w="14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22" w:type="dxa"/>
            <w:tcBorders/>
            <w:shd w:fill="auto" w:val="clear"/>
            <w:vAlign w:val="center"/>
          </w:tcPr>
          <w:p>
            <w:pPr>
              <w:pStyle w:val="TableContents"/>
              <w:spacing w:before="0" w:after="283"/>
              <w:rPr>
                <w:sz w:val="4"/>
                <w:szCs w:val="4"/>
              </w:rPr>
            </w:pPr>
            <w:r>
              <w:rPr>
                <w:sz w:val="4"/>
                <w:szCs w:val="4"/>
              </w:rPr>
            </w:r>
          </w:p>
        </w:tc>
      </w:tr>
      <w:tr>
        <w:trPr/>
        <w:tc>
          <w:tcPr>
            <w:tcW w:w="147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122" w:type="dxa"/>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661" w:type="dxa"/>
            <w:gridSpan w:val="3"/>
            <w:tcBorders/>
            <w:shd w:fill="auto" w:val="clear"/>
            <w:vAlign w:val="center"/>
          </w:tcPr>
          <w:p>
            <w:pPr>
              <w:pStyle w:val="TableContents"/>
              <w:spacing w:before="0" w:after="0"/>
              <w:ind w:left="0" w:right="56" w:hanging="0"/>
              <w:jc w:val="left"/>
              <w:rPr>
                <w:rFonts w:ascii="Times New Roman;serif" w:hAnsi="Times New Roman;serif"/>
                <w:b/>
                <w:i/>
                <w:sz w:val="18"/>
              </w:rPr>
            </w:pPr>
            <w:r>
              <w:rPr>
                <w:rFonts w:ascii="Times New Roman;serif" w:hAnsi="Times New Roman;serif"/>
                <w:b/>
                <w:i/>
                <w:sz w:val="18"/>
              </w:rPr>
              <w:t>ADDUS HOMECARE CORPORATION</w:t>
            </w:r>
          </w:p>
        </w:tc>
      </w:tr>
      <w:tr>
        <w:trPr/>
        <w:tc>
          <w:tcPr>
            <w:tcW w:w="1472" w:type="dxa"/>
            <w:tcBorders/>
            <w:shd w:fill="auto" w:val="clear"/>
            <w:vAlign w:val="center"/>
          </w:tcPr>
          <w:p>
            <w:pPr>
              <w:pStyle w:val="TableContents"/>
              <w:spacing w:before="0" w:after="0"/>
              <w:ind w:left="0" w:right="0" w:hanging="0"/>
              <w:jc w:val="left"/>
              <w:rPr/>
            </w:pPr>
            <w:r>
              <w:rPr/>
              <w:t> </w:t>
            </w:r>
          </w:p>
        </w:tc>
        <w:tc>
          <w:tcPr>
            <w:tcW w:w="539" w:type="dxa"/>
            <w:gridSpan w:val="2"/>
            <w:tcBorders/>
            <w:shd w:fill="auto" w:val="clear"/>
            <w:vAlign w:val="center"/>
          </w:tcPr>
          <w:p>
            <w:pPr>
              <w:pStyle w:val="TableContents"/>
              <w:spacing w:before="0" w:after="0"/>
              <w:ind w:left="0" w:right="0" w:hanging="0"/>
              <w:jc w:val="left"/>
              <w:rPr/>
            </w:pPr>
            <w:r>
              <w:rPr/>
              <w:t> </w:t>
            </w:r>
          </w:p>
        </w:tc>
        <w:tc>
          <w:tcPr>
            <w:tcW w:w="3284" w:type="dxa"/>
            <w:gridSpan w:val="2"/>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Date: May 2, 2023</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By:</w:t>
            </w:r>
          </w:p>
        </w:tc>
        <w:tc>
          <w:tcPr>
            <w:tcW w:w="162" w:type="dxa"/>
            <w:tcBorders/>
            <w:shd w:fill="auto" w:val="clear"/>
            <w:vAlign w:val="center"/>
          </w:tcPr>
          <w:p>
            <w:pPr>
              <w:pStyle w:val="TableContents"/>
              <w:spacing w:before="0" w:after="0"/>
              <w:ind w:left="0" w:right="16" w:hanging="0"/>
              <w:jc w:val="left"/>
              <w:rPr/>
            </w:pPr>
            <w:r>
              <w:rPr/>
              <w:t> </w:t>
            </w:r>
          </w:p>
        </w:tc>
        <w:tc>
          <w:tcPr>
            <w:tcW w:w="3122" w:type="dxa"/>
            <w:tcBorders/>
            <w:shd w:fill="auto" w:val="clear"/>
            <w:vAlign w:val="center"/>
          </w:tcPr>
          <w:p>
            <w:pPr>
              <w:pStyle w:val="TableContents"/>
              <w:pBdr>
                <w:bottom w:val="single" w:sz="4" w:space="1" w:color="000000"/>
              </w:pBdr>
              <w:spacing w:before="0" w:after="0"/>
              <w:ind w:left="0" w:right="16" w:hanging="0"/>
              <w:jc w:val="center"/>
              <w:rPr>
                <w:rFonts w:ascii="Times New Roman;serif" w:hAnsi="Times New Roman;serif"/>
                <w:b w:val="false"/>
                <w:sz w:val="18"/>
              </w:rPr>
            </w:pPr>
            <w:r>
              <w:rPr>
                <w:rFonts w:ascii="Times New Roman;serif" w:hAnsi="Times New Roman;serif"/>
                <w:b w:val="false"/>
                <w:sz w:val="18"/>
              </w:rPr>
              <w:t>/s/ R. DIRK ALLISON</w:t>
            </w:r>
          </w:p>
        </w:tc>
      </w:tr>
      <w:tr>
        <w:trPr/>
        <w:tc>
          <w:tcPr>
            <w:tcW w:w="1472" w:type="dxa"/>
            <w:tcBorders/>
            <w:shd w:fill="auto" w:val="clear"/>
            <w:vAlign w:val="center"/>
          </w:tcPr>
          <w:p>
            <w:pPr>
              <w:pStyle w:val="TableContents"/>
              <w:spacing w:before="0" w:after="0"/>
              <w:ind w:left="0" w:right="0" w:hanging="0"/>
              <w:jc w:val="left"/>
              <w:rPr/>
            </w:pPr>
            <w:r>
              <w:rPr/>
              <w:t> </w:t>
            </w:r>
          </w:p>
        </w:tc>
        <w:tc>
          <w:tcPr>
            <w:tcW w:w="539" w:type="dxa"/>
            <w:gridSpan w:val="2"/>
            <w:tcBorders/>
            <w:shd w:fill="auto" w:val="clear"/>
            <w:vAlign w:val="center"/>
          </w:tcPr>
          <w:p>
            <w:pPr>
              <w:pStyle w:val="TableContents"/>
              <w:spacing w:before="0" w:after="0"/>
              <w:ind w:left="0" w:right="0" w:hanging="0"/>
              <w:jc w:val="left"/>
              <w:rPr/>
            </w:pPr>
            <w:r>
              <w:rPr/>
              <w:t> </w:t>
            </w:r>
          </w:p>
        </w:tc>
        <w:tc>
          <w:tcPr>
            <w:tcW w:w="3284" w:type="dxa"/>
            <w:gridSpan w:val="2"/>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283"/>
              <w:ind w:left="0" w:right="16" w:hanging="0"/>
              <w:rPr>
                <w:sz w:val="4"/>
                <w:szCs w:val="4"/>
              </w:rPr>
            </w:pPr>
            <w:r>
              <w:rPr>
                <w:sz w:val="4"/>
                <w:szCs w:val="4"/>
              </w:rPr>
            </w:r>
          </w:p>
        </w:tc>
        <w:tc>
          <w:tcPr>
            <w:tcW w:w="162" w:type="dxa"/>
            <w:tcBorders/>
            <w:shd w:fill="auto" w:val="clear"/>
            <w:vAlign w:val="center"/>
          </w:tcPr>
          <w:p>
            <w:pPr>
              <w:pStyle w:val="TableContents"/>
              <w:spacing w:before="0" w:after="0"/>
              <w:ind w:left="0" w:right="16" w:hanging="0"/>
              <w:jc w:val="left"/>
              <w:rPr/>
            </w:pPr>
            <w:r>
              <w:rPr/>
              <w:t> </w:t>
            </w:r>
          </w:p>
        </w:tc>
        <w:tc>
          <w:tcPr>
            <w:tcW w:w="3122" w:type="dxa"/>
            <w:tcBorders/>
            <w:shd w:fill="auto" w:val="clear"/>
            <w:vAlign w:val="center"/>
          </w:tcPr>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R. Dirk Allison</w:t>
            </w:r>
          </w:p>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Chairman and Chief Executive Officer</w:t>
            </w:r>
          </w:p>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(As Principal Executive Officer)</w:t>
            </w:r>
          </w:p>
        </w:tc>
      </w:tr>
      <w:tr>
        <w:trPr/>
        <w:tc>
          <w:tcPr>
            <w:tcW w:w="1472" w:type="dxa"/>
            <w:tcBorders/>
            <w:shd w:fill="auto" w:val="clear"/>
            <w:vAlign w:val="center"/>
          </w:tcPr>
          <w:p>
            <w:pPr>
              <w:pStyle w:val="TableContents"/>
              <w:spacing w:before="0" w:after="0"/>
              <w:ind w:left="0" w:right="0" w:hanging="0"/>
              <w:jc w:val="left"/>
              <w:rPr/>
            </w:pPr>
            <w:r>
              <w:rPr/>
              <w:t> </w:t>
            </w:r>
          </w:p>
        </w:tc>
        <w:tc>
          <w:tcPr>
            <w:tcW w:w="539" w:type="dxa"/>
            <w:gridSpan w:val="2"/>
            <w:tcBorders/>
            <w:shd w:fill="auto" w:val="clear"/>
            <w:vAlign w:val="center"/>
          </w:tcPr>
          <w:p>
            <w:pPr>
              <w:pStyle w:val="TableContents"/>
              <w:spacing w:before="0" w:after="0"/>
              <w:ind w:left="0" w:right="0" w:hanging="0"/>
              <w:jc w:val="left"/>
              <w:rPr/>
            </w:pPr>
            <w:r>
              <w:rPr/>
              <w:t> </w:t>
            </w:r>
          </w:p>
        </w:tc>
        <w:tc>
          <w:tcPr>
            <w:tcW w:w="3284" w:type="dxa"/>
            <w:gridSpan w:val="2"/>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Date: May 2, 2023</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By:</w:t>
            </w:r>
          </w:p>
        </w:tc>
        <w:tc>
          <w:tcPr>
            <w:tcW w:w="162" w:type="dxa"/>
            <w:tcBorders/>
            <w:shd w:fill="auto" w:val="clear"/>
            <w:vAlign w:val="center"/>
          </w:tcPr>
          <w:p>
            <w:pPr>
              <w:pStyle w:val="TableContents"/>
              <w:spacing w:before="0" w:after="0"/>
              <w:ind w:left="0" w:right="16" w:hanging="0"/>
              <w:jc w:val="left"/>
              <w:rPr/>
            </w:pPr>
            <w:r>
              <w:rPr/>
              <w:t> </w:t>
            </w:r>
          </w:p>
        </w:tc>
        <w:tc>
          <w:tcPr>
            <w:tcW w:w="3122" w:type="dxa"/>
            <w:tcBorders/>
            <w:shd w:fill="auto" w:val="clear"/>
            <w:vAlign w:val="center"/>
          </w:tcPr>
          <w:p>
            <w:pPr>
              <w:pStyle w:val="TableContents"/>
              <w:pBdr>
                <w:bottom w:val="single" w:sz="5" w:space="1" w:color="000000"/>
              </w:pBdr>
              <w:spacing w:before="0" w:after="0"/>
              <w:ind w:left="0" w:right="16" w:hanging="0"/>
              <w:jc w:val="center"/>
              <w:rPr>
                <w:rFonts w:ascii="Times New Roman;serif" w:hAnsi="Times New Roman;serif"/>
                <w:b w:val="false"/>
                <w:sz w:val="18"/>
              </w:rPr>
            </w:pPr>
            <w:r>
              <w:rPr>
                <w:rFonts w:ascii="Times New Roman;serif" w:hAnsi="Times New Roman;serif"/>
                <w:b w:val="false"/>
                <w:sz w:val="18"/>
              </w:rPr>
              <w:t>/s/ BRIAN POFF</w:t>
            </w:r>
          </w:p>
        </w:tc>
      </w:tr>
      <w:tr>
        <w:trPr/>
        <w:tc>
          <w:tcPr>
            <w:tcW w:w="1472" w:type="dxa"/>
            <w:tcBorders/>
            <w:shd w:fill="auto" w:val="clear"/>
            <w:vAlign w:val="center"/>
          </w:tcPr>
          <w:p>
            <w:pPr>
              <w:pStyle w:val="TableContents"/>
              <w:spacing w:before="0" w:after="0"/>
              <w:ind w:left="0" w:right="0" w:hanging="0"/>
              <w:jc w:val="left"/>
              <w:rPr/>
            </w:pPr>
            <w:r>
              <w:rPr/>
              <w:t> </w:t>
            </w:r>
          </w:p>
        </w:tc>
        <w:tc>
          <w:tcPr>
            <w:tcW w:w="539" w:type="dxa"/>
            <w:gridSpan w:val="2"/>
            <w:tcBorders/>
            <w:shd w:fill="auto" w:val="clear"/>
            <w:vAlign w:val="center"/>
          </w:tcPr>
          <w:p>
            <w:pPr>
              <w:pStyle w:val="TableContents"/>
              <w:spacing w:before="0" w:after="0"/>
              <w:ind w:left="0" w:right="0" w:hanging="0"/>
              <w:jc w:val="left"/>
              <w:rPr/>
            </w:pPr>
            <w:r>
              <w:rPr/>
              <w:t> </w:t>
            </w:r>
          </w:p>
        </w:tc>
        <w:tc>
          <w:tcPr>
            <w:tcW w:w="3284" w:type="dxa"/>
            <w:gridSpan w:val="2"/>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122" w:type="dxa"/>
            <w:tcBorders/>
            <w:shd w:fill="auto" w:val="clear"/>
            <w:vAlign w:val="center"/>
          </w:tcPr>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Brian Poff</w:t>
            </w:r>
          </w:p>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Chief Financial Officer</w:t>
            </w:r>
          </w:p>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(As Principal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18"/>
        </w:rPr>
      </w:pPr>
      <w:r>
        <w:rPr>
          <w:rFonts w:ascii="Times New Roman;serif" w:hAnsi="Times New Roman;serif"/>
          <w:b w:val="false"/>
          <w:sz w:val="18"/>
        </w:rPr>
        <w:t>34</w:t>
      </w:r>
    </w:p>
    <w:p>
      <w:pPr>
        <w:pStyle w:val="HorizontalLine"/>
        <w:rPr/>
      </w:pPr>
      <w:r>
        <w:rPr/>
      </w:r>
      <w:r>
        <w:br w:type="page"/>
      </w:r>
    </w:p>
    <w:p>
      <w:pPr>
        <w:pStyle w:val="TextBody"/>
        <w:spacing w:before="0" w:after="0"/>
        <w:jc w:val="right"/>
        <w:rPr/>
      </w:pPr>
      <w:bookmarkStart w:id="21" w:name="adus-ex10_1.htm"/>
      <w:bookmarkStart w:id="22" w:name="ksadusex10_1"/>
      <w:bookmarkEnd w:id="21"/>
      <w:bookmarkEnd w:id="22"/>
      <w:r>
        <w:rPr/>
        <w:t> </w:t>
      </w:r>
    </w:p>
    <w:p>
      <w:pPr>
        <w:pStyle w:val="TextBody"/>
        <w:spacing w:before="0" w:after="240"/>
        <w:jc w:val="right"/>
        <w:rPr>
          <w:rFonts w:ascii="Times New Roman;serif" w:hAnsi="Times New Roman;serif"/>
          <w:b/>
          <w:sz w:val="22"/>
        </w:rPr>
      </w:pPr>
      <w:r>
        <w:rPr>
          <w:rFonts w:ascii="Times New Roman;serif" w:hAnsi="Times New Roman;serif"/>
          <w:b/>
          <w:sz w:val="22"/>
        </w:rPr>
        <w:t>Exhibit 10.1</w:t>
      </w:r>
    </w:p>
    <w:p>
      <w:pPr>
        <w:pStyle w:val="TextBody"/>
        <w:spacing w:before="0" w:after="240"/>
        <w:jc w:val="center"/>
        <w:rPr>
          <w:rFonts w:ascii="Times New Roman;serif" w:hAnsi="Times New Roman;serif"/>
          <w:b/>
          <w:sz w:val="22"/>
        </w:rPr>
      </w:pPr>
      <w:r>
        <w:rPr>
          <w:rFonts w:ascii="Times New Roman;serif" w:hAnsi="Times New Roman;serif"/>
          <w:b/>
          <w:sz w:val="22"/>
        </w:rPr>
        <w:t>THIRD AMENDMENT TO AMENDED AND RESTATED CREDIT AGREEMENT</w:t>
      </w:r>
    </w:p>
    <w:p>
      <w:pPr>
        <w:pStyle w:val="TextBody"/>
        <w:spacing w:before="0" w:after="240"/>
        <w:jc w:val="both"/>
        <w:rPr>
          <w:rFonts w:ascii="Times New Roman" w:hAnsi="Times New Roman"/>
          <w:sz w:val="20"/>
        </w:rPr>
      </w:pPr>
      <w:r>
        <w:rPr>
          <w:rFonts w:ascii="Times New Roman;serif" w:hAnsi="Times New Roman;serif"/>
          <w:b w:val="false"/>
          <w:sz w:val="22"/>
        </w:rPr>
        <w:t>THIS THIRD AMENDMENT TO AMENDED AND RESTATED CREDIT AGREEMENT (this “</w:t>
      </w:r>
      <w:r>
        <w:rPr>
          <w:rFonts w:ascii="Times New Roman;serif" w:hAnsi="Times New Roman;serif"/>
          <w:b/>
          <w:i/>
          <w:sz w:val="22"/>
        </w:rPr>
        <w:t>Amendment</w:t>
      </w:r>
      <w:r>
        <w:rPr>
          <w:rFonts w:ascii="Times New Roman" w:hAnsi="Times New Roman"/>
          <w:sz w:val="20"/>
        </w:rPr>
        <w:t>”</w:t>
      </w:r>
      <w:r>
        <w:rPr>
          <w:rFonts w:ascii="Times New Roman;serif" w:hAnsi="Times New Roman;serif"/>
          <w:b w:val="false"/>
          <w:sz w:val="22"/>
        </w:rPr>
        <w:t>) is entered into as of April 26, 2023 (the “</w:t>
      </w:r>
      <w:r>
        <w:rPr>
          <w:rFonts w:ascii="Times New Roman;serif" w:hAnsi="Times New Roman;serif"/>
          <w:b/>
          <w:i/>
          <w:sz w:val="22"/>
        </w:rPr>
        <w:t>Effective Date</w:t>
      </w:r>
      <w:r>
        <w:rPr>
          <w:rFonts w:ascii="Times New Roman" w:hAnsi="Times New Roman"/>
          <w:sz w:val="20"/>
        </w:rPr>
        <w:t>”</w:t>
      </w:r>
      <w:r>
        <w:rPr>
          <w:rFonts w:ascii="Times New Roman;serif" w:hAnsi="Times New Roman;serif"/>
          <w:b w:val="false"/>
          <w:sz w:val="22"/>
        </w:rPr>
        <w:t>), by and among Addus HealthCare, Inc., an Illinois corporation (the “</w:t>
      </w:r>
      <w:r>
        <w:rPr>
          <w:rFonts w:ascii="Times New Roman;serif" w:hAnsi="Times New Roman;serif"/>
          <w:b/>
          <w:i/>
          <w:sz w:val="22"/>
        </w:rPr>
        <w:t>Borrower</w:t>
      </w:r>
      <w:r>
        <w:rPr>
          <w:rFonts w:ascii="Times New Roman" w:hAnsi="Times New Roman"/>
          <w:sz w:val="20"/>
        </w:rPr>
        <w:t>”</w:t>
      </w:r>
      <w:r>
        <w:rPr>
          <w:rFonts w:ascii="Times New Roman;serif" w:hAnsi="Times New Roman;serif"/>
          <w:b w:val="false"/>
          <w:sz w:val="22"/>
        </w:rPr>
        <w:t>), Addus HomeCare Corporation, a Delaware corporation (“</w:t>
      </w:r>
      <w:r>
        <w:rPr>
          <w:rFonts w:ascii="Times New Roman;serif" w:hAnsi="Times New Roman;serif"/>
          <w:b/>
          <w:i/>
          <w:sz w:val="22"/>
        </w:rPr>
        <w:t>Holdings</w:t>
      </w:r>
      <w:r>
        <w:rPr>
          <w:rFonts w:ascii="Times New Roman" w:hAnsi="Times New Roman"/>
          <w:sz w:val="20"/>
        </w:rPr>
        <w:t>”</w:t>
      </w:r>
      <w:r>
        <w:rPr>
          <w:rFonts w:ascii="Times New Roman;serif" w:hAnsi="Times New Roman;serif"/>
          <w:b w:val="false"/>
          <w:sz w:val="22"/>
        </w:rPr>
        <w:t>), the other Persons party hereto that are designated as a “Credit Party” on the signature pages hereof, Capital One, National Association, as Agent (the “</w:t>
      </w:r>
      <w:r>
        <w:rPr>
          <w:rFonts w:ascii="Times New Roman;serif" w:hAnsi="Times New Roman;serif"/>
          <w:b/>
          <w:i/>
          <w:sz w:val="22"/>
        </w:rPr>
        <w:t>Agent</w:t>
      </w:r>
      <w:r>
        <w:rPr>
          <w:rFonts w:ascii="Times New Roman" w:hAnsi="Times New Roman"/>
          <w:sz w:val="20"/>
        </w:rPr>
        <w:t>”</w:t>
      </w:r>
      <w:r>
        <w:rPr>
          <w:rFonts w:ascii="Times New Roman;serif" w:hAnsi="Times New Roman;serif"/>
          <w:b w:val="false"/>
          <w:sz w:val="22"/>
        </w:rPr>
        <w:t>) and as a Lender, and the other Lenders signatory hereto.</w:t>
      </w:r>
    </w:p>
    <w:p>
      <w:pPr>
        <w:pStyle w:val="TextBody"/>
        <w:spacing w:before="0" w:after="240"/>
        <w:jc w:val="center"/>
        <w:rPr>
          <w:rFonts w:ascii="Times New Roman;serif" w:hAnsi="Times New Roman;serif"/>
          <w:b w:val="false"/>
          <w:sz w:val="22"/>
        </w:rPr>
      </w:pPr>
      <w:r>
        <w:rPr>
          <w:rFonts w:ascii="Times New Roman;serif" w:hAnsi="Times New Roman;serif"/>
          <w:b w:val="false"/>
          <w:sz w:val="22"/>
        </w:rPr>
        <w:t>W I T N E S S E T H:</w:t>
      </w:r>
    </w:p>
    <w:p>
      <w:pPr>
        <w:pStyle w:val="TextBody"/>
        <w:spacing w:before="0" w:after="240"/>
        <w:jc w:val="both"/>
        <w:rPr>
          <w:rFonts w:ascii="Times New Roman" w:hAnsi="Times New Roman"/>
          <w:sz w:val="20"/>
        </w:rPr>
      </w:pPr>
      <w:r>
        <w:rPr>
          <w:rFonts w:ascii="Times New Roman;serif" w:hAnsi="Times New Roman;serif"/>
          <w:b w:val="false"/>
          <w:sz w:val="22"/>
        </w:rPr>
        <w:t>WHEREAS, Borrower, Holdings, the other Credit Parties, Agent and the other Lenders from time to time party thereto are parties to that certain Amended and Restated Credit Agreement dated as of October 31, 2018 (as amended by that certain First Amendment to Amended and Restated Credit Agreement dated as of September 12, 2019, as amended by that certain Second Amendment to Amended and Restated Credit Agreement dated as of July 30, 2021, and as further amended, restated, supplemented or modified from time to time prior to the date hereof, the “</w:t>
      </w:r>
      <w:r>
        <w:rPr>
          <w:rFonts w:ascii="Times New Roman;serif" w:hAnsi="Times New Roman;serif"/>
          <w:b/>
          <w:i/>
          <w:sz w:val="22"/>
        </w:rPr>
        <w:t>Existing Credit Agreement</w:t>
      </w:r>
      <w:r>
        <w:rPr>
          <w:rFonts w:ascii="Times New Roman" w:hAnsi="Times New Roman"/>
          <w:sz w:val="20"/>
        </w:rPr>
        <w:t>”</w:t>
      </w:r>
      <w:r>
        <w:rPr>
          <w:rFonts w:ascii="Times New Roman;serif" w:hAnsi="Times New Roman;serif"/>
          <w:b w:val="false"/>
          <w:sz w:val="22"/>
        </w:rPr>
        <w:t>; unless otherwise defined herein, capitalized terms used herein that are not otherwise defined herein shall have the respective meanings assigned to such terms in the Existing Credit Agreement as amended hereby (the “</w:t>
      </w:r>
      <w:r>
        <w:rPr>
          <w:rFonts w:ascii="Times New Roman;serif" w:hAnsi="Times New Roman;serif"/>
          <w:b/>
          <w:i/>
          <w:sz w:val="22"/>
        </w:rPr>
        <w:t>Credit Agreement</w:t>
      </w:r>
      <w:r>
        <w:rPr>
          <w:rFonts w:ascii="Times New Roman" w:hAnsi="Times New Roman"/>
          <w:sz w:val="20"/>
        </w:rPr>
        <w:t>”</w:t>
      </w:r>
      <w:r>
        <w:rPr>
          <w:rFonts w:ascii="Times New Roman;serif" w:hAnsi="Times New Roman;serif"/>
          <w:b w:val="false"/>
          <w:sz w:val="22"/>
        </w:rPr>
        <w:t>)); and</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WHEREAS, the Credit Parties have requested that the Agent and Lenders amend certain provisions of the Existing Credit Agreement, and, subject to the satisfaction of the conditions set forth herein, Agent and the Lenders signatory hereto are willing to do so, on the terms set forth herein.</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NOW, THEREFORE, in consideration of the mutual agreements, provisions and covenants contained herein, the parties agree as follows:</w:t>
      </w:r>
    </w:p>
    <w:p>
      <w:pPr>
        <w:pStyle w:val="TextBody"/>
        <w:spacing w:before="0" w:after="240"/>
        <w:jc w:val="center"/>
        <w:rPr>
          <w:rFonts w:ascii="Times New Roman" w:hAnsi="Times New Roman"/>
          <w:b w:val="false"/>
          <w:caps/>
          <w:sz w:val="22"/>
        </w:rPr>
      </w:pPr>
      <w:r>
        <w:rPr>
          <w:rFonts w:ascii="Times New Roman" w:hAnsi="Times New Roman"/>
          <w:b w:val="false"/>
          <w:caps/>
          <w:sz w:val="22"/>
        </w:rPr>
        <w:t>A.</w:t>
      </w:r>
    </w:p>
    <w:p>
      <w:pPr>
        <w:pStyle w:val="TextBody"/>
        <w:spacing w:before="0" w:after="240"/>
        <w:jc w:val="center"/>
        <w:rPr>
          <w:rFonts w:ascii="Times New Roman;serif" w:hAnsi="Times New Roman;serif"/>
          <w:b/>
          <w:caps/>
          <w:sz w:val="22"/>
        </w:rPr>
      </w:pPr>
      <w:r>
        <w:rPr>
          <w:rFonts w:ascii="Times New Roman;serif" w:hAnsi="Times New Roman;serif"/>
          <w:b/>
          <w:caps/>
          <w:sz w:val="22"/>
        </w:rPr>
        <w:t>Notice of benchmark replacement.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order to facilitate this Amendment, the parties hereto acknowledge and agree that: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1.</w:t>
      </w:r>
    </w:p>
    <w:p>
      <w:pPr>
        <w:pStyle w:val="TextBody"/>
        <w:jc w:val="both"/>
        <w:rPr>
          <w:rFonts w:ascii="Times New Roman;serif" w:hAnsi="Times New Roman;serif"/>
          <w:b w:val="false"/>
          <w:sz w:val="22"/>
        </w:rPr>
      </w:pPr>
      <w:r>
        <w:rPr>
          <w:rFonts w:ascii="Times New Roman;serif" w:hAnsi="Times New Roman;serif"/>
          <w:b w:val="false"/>
          <w:sz w:val="22"/>
        </w:rPr>
        <w:t xml:space="preserve">Certain loans or other extensions of credit under the Existing Credit Agreement bear or are permitted to bear interest, or incur or are permitted to incur fees, commissions or other amounts, based on LIBOR in accordance with the terms of the Existing Credit Agreement.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2.</w:t>
      </w:r>
    </w:p>
    <w:p>
      <w:pPr>
        <w:pStyle w:val="TextBody"/>
        <w:jc w:val="both"/>
        <w:rPr>
          <w:rFonts w:ascii="Times New Roman;serif" w:hAnsi="Times New Roman;serif"/>
          <w:b w:val="false"/>
          <w:sz w:val="22"/>
        </w:rPr>
      </w:pPr>
      <w:r>
        <w:rPr>
          <w:rFonts w:ascii="Times New Roman;serif" w:hAnsi="Times New Roman;serif"/>
          <w:b w:val="false"/>
          <w:sz w:val="22"/>
        </w:rPr>
        <w:t>In accordance with the benchmark replacement provisions set forth in Section 11.9 of the Existing Credit Agreement, effective as of the date hereof, LIBOR will be replaced with Adjusted Term SOFR as the alternative benchmark rate for purposes of the Credit Agreement and the other Loan Documents.</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3.</w:t>
      </w:r>
    </w:p>
    <w:p>
      <w:pPr>
        <w:pStyle w:val="TextBody"/>
        <w:jc w:val="both"/>
        <w:rPr>
          <w:rFonts w:ascii="Times New Roman;serif" w:hAnsi="Times New Roman;serif"/>
          <w:b w:val="false"/>
          <w:sz w:val="22"/>
        </w:rPr>
      </w:pPr>
      <w:r>
        <w:rPr>
          <w:rFonts w:ascii="Times New Roman;serif" w:hAnsi="Times New Roman;serif"/>
          <w:b w:val="false"/>
          <w:sz w:val="22"/>
        </w:rPr>
        <w:t>To the extent that the Agent or any other party to the Credit Agreement is required to provide notice of the replacement of LIBOR with Adjusted Term SOFR as the alternative benchmark rate for purposes of the Credit Agreement and the other Loan Documents, the parties hereto acknowledge and agree that such notice requirements have been satisfied.</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4.</w:t>
      </w:r>
    </w:p>
    <w:p>
      <w:pPr>
        <w:pStyle w:val="TextBody"/>
        <w:jc w:val="both"/>
        <w:rPr>
          <w:rFonts w:ascii="Times New Roman;serif" w:hAnsi="Times New Roman;serif"/>
          <w:b w:val="false"/>
          <w:sz w:val="22"/>
        </w:rPr>
      </w:pPr>
      <w:r>
        <w:rPr>
          <w:rFonts w:ascii="Times New Roman;serif" w:hAnsi="Times New Roman;serif"/>
          <w:b w:val="false"/>
          <w:sz w:val="22"/>
        </w:rPr>
        <w:t xml:space="preserve">Subject to the terms and conditions set forth herein, and notwithstanding anything to the contrary contained in the Credit Agreement (including for the avoidance of doubt, the definition of “Interest Period” set forth therein), each LIBOR Rate Loan outstanding immediately prior to the Effective Date shall be permitted to continue to accrue interest at a rate per annum equal to the sum of (a) LIBOR determined for such day plus (b) the Applicable Margin for LIBOR Rate Loans (in each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jc w:val="both"/>
        <w:rPr/>
      </w:pPr>
      <w:r>
        <w:rPr>
          <w:rFonts w:ascii="Times New Roman;serif" w:hAnsi="Times New Roman;serif"/>
          <w:b w:val="false"/>
          <w:sz w:val="22"/>
        </w:rPr>
        <w:t>case as defined in the Existing Credit Agreement as in effect immediately prior to the Effective Date) through and until the last day of the Interest Period for such LIBOR Rate Loans as in effect immediately prior to the Effective Date, and, thereafter, all existing LIBOR Rate Loans shall, immediately following the last day of the current Interest Period for such LIBOR Rate Loans, respectively, be converted to SOFR Loans with an Interest Period of one-month’s duration. Any obligation of the Borrower to (x) provide prior notice to the Lenders or the Agent to convert such LIBOR Rate Loans and (y) indemnify any Lender for any loss, cost and expense pursuant to Section 11.4 of the Credit Agreement as a result of such conversion is hereby waived by the Lenders and the Agent.</w:t>
      </w:r>
      <w:r>
        <w:rPr/>
        <w:t xml:space="preserve"> </w:t>
      </w:r>
    </w:p>
    <w:p>
      <w:pPr>
        <w:pStyle w:val="TextBody"/>
        <w:spacing w:before="0" w:after="240"/>
        <w:jc w:val="center"/>
        <w:rPr>
          <w:rFonts w:ascii="Times New Roman" w:hAnsi="Times New Roman"/>
          <w:b w:val="false"/>
          <w:caps/>
          <w:sz w:val="22"/>
        </w:rPr>
      </w:pPr>
      <w:r>
        <w:rPr>
          <w:rFonts w:ascii="Times New Roman" w:hAnsi="Times New Roman"/>
          <w:b w:val="false"/>
          <w:caps/>
          <w:sz w:val="22"/>
        </w:rPr>
        <w:t>B.</w:t>
      </w:r>
    </w:p>
    <w:p>
      <w:pPr>
        <w:pStyle w:val="TextBody"/>
        <w:spacing w:before="0" w:after="240"/>
        <w:jc w:val="center"/>
        <w:rPr/>
      </w:pPr>
      <w:r>
        <w:rPr>
          <w:rFonts w:ascii="Times New Roman;serif" w:hAnsi="Times New Roman;serif"/>
          <w:b/>
          <w:caps/>
          <w:sz w:val="22"/>
        </w:rPr>
        <w:t>AMENDMENTS TO Existing CREDIT AGREEMENT</w:t>
      </w:r>
      <w:r>
        <w:rPr>
          <w:rFonts w:ascii="Times New Roman;serif" w:hAnsi="Times New Roman;serif"/>
          <w:b w:val="false"/>
          <w:caps/>
          <w:sz w:val="22"/>
        </w:rPr>
        <w:t xml:space="preserve">.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From and after the date on which all of the conditions precedent set forth in Section C hereof have been satisfied, and in reliance on the representations and warranties made herein, effective as of the date hereof:</w:t>
      </w:r>
    </w:p>
    <w:p>
      <w:pPr>
        <w:pStyle w:val="TextBody"/>
        <w:spacing w:before="0" w:after="240"/>
        <w:jc w:val="both"/>
        <w:rPr>
          <w:rFonts w:ascii="Times New Roman" w:hAnsi="Times New Roman"/>
          <w:b w:val="false"/>
          <w:sz w:val="22"/>
        </w:rPr>
      </w:pPr>
      <w:r>
        <w:rPr>
          <w:rFonts w:ascii="Times New Roman" w:hAnsi="Times New Roman"/>
          <w:b w:val="false"/>
          <w:sz w:val="22"/>
        </w:rPr>
        <w:t>1.</w:t>
      </w:r>
    </w:p>
    <w:p>
      <w:pPr>
        <w:pStyle w:val="TextBody"/>
        <w:spacing w:before="0" w:after="240"/>
        <w:jc w:val="both"/>
        <w:rPr/>
      </w:pPr>
      <w:r>
        <w:rPr>
          <w:rFonts w:ascii="Times New Roman;serif" w:hAnsi="Times New Roman;serif"/>
          <w:b w:val="false"/>
          <w:sz w:val="22"/>
        </w:rPr>
        <w:t xml:space="preserve">the Existing Credit Agreement (excluding all schedules, exhibits and annexes thereto except as expressly set forth in Sections B.2 and B.3 below) is amended pursuant to this Amendment to delete the stricken text (indicated textually in the same manner as the following example: </w:t>
      </w:r>
      <w:r>
        <w:rPr>
          <w:rFonts w:ascii="Times New Roman;serif" w:hAnsi="Times New Roman;serif"/>
          <w:b w:val="false"/>
          <w:strike/>
          <w:sz w:val="22"/>
        </w:rPr>
        <w:t>stricken text</w:t>
      </w:r>
      <w:r>
        <w:rPr>
          <w:rFonts w:ascii="Times New Roman;serif" w:hAnsi="Times New Roman;serif"/>
          <w:b w:val="false"/>
          <w:sz w:val="22"/>
        </w:rPr>
        <w:t xml:space="preserve">) and to add the double-underlined text (indicated textually in the same manner as the following example: </w:t>
      </w:r>
      <w:r>
        <w:rPr>
          <w:rFonts w:ascii="Times New Roman;serif" w:hAnsi="Times New Roman;serif"/>
          <w:b w:val="false"/>
          <w:sz w:val="22"/>
          <w:u w:val="single"/>
        </w:rPr>
        <w:t>double-underlined text</w:t>
      </w:r>
      <w:r>
        <w:rPr>
          <w:rFonts w:ascii="Times New Roman;serif" w:hAnsi="Times New Roman;serif"/>
          <w:b w:val="false"/>
          <w:sz w:val="22"/>
        </w:rPr>
        <w:t xml:space="preserve">) as set forth in the Credit Agreement attached as </w:t>
      </w:r>
      <w:r>
        <w:rPr>
          <w:rFonts w:ascii="Times New Roman;serif" w:hAnsi="Times New Roman;serif"/>
          <w:b w:val="false"/>
          <w:sz w:val="22"/>
          <w:u w:val="single"/>
        </w:rPr>
        <w:t>Annex A</w:t>
      </w:r>
      <w:r>
        <w:rPr/>
        <w:t xml:space="preserve"> </w:t>
      </w:r>
      <w:r>
        <w:rPr>
          <w:rFonts w:ascii="Times New Roman;serif" w:hAnsi="Times New Roman;serif"/>
          <w:b w:val="false"/>
          <w:sz w:val="22"/>
        </w:rPr>
        <w:t xml:space="preserve">to this Amendment; </w:t>
      </w:r>
    </w:p>
    <w:p>
      <w:pPr>
        <w:pStyle w:val="TextBody"/>
        <w:spacing w:before="0" w:after="240"/>
        <w:jc w:val="both"/>
        <w:rPr>
          <w:rFonts w:ascii="Times New Roman" w:hAnsi="Times New Roman"/>
          <w:b w:val="false"/>
          <w:sz w:val="22"/>
        </w:rPr>
      </w:pPr>
      <w:r>
        <w:rPr>
          <w:rFonts w:ascii="Times New Roman" w:hAnsi="Times New Roman"/>
          <w:b w:val="false"/>
          <w:sz w:val="22"/>
        </w:rPr>
        <w:t>2.</w:t>
      </w:r>
    </w:p>
    <w:p>
      <w:pPr>
        <w:pStyle w:val="TextBody"/>
        <w:spacing w:before="0" w:after="240"/>
        <w:jc w:val="both"/>
        <w:rPr/>
      </w:pPr>
      <w:r>
        <w:rPr>
          <w:rFonts w:ascii="Times New Roman;serif" w:hAnsi="Times New Roman;serif"/>
          <w:b w:val="false"/>
          <w:sz w:val="22"/>
        </w:rPr>
        <w:t xml:space="preserve">Exhibits 1.1(b), 2.6 and 5.2(a) of the Existing Credit Agreement are hereby amended and restated in their entirety as set forth on </w:t>
      </w:r>
      <w:r>
        <w:rPr>
          <w:rFonts w:ascii="Times New Roman;serif" w:hAnsi="Times New Roman;serif"/>
          <w:b w:val="false"/>
          <w:sz w:val="22"/>
          <w:u w:val="single"/>
        </w:rPr>
        <w:t>Annexes B</w:t>
      </w:r>
      <w:r>
        <w:rPr>
          <w:rFonts w:ascii="Times New Roman;serif" w:hAnsi="Times New Roman;serif"/>
          <w:b w:val="false"/>
          <w:sz w:val="22"/>
        </w:rPr>
        <w:t xml:space="preserve">, </w:t>
      </w:r>
      <w:r>
        <w:rPr>
          <w:rFonts w:ascii="Times New Roman;serif" w:hAnsi="Times New Roman;serif"/>
          <w:b w:val="false"/>
          <w:sz w:val="22"/>
          <w:u w:val="single"/>
        </w:rPr>
        <w:t>C</w:t>
      </w:r>
      <w:r>
        <w:rPr/>
        <w:t xml:space="preserve"> </w:t>
      </w:r>
      <w:r>
        <w:rPr>
          <w:rFonts w:ascii="Times New Roman;serif" w:hAnsi="Times New Roman;serif"/>
          <w:b w:val="false"/>
          <w:sz w:val="22"/>
        </w:rPr>
        <w:t xml:space="preserve">and </w:t>
      </w:r>
      <w:r>
        <w:rPr>
          <w:rFonts w:ascii="Times New Roman;serif" w:hAnsi="Times New Roman;serif"/>
          <w:b w:val="false"/>
          <w:sz w:val="22"/>
          <w:u w:val="single"/>
        </w:rPr>
        <w:t>D</w:t>
      </w:r>
      <w:r>
        <w:rPr/>
        <w:t xml:space="preserve"> </w:t>
      </w:r>
      <w:r>
        <w:rPr>
          <w:rFonts w:ascii="Times New Roman;serif" w:hAnsi="Times New Roman;serif"/>
          <w:b w:val="false"/>
          <w:sz w:val="22"/>
        </w:rPr>
        <w:t>to this Amendment, respectively; and</w:t>
      </w:r>
    </w:p>
    <w:p>
      <w:pPr>
        <w:pStyle w:val="TextBody"/>
        <w:spacing w:before="0" w:after="240"/>
        <w:jc w:val="both"/>
        <w:rPr>
          <w:rFonts w:ascii="Times New Roman" w:hAnsi="Times New Roman"/>
          <w:b w:val="false"/>
          <w:sz w:val="22"/>
        </w:rPr>
      </w:pPr>
      <w:r>
        <w:rPr>
          <w:rFonts w:ascii="Times New Roman" w:hAnsi="Times New Roman"/>
          <w:b w:val="false"/>
          <w:sz w:val="22"/>
        </w:rPr>
        <w:t>3.</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Exhibits (other than Exhibits 1.1(b), 2.6 and 5.2(a)) to the Existing Credit Agreement are hereby amended to replace each reference therein to “LIBOR Rate Loans” with “SOFR Loans”.</w:t>
      </w:r>
    </w:p>
    <w:p>
      <w:pPr>
        <w:pStyle w:val="TextBody"/>
        <w:spacing w:before="0" w:after="240"/>
        <w:jc w:val="center"/>
        <w:rPr>
          <w:rFonts w:ascii="Times New Roman" w:hAnsi="Times New Roman"/>
          <w:b w:val="false"/>
          <w:caps/>
          <w:sz w:val="22"/>
        </w:rPr>
      </w:pPr>
      <w:r>
        <w:rPr>
          <w:rFonts w:ascii="Times New Roman" w:hAnsi="Times New Roman"/>
          <w:b w:val="false"/>
          <w:caps/>
          <w:sz w:val="22"/>
        </w:rPr>
        <w:t>C.</w:t>
      </w:r>
    </w:p>
    <w:p>
      <w:pPr>
        <w:pStyle w:val="TextBody"/>
        <w:spacing w:before="0" w:after="240"/>
        <w:jc w:val="center"/>
        <w:rPr/>
      </w:pPr>
      <w:r>
        <w:rPr>
          <w:rFonts w:ascii="Times New Roman;serif" w:hAnsi="Times New Roman;serif"/>
          <w:b/>
          <w:caps/>
          <w:sz w:val="22"/>
        </w:rPr>
        <w:t>CONDITIONS PRECEDENT</w:t>
      </w:r>
      <w:r>
        <w:rPr>
          <w:rFonts w:ascii="Times New Roman;serif" w:hAnsi="Times New Roman;serif"/>
          <w:b w:val="false"/>
          <w:caps/>
          <w:sz w:val="22"/>
        </w:rPr>
        <w:t>.</w:t>
      </w:r>
      <w:r>
        <w:rPr>
          <w:caps/>
        </w:rPr>
        <w:t xml:space="preserve"> </w:t>
      </w:r>
    </w:p>
    <w:p>
      <w:pPr>
        <w:pStyle w:val="TextBody"/>
        <w:spacing w:before="0" w:after="240"/>
        <w:jc w:val="both"/>
        <w:rPr>
          <w:rFonts w:ascii="Times New Roman" w:hAnsi="Times New Roman"/>
          <w:sz w:val="20"/>
        </w:rPr>
      </w:pPr>
      <w:r>
        <w:rPr>
          <w:rFonts w:ascii="Times New Roman;serif" w:hAnsi="Times New Roman;serif"/>
          <w:b w:val="false"/>
          <w:sz w:val="22"/>
        </w:rPr>
        <w:t>This Amendment shall be effective as of the Effective Date, subject to the satisfaction of the following conditions precedent:</w:t>
      </w:r>
      <w:r>
        <w:rPr>
          <w:rFonts w:ascii="Times New Roman" w:hAnsi="Times New Roman"/>
          <w:sz w:val="20"/>
        </w:rPr>
        <w:t xml:space="preserve"> </w:t>
      </w:r>
    </w:p>
    <w:p>
      <w:pPr>
        <w:pStyle w:val="TextBody"/>
        <w:spacing w:before="0" w:after="240"/>
        <w:jc w:val="both"/>
        <w:rPr>
          <w:rFonts w:ascii="Times New Roman" w:hAnsi="Times New Roman"/>
          <w:b w:val="false"/>
          <w:sz w:val="22"/>
        </w:rPr>
      </w:pPr>
      <w:r>
        <w:rPr>
          <w:rFonts w:ascii="Times New Roman" w:hAnsi="Times New Roman"/>
          <w:b w:val="false"/>
          <w:sz w:val="22"/>
        </w:rPr>
        <w:t>5.</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execution and delivery of this Amendment by each Credit Party, the Agent and Lenders; and</w:t>
      </w:r>
    </w:p>
    <w:p>
      <w:pPr>
        <w:pStyle w:val="TextBody"/>
        <w:spacing w:before="0" w:after="240"/>
        <w:jc w:val="both"/>
        <w:rPr>
          <w:rFonts w:ascii="Times New Roman" w:hAnsi="Times New Roman"/>
          <w:b w:val="false"/>
          <w:sz w:val="22"/>
        </w:rPr>
      </w:pPr>
      <w:r>
        <w:rPr>
          <w:rFonts w:ascii="Times New Roman" w:hAnsi="Times New Roman"/>
          <w:b w:val="false"/>
          <w:sz w:val="22"/>
        </w:rPr>
        <w:t>6.</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all expenses (including without limitation, legal fees and expenses) and other transaction costs incurred in connection with this Amendment required to be paid to the Agent and the Lenders pursuant to the terms of the Credit Agreement shall have been paid.</w:t>
      </w:r>
    </w:p>
    <w:p>
      <w:pPr>
        <w:pStyle w:val="TextBody"/>
        <w:spacing w:before="0" w:after="240"/>
        <w:jc w:val="center"/>
        <w:rPr>
          <w:rFonts w:ascii="Times New Roman" w:hAnsi="Times New Roman"/>
          <w:b w:val="false"/>
          <w:caps/>
          <w:sz w:val="22"/>
        </w:rPr>
      </w:pPr>
      <w:r>
        <w:rPr>
          <w:rFonts w:ascii="Times New Roman" w:hAnsi="Times New Roman"/>
          <w:b w:val="false"/>
          <w:caps/>
          <w:sz w:val="22"/>
        </w:rPr>
        <w:t>D.</w:t>
      </w:r>
    </w:p>
    <w:p>
      <w:pPr>
        <w:pStyle w:val="TextBody"/>
        <w:spacing w:before="0" w:after="240"/>
        <w:jc w:val="center"/>
        <w:rPr>
          <w:rFonts w:ascii="Times New Roman;serif" w:hAnsi="Times New Roman;serif"/>
          <w:b/>
          <w:caps/>
          <w:sz w:val="22"/>
        </w:rPr>
      </w:pPr>
      <w:r>
        <w:rPr>
          <w:rFonts w:ascii="Times New Roman;serif" w:hAnsi="Times New Roman;serif"/>
          <w:b/>
          <w:caps/>
          <w:sz w:val="22"/>
        </w:rPr>
        <w:t xml:space="preserve">Representations and Warranties.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Each Credit Party hereby represents and warrants to Agent and each Lender that:</w:t>
      </w:r>
    </w:p>
    <w:p>
      <w:pPr>
        <w:pStyle w:val="TextBody"/>
        <w:spacing w:before="0" w:after="240"/>
        <w:jc w:val="both"/>
        <w:rPr>
          <w:rFonts w:ascii="Times New Roman" w:hAnsi="Times New Roman"/>
          <w:b w:val="false"/>
          <w:sz w:val="22"/>
        </w:rPr>
      </w:pPr>
      <w:r>
        <w:rPr>
          <w:rFonts w:ascii="Times New Roman" w:hAnsi="Times New Roman"/>
          <w:b w:val="false"/>
          <w:sz w:val="22"/>
        </w:rPr>
        <w:t>7.</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execution, delivery and performance by the Credit Parties of this Amendment and by each Credit Party of any other Loan Document to which such Person is party, have been duly authorized by all necessary action, and do not and will not (a) contravene the terms of any of that Person’s Organization Documents; (b) conflict with or result in any material breach or contravention of, or result in the creation of any Lien (other than Liens in favor of Agent created under the Loan Documents) under, any document evidencing any material Contractual Obligation to which such Person is a party or any order, injunction, writ or decree of any Governmental Authority to which such Person or its Property is subject, (c) affect any Credit Party’s or any Restricted Subsidiary of a Credit Party’s right to receive, or reduce the amount of, payments and reimbursements from Third Party Payors, or materially adversely affect any Regulatory Permit; or (d) violate any material Requirement of Law in any material respect;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8.</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such Credit Party has the power and authority to execute, deliver and perform its obligations under this Amendment and the Credit Agreement;</w:t>
      </w:r>
    </w:p>
    <w:p>
      <w:pPr>
        <w:pStyle w:val="TextBody"/>
        <w:spacing w:before="0" w:after="240"/>
        <w:jc w:val="both"/>
        <w:rPr>
          <w:rFonts w:ascii="Times New Roman" w:hAnsi="Times New Roman"/>
          <w:b w:val="false"/>
          <w:sz w:val="22"/>
        </w:rPr>
      </w:pPr>
      <w:r>
        <w:rPr>
          <w:rFonts w:ascii="Times New Roman" w:hAnsi="Times New Roman"/>
          <w:b w:val="false"/>
          <w:sz w:val="22"/>
        </w:rPr>
        <w:t>9.</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this Amendment constitutes the legal, valid and binding obligations of each such Person which is a party hereto enforceable against such Person in accordance with its terms, except as enforceability may be limited by applicable bankruptcy, insolvency or similar laws affecting the enforcement of creditors’ rights generally or by equitable principles relating to enforceability;</w:t>
      </w:r>
    </w:p>
    <w:p>
      <w:pPr>
        <w:pStyle w:val="TextBody"/>
        <w:spacing w:before="0" w:after="240"/>
        <w:jc w:val="both"/>
        <w:rPr>
          <w:rFonts w:ascii="Times New Roman" w:hAnsi="Times New Roman"/>
          <w:b w:val="false"/>
          <w:sz w:val="22"/>
        </w:rPr>
      </w:pPr>
      <w:r>
        <w:rPr>
          <w:rFonts w:ascii="Times New Roman" w:hAnsi="Times New Roman"/>
          <w:b w:val="false"/>
          <w:sz w:val="22"/>
        </w:rPr>
        <w:t>10.</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after giving effect to this Amendment and the transactions contemplated hereby, each of the representations and warranties contained in the Credit Agreement and the other Loan Documents is true and correct in all material respects (without duplication of any materiality qualifier contained therein) as of such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 and</w:t>
      </w:r>
    </w:p>
    <w:p>
      <w:pPr>
        <w:pStyle w:val="TextBody"/>
        <w:spacing w:before="0" w:after="240"/>
        <w:jc w:val="both"/>
        <w:rPr>
          <w:rFonts w:ascii="Times New Roman" w:hAnsi="Times New Roman"/>
          <w:b w:val="false"/>
          <w:sz w:val="22"/>
        </w:rPr>
      </w:pPr>
      <w:r>
        <w:rPr>
          <w:rFonts w:ascii="Times New Roman" w:hAnsi="Times New Roman"/>
          <w:b w:val="false"/>
          <w:sz w:val="22"/>
        </w:rPr>
        <w:t>11.</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 Default or Event of Default exists or would result from the transactions contemplated by this Amendment.</w:t>
      </w:r>
    </w:p>
    <w:p>
      <w:pPr>
        <w:pStyle w:val="TextBody"/>
        <w:spacing w:before="0" w:after="240"/>
        <w:jc w:val="center"/>
        <w:rPr>
          <w:rFonts w:ascii="Times New Roman" w:hAnsi="Times New Roman"/>
          <w:b w:val="false"/>
          <w:caps/>
          <w:sz w:val="22"/>
        </w:rPr>
      </w:pPr>
      <w:r>
        <w:rPr>
          <w:rFonts w:ascii="Times New Roman" w:hAnsi="Times New Roman"/>
          <w:b w:val="false"/>
          <w:caps/>
          <w:sz w:val="22"/>
        </w:rPr>
        <w:t>E.</w:t>
      </w:r>
    </w:p>
    <w:p>
      <w:pPr>
        <w:pStyle w:val="TextBody"/>
        <w:spacing w:before="0" w:after="240"/>
        <w:jc w:val="center"/>
        <w:rPr>
          <w:rFonts w:ascii="Times New Roman;serif" w:hAnsi="Times New Roman;serif"/>
          <w:b/>
          <w:caps/>
          <w:sz w:val="22"/>
        </w:rPr>
      </w:pPr>
      <w:r>
        <w:rPr>
          <w:rFonts w:ascii="Times New Roman;serif" w:hAnsi="Times New Roman;serif"/>
          <w:b/>
          <w:caps/>
          <w:sz w:val="22"/>
        </w:rPr>
        <w:t xml:space="preserve">Additional Agreements </w:t>
      </w:r>
    </w:p>
    <w:p>
      <w:pPr>
        <w:pStyle w:val="TextBody"/>
        <w:spacing w:before="0" w:after="240"/>
        <w:jc w:val="both"/>
        <w:rPr>
          <w:rFonts w:ascii="Times New Roman" w:hAnsi="Times New Roman"/>
          <w:b w:val="false"/>
          <w:sz w:val="22"/>
        </w:rPr>
      </w:pPr>
      <w:r>
        <w:rPr>
          <w:rFonts w:ascii="Times New Roman" w:hAnsi="Times New Roman"/>
          <w:b w:val="false"/>
          <w:sz w:val="22"/>
        </w:rPr>
        <w:t>12.</w:t>
      </w:r>
    </w:p>
    <w:p>
      <w:pPr>
        <w:pStyle w:val="TextBody"/>
        <w:spacing w:before="0" w:after="240"/>
        <w:jc w:val="both"/>
        <w:rPr/>
      </w:pPr>
      <w:r>
        <w:rPr>
          <w:rFonts w:ascii="Times New Roman;serif" w:hAnsi="Times New Roman;serif"/>
          <w:b w:val="false"/>
          <w:sz w:val="22"/>
          <w:u w:val="single"/>
        </w:rPr>
        <w:t>No Modification</w:t>
      </w:r>
      <w:r>
        <w:rPr>
          <w:rFonts w:ascii="Times New Roman;serif" w:hAnsi="Times New Roman;serif"/>
          <w:b w:val="false"/>
          <w:sz w:val="22"/>
        </w:rPr>
        <w:t xml:space="preserve">. Except as expressly set forth herein, nothing contained herein shall be deemed to constitute a waiver of compliance with any term or condition contained in the Credit Agreement or any of the other Loan Documents or constitute a course of conduct or dealing among the parties. Except as expressly stated herein, the Agent and Lenders reserve all rights, privileges and remedies under the Loan Documents. Except as amended or consented to hereby, the Credit Agreement and other Loan Documents remain unmodified and in full force and effect. All references in the Loan Documents to the Credit Agreement shall be deemed to be references to the Credit Agreement as modified hereby. This Amendment shall constitute a Loan Document. </w:t>
      </w:r>
    </w:p>
    <w:p>
      <w:pPr>
        <w:pStyle w:val="TextBody"/>
        <w:spacing w:before="0" w:after="240"/>
        <w:jc w:val="both"/>
        <w:rPr>
          <w:rFonts w:ascii="Times New Roman" w:hAnsi="Times New Roman"/>
          <w:b w:val="false"/>
          <w:sz w:val="22"/>
        </w:rPr>
      </w:pPr>
      <w:r>
        <w:rPr>
          <w:rFonts w:ascii="Times New Roman" w:hAnsi="Times New Roman"/>
          <w:b w:val="false"/>
          <w:sz w:val="22"/>
        </w:rPr>
        <w:t>13.</w:t>
      </w:r>
    </w:p>
    <w:p>
      <w:pPr>
        <w:pStyle w:val="TextBody"/>
        <w:spacing w:before="0" w:after="240"/>
        <w:jc w:val="both"/>
        <w:rPr/>
      </w:pPr>
      <w:r>
        <w:rPr>
          <w:rFonts w:ascii="Times New Roman;serif" w:hAnsi="Times New Roman;serif"/>
          <w:b w:val="false"/>
          <w:sz w:val="22"/>
          <w:u w:val="single"/>
        </w:rPr>
        <w:t>Costs and Expenses; Indemnity</w:t>
      </w:r>
      <w:r>
        <w:rPr>
          <w:rFonts w:ascii="Times New Roman;serif" w:hAnsi="Times New Roman;serif"/>
          <w:b w:val="false"/>
          <w:sz w:val="22"/>
        </w:rPr>
        <w:t xml:space="preserve">. Sections 10.5 and 10.6 of the Credit Agreement are hereby incorporated by reference, </w:t>
      </w:r>
      <w:r>
        <w:rPr>
          <w:rFonts w:ascii="Times New Roman;serif" w:hAnsi="Times New Roman;serif"/>
          <w:b w:val="false"/>
          <w:i/>
          <w:sz w:val="22"/>
        </w:rPr>
        <w:t>mutatis mutandis</w:t>
      </w:r>
      <w:r>
        <w:rPr>
          <w:rFonts w:ascii="Times New Roman;serif" w:hAnsi="Times New Roman;serif"/>
          <w:b w:val="false"/>
          <w:sz w:val="22"/>
        </w:rPr>
        <w:t>, as if such Sections were set forth in full herein. Borrower agrees to pay on demand all reasonable and documented costs and out-of-pocket expenses of Agent in connection with the preparation, execution and delivery of this Amendment, including, without limitation, the reasonable fees and out-of-pocket expenses of outside counsel for Agent with respect thereto.</w:t>
      </w:r>
    </w:p>
    <w:p>
      <w:pPr>
        <w:pStyle w:val="TextBody"/>
        <w:spacing w:before="0" w:after="0"/>
        <w:jc w:val="both"/>
        <w:rPr>
          <w:rFonts w:ascii="Times New Roman" w:hAnsi="Times New Roman"/>
          <w:b w:val="false"/>
          <w:sz w:val="22"/>
        </w:rPr>
      </w:pPr>
      <w:r>
        <w:rPr>
          <w:rFonts w:ascii="Times New Roman" w:hAnsi="Times New Roman"/>
          <w:b w:val="false"/>
          <w:sz w:val="22"/>
        </w:rPr>
        <w:t>14.</w:t>
      </w:r>
    </w:p>
    <w:p>
      <w:pPr>
        <w:pStyle w:val="TextBody"/>
        <w:jc w:val="both"/>
        <w:rPr/>
      </w:pPr>
      <w:r>
        <w:rPr>
          <w:rFonts w:ascii="Times New Roman;serif" w:hAnsi="Times New Roman;serif"/>
          <w:b w:val="false"/>
          <w:sz w:val="22"/>
          <w:u w:val="single"/>
        </w:rPr>
        <w:t>Counterparts</w:t>
      </w:r>
      <w:r>
        <w:rPr>
          <w:rFonts w:ascii="Times New Roman;serif" w:hAnsi="Times New Roman;serif"/>
          <w:b w:val="false"/>
          <w:sz w:val="22"/>
        </w:rPr>
        <w:t>. This Amendment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Amendment by facsimile transmission or Electronic Transmission shall be as effective as delivery of a manually executed counterpart hereof.</w:t>
      </w:r>
    </w:p>
    <w:p>
      <w:pPr>
        <w:pStyle w:val="TextBody"/>
        <w:spacing w:before="0" w:after="0"/>
        <w:jc w:val="lef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15.</w:t>
      </w:r>
    </w:p>
    <w:p>
      <w:pPr>
        <w:pStyle w:val="TextBody"/>
        <w:spacing w:before="0" w:after="240"/>
        <w:jc w:val="both"/>
        <w:rPr/>
      </w:pPr>
      <w:r>
        <w:rPr>
          <w:rFonts w:ascii="Times New Roman;serif" w:hAnsi="Times New Roman;serif"/>
          <w:b w:val="false"/>
          <w:sz w:val="22"/>
          <w:u w:val="single"/>
        </w:rPr>
        <w:t>Successors and Assigns</w:t>
      </w:r>
      <w:r>
        <w:rPr>
          <w:rFonts w:ascii="Times New Roman;serif" w:hAnsi="Times New Roman;serif"/>
          <w:b w:val="false"/>
          <w:sz w:val="22"/>
        </w:rPr>
        <w:t>. The provisions of this Amendment shall be binding upon and inure to the benefit of the parties hereto and their respective successors and assigns; provided that any assignment by any Lender shall be subject to the provisions of Section 10.9 of the Credit Agreement, and provided further that Borrower may not assign or transfer any of its rights or obligations under this Amendment or the Credit Agreement without the prior written consent of Agent and each Lender.</w:t>
      </w:r>
    </w:p>
    <w:p>
      <w:pPr>
        <w:pStyle w:val="TextBody"/>
        <w:spacing w:before="0" w:after="240"/>
        <w:jc w:val="both"/>
        <w:rPr>
          <w:rFonts w:ascii="Times New Roman" w:hAnsi="Times New Roman"/>
          <w:b w:val="false"/>
          <w:sz w:val="22"/>
        </w:rPr>
      </w:pPr>
      <w:r>
        <w:rPr>
          <w:rFonts w:ascii="Times New Roman" w:hAnsi="Times New Roman"/>
          <w:b w:val="false"/>
          <w:sz w:val="22"/>
        </w:rPr>
        <w:t>16.</w:t>
      </w:r>
    </w:p>
    <w:p>
      <w:pPr>
        <w:pStyle w:val="TextBody"/>
        <w:spacing w:before="0" w:after="240"/>
        <w:jc w:val="both"/>
        <w:rPr/>
      </w:pPr>
      <w:r>
        <w:rPr>
          <w:rFonts w:ascii="Times New Roman;serif" w:hAnsi="Times New Roman;serif"/>
          <w:b w:val="false"/>
          <w:sz w:val="22"/>
          <w:u w:val="single"/>
        </w:rPr>
        <w:t>Governing Law</w:t>
      </w:r>
      <w:r>
        <w:rPr>
          <w:rFonts w:ascii="Times New Roman;serif" w:hAnsi="Times New Roman;serif"/>
          <w:b w:val="false"/>
          <w:sz w:val="22"/>
        </w:rPr>
        <w:t xml:space="preserve">. The laws of the State of New York shall govern all matters arising out of, in connection with or relating to this Amendment, including its validity, interpretation, construction, performance and enforcement (including any claims sounding in contract or tort law arising out of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subject matter hereof and any determinations with respect to post-judgment interest).</w:t>
      </w:r>
    </w:p>
    <w:p>
      <w:pPr>
        <w:pStyle w:val="TextBody"/>
        <w:spacing w:before="0" w:after="240"/>
        <w:jc w:val="both"/>
        <w:rPr>
          <w:rFonts w:ascii="Times New Roman" w:hAnsi="Times New Roman"/>
          <w:b w:val="false"/>
          <w:sz w:val="22"/>
        </w:rPr>
      </w:pPr>
      <w:r>
        <w:rPr>
          <w:rFonts w:ascii="Times New Roman" w:hAnsi="Times New Roman"/>
          <w:b w:val="false"/>
          <w:sz w:val="22"/>
        </w:rPr>
        <w:t>17.</w:t>
      </w:r>
    </w:p>
    <w:p>
      <w:pPr>
        <w:pStyle w:val="TextBody"/>
        <w:spacing w:before="0" w:after="240"/>
        <w:jc w:val="both"/>
        <w:rPr/>
      </w:pPr>
      <w:r>
        <w:rPr>
          <w:rFonts w:ascii="Times New Roman;serif" w:hAnsi="Times New Roman;serif"/>
          <w:b w:val="false"/>
          <w:sz w:val="22"/>
          <w:u w:val="single"/>
        </w:rPr>
        <w:t>Severability</w:t>
      </w:r>
      <w:r>
        <w:rPr>
          <w:rFonts w:ascii="Times New Roman;serif" w:hAnsi="Times New Roman;serif"/>
          <w:b w:val="false"/>
          <w:sz w:val="22"/>
        </w:rPr>
        <w:t xml:space="preserve">.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 The parties hereto acknowledge that this Amendment may use several different limitations, tests or measurements to regulate the same or similar matters, and that such limitations, tests and measurements are cumulative and must each be performed, except as expressly stated to the contrary in this Amendment. </w:t>
      </w:r>
    </w:p>
    <w:p>
      <w:pPr>
        <w:pStyle w:val="TextBody"/>
        <w:spacing w:before="0" w:after="240"/>
        <w:jc w:val="both"/>
        <w:rPr>
          <w:rFonts w:ascii="Times New Roman" w:hAnsi="Times New Roman"/>
          <w:b w:val="false"/>
          <w:sz w:val="22"/>
        </w:rPr>
      </w:pPr>
      <w:r>
        <w:rPr>
          <w:rFonts w:ascii="Times New Roman" w:hAnsi="Times New Roman"/>
          <w:b w:val="false"/>
          <w:sz w:val="22"/>
        </w:rPr>
        <w:t>18.</w:t>
      </w:r>
    </w:p>
    <w:p>
      <w:pPr>
        <w:pStyle w:val="TextBody"/>
        <w:spacing w:before="0" w:after="240"/>
        <w:jc w:val="both"/>
        <w:rPr/>
      </w:pPr>
      <w:r>
        <w:rPr>
          <w:rFonts w:ascii="Times New Roman;serif" w:hAnsi="Times New Roman;serif"/>
          <w:b w:val="false"/>
          <w:sz w:val="22"/>
          <w:u w:val="single"/>
        </w:rPr>
        <w:t>Captions</w:t>
      </w:r>
      <w:r>
        <w:rPr>
          <w:rFonts w:ascii="Times New Roman;serif" w:hAnsi="Times New Roman;serif"/>
          <w:b w:val="false"/>
          <w:sz w:val="22"/>
        </w:rPr>
        <w:t>. The captions and headings of this Amendment are for convenience of reference only and shall not affect the interpretation of this Amendment.</w:t>
      </w:r>
    </w:p>
    <w:p>
      <w:pPr>
        <w:pStyle w:val="TextBody"/>
        <w:spacing w:before="0" w:after="240"/>
        <w:jc w:val="both"/>
        <w:rPr>
          <w:rFonts w:ascii="Times New Roman" w:hAnsi="Times New Roman"/>
          <w:b w:val="false"/>
          <w:sz w:val="22"/>
        </w:rPr>
      </w:pPr>
      <w:r>
        <w:rPr>
          <w:rFonts w:ascii="Times New Roman" w:hAnsi="Times New Roman"/>
          <w:b w:val="false"/>
          <w:sz w:val="22"/>
        </w:rPr>
        <w:t>19.</w:t>
      </w:r>
    </w:p>
    <w:p>
      <w:pPr>
        <w:pStyle w:val="TextBody"/>
        <w:spacing w:before="0" w:after="240"/>
        <w:jc w:val="both"/>
        <w:rPr/>
      </w:pPr>
      <w:r>
        <w:rPr>
          <w:rFonts w:ascii="Times New Roman;serif" w:hAnsi="Times New Roman;serif"/>
          <w:b w:val="false"/>
          <w:sz w:val="22"/>
          <w:u w:val="single"/>
        </w:rPr>
        <w:t>Entire Understanding</w:t>
      </w:r>
      <w:r>
        <w:rPr>
          <w:rFonts w:ascii="Times New Roman;serif" w:hAnsi="Times New Roman;serif"/>
          <w:b w:val="false"/>
          <w:sz w:val="22"/>
        </w:rPr>
        <w:t>. This Amendment sets forth the entire understanding of the parties with respect to the matters set forth herein, and shall supersede any prior negotiations or agreements, whether written or oral, with respect thereto.</w:t>
      </w:r>
    </w:p>
    <w:p>
      <w:pPr>
        <w:pStyle w:val="TextBody"/>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Remainder of Page Intentionally Left Blank; Signature Pages Follow</w:t>
      </w:r>
      <w:r>
        <w:rPr>
          <w:rFonts w:ascii="Times New Roman;serif" w:hAnsi="Times New Roman;serif"/>
          <w:b w:val="false"/>
          <w:sz w:val="22"/>
        </w:rPr>
        <w: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WITNESS WHEREOF, each of the undersigned has executed this Agreement as of the date set forth above.</w:t>
      </w:r>
    </w:p>
    <w:p>
      <w:pPr>
        <w:pStyle w:val="TextBody"/>
        <w:spacing w:before="0" w:after="0"/>
        <w:jc w:val="both"/>
        <w:rPr/>
      </w:pPr>
      <w:r>
        <w:rPr/>
        <w:t> </w:t>
      </w:r>
    </w:p>
    <w:p>
      <w:pPr>
        <w:pStyle w:val="TextBody"/>
        <w:spacing w:before="0" w:after="0"/>
        <w:jc w:val="both"/>
        <w:rPr>
          <w:rFonts w:ascii="Times New Roman;serif" w:hAnsi="Times New Roman;serif"/>
          <w:b/>
          <w:sz w:val="22"/>
        </w:rPr>
      </w:pPr>
      <w:r>
        <w:rPr>
          <w:rFonts w:ascii="Times New Roman;serif" w:hAnsi="Times New Roman;serif"/>
          <w:b/>
          <w:sz w:val="22"/>
        </w:rPr>
        <w:t>BORROWER:</w:t>
      </w:r>
    </w:p>
    <w:p>
      <w:pPr>
        <w:pStyle w:val="TextBody"/>
        <w:spacing w:before="0" w:after="0"/>
        <w:jc w:val="both"/>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ADDUS HEALTHCARE, INC.</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Brian Poff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Brian Poff</w:t>
      </w:r>
    </w:p>
    <w:p>
      <w:pPr>
        <w:pStyle w:val="TextBody"/>
        <w:spacing w:before="0" w:after="0"/>
        <w:jc w:val="left"/>
        <w:rPr>
          <w:rFonts w:ascii="Times New Roman" w:hAnsi="Times New Roman"/>
          <w:sz w:val="20"/>
        </w:rPr>
      </w:pPr>
      <w:r>
        <w:rPr>
          <w:rFonts w:ascii="Times New Roman;serif" w:hAnsi="Times New Roman;serif"/>
          <w:b w:val="false"/>
          <w:sz w:val="22"/>
        </w:rPr>
        <w:t>Title: Chief Financial Officer, Executive Vice President, Secretary and Treasurer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12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OTHER CREDIT PARTIES: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ADDUS HOMECARE CORPORATION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Brian Poff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Brian Poff</w:t>
      </w:r>
    </w:p>
    <w:p>
      <w:pPr>
        <w:pStyle w:val="TextBody"/>
        <w:spacing w:before="0" w:after="0"/>
        <w:jc w:val="left"/>
        <w:rPr>
          <w:rFonts w:ascii="Times New Roman" w:hAnsi="Times New Roman"/>
          <w:sz w:val="20"/>
        </w:rPr>
      </w:pPr>
      <w:r>
        <w:rPr>
          <w:rFonts w:ascii="Times New Roman;serif" w:hAnsi="Times New Roman;serif"/>
          <w:b w:val="false"/>
          <w:sz w:val="22"/>
        </w:rPr>
        <w:t>Title: Chief Financial Officer, Executive Vice President, Secretary and Treasurer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ADDUS HEALTHCARE (DELAWARE),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2"/>
        </w:rPr>
        <w:t>ADDUS HEALTHCARE (IDAHO),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2"/>
        </w:rPr>
        <w:t>ADDUS HEALTHCARE (NEVADA), INC.</w:t>
      </w:r>
      <w:r>
        <w:rPr>
          <w:rFonts w:ascii="Times New Roman" w:hAnsi="Times New Roman"/>
          <w:sz w:val="20"/>
        </w:rPr>
        <w:t xml:space="preserve"> </w:t>
      </w:r>
    </w:p>
    <w:p>
      <w:pPr>
        <w:pStyle w:val="TextBody"/>
        <w:spacing w:before="0" w:after="0"/>
        <w:jc w:val="left"/>
        <w:rPr>
          <w:rFonts w:ascii="Times New Roman;serif" w:hAnsi="Times New Roman;serif"/>
          <w:b/>
          <w:sz w:val="22"/>
        </w:rPr>
      </w:pPr>
      <w:r>
        <w:rPr>
          <w:rFonts w:ascii="Times New Roman;serif" w:hAnsi="Times New Roman;serif"/>
          <w:b/>
          <w:sz w:val="22"/>
        </w:rPr>
        <w:t>ADDUS HEALTHCARE (SOUTH CAROLINA), INC.</w:t>
      </w:r>
    </w:p>
    <w:p>
      <w:pPr>
        <w:pStyle w:val="TextBody"/>
        <w:spacing w:before="0" w:after="0"/>
        <w:jc w:val="left"/>
        <w:rPr>
          <w:rFonts w:ascii="Times New Roman;serif" w:hAnsi="Times New Roman;serif"/>
          <w:b/>
          <w:sz w:val="22"/>
        </w:rPr>
      </w:pPr>
      <w:r>
        <w:rPr>
          <w:rFonts w:ascii="Times New Roman;serif" w:hAnsi="Times New Roman;serif"/>
          <w:b/>
          <w:sz w:val="22"/>
        </w:rPr>
        <w:t>PRIORITY HOME HEALTH CARE, INC.</w:t>
      </w:r>
    </w:p>
    <w:p>
      <w:pPr>
        <w:pStyle w:val="TextBody"/>
        <w:spacing w:before="0" w:after="0"/>
        <w:jc w:val="left"/>
        <w:rPr>
          <w:rFonts w:ascii="Times New Roman;serif" w:hAnsi="Times New Roman;serif"/>
          <w:b/>
          <w:sz w:val="22"/>
        </w:rPr>
      </w:pPr>
      <w:r>
        <w:rPr>
          <w:rFonts w:ascii="Times New Roman;serif" w:hAnsi="Times New Roman;serif"/>
          <w:b/>
          <w:sz w:val="22"/>
        </w:rPr>
        <w:t>SOUTH SHORE HOME HEALTH SERVICE INC.</w:t>
      </w:r>
    </w:p>
    <w:p>
      <w:pPr>
        <w:pStyle w:val="TextBody"/>
        <w:spacing w:before="0" w:after="0"/>
        <w:jc w:val="left"/>
        <w:rPr>
          <w:rFonts w:ascii="Times New Roman;serif" w:hAnsi="Times New Roman;serif"/>
          <w:b/>
          <w:sz w:val="22"/>
        </w:rPr>
      </w:pPr>
      <w:r>
        <w:rPr>
          <w:rFonts w:ascii="Times New Roman;serif" w:hAnsi="Times New Roman;serif"/>
          <w:b/>
          <w:sz w:val="22"/>
        </w:rPr>
        <w:t>OPTIONS SERVICES, INC.</w:t>
      </w:r>
    </w:p>
    <w:p>
      <w:pPr>
        <w:pStyle w:val="TextBody"/>
        <w:spacing w:before="0" w:after="0"/>
        <w:jc w:val="left"/>
        <w:rPr>
          <w:rFonts w:ascii="Times New Roman;serif" w:hAnsi="Times New Roman;serif"/>
          <w:b/>
          <w:sz w:val="22"/>
        </w:rPr>
      </w:pPr>
      <w:r>
        <w:rPr>
          <w:rFonts w:ascii="Times New Roman;serif" w:hAnsi="Times New Roman;serif"/>
          <w:b/>
          <w:sz w:val="22"/>
        </w:rPr>
        <w:t>ADDUS NURSE CARE INC.</w:t>
      </w:r>
    </w:p>
    <w:p>
      <w:pPr>
        <w:pStyle w:val="TextBody"/>
        <w:spacing w:before="0" w:after="0"/>
        <w:jc w:val="left"/>
        <w:rPr>
          <w:rFonts w:ascii="Times New Roman;serif" w:hAnsi="Times New Roman;serif"/>
          <w:b/>
          <w:sz w:val="22"/>
        </w:rPr>
      </w:pPr>
      <w:r>
        <w:rPr>
          <w:rFonts w:ascii="Times New Roman;serif" w:hAnsi="Times New Roman;serif"/>
          <w:b/>
          <w:sz w:val="22"/>
        </w:rPr>
        <w:t>PRAC HOLDINGS, INC.</w:t>
      </w:r>
    </w:p>
    <w:p>
      <w:pPr>
        <w:pStyle w:val="TextBody"/>
        <w:spacing w:before="0" w:after="0"/>
        <w:jc w:val="left"/>
        <w:rPr>
          <w:rFonts w:ascii="Times New Roman;serif" w:hAnsi="Times New Roman;serif"/>
          <w:b/>
          <w:sz w:val="22"/>
        </w:rPr>
      </w:pPr>
      <w:r>
        <w:rPr>
          <w:rFonts w:ascii="Times New Roman;serif" w:hAnsi="Times New Roman;serif"/>
          <w:b/>
          <w:sz w:val="22"/>
        </w:rPr>
        <w:t>CURA PARTNERS, LLC</w:t>
      </w:r>
    </w:p>
    <w:p>
      <w:pPr>
        <w:pStyle w:val="TextBody"/>
        <w:spacing w:before="0" w:after="0"/>
        <w:jc w:val="left"/>
        <w:rPr>
          <w:rFonts w:ascii="Times New Roman;serif" w:hAnsi="Times New Roman;serif"/>
          <w:b/>
          <w:sz w:val="22"/>
        </w:rPr>
      </w:pPr>
      <w:r>
        <w:rPr>
          <w:rFonts w:ascii="Times New Roman;serif" w:hAnsi="Times New Roman;serif"/>
          <w:b/>
          <w:sz w:val="22"/>
        </w:rPr>
        <w:t>AMBERCARE CORPORATION</w:t>
      </w:r>
    </w:p>
    <w:p>
      <w:pPr>
        <w:pStyle w:val="TextBody"/>
        <w:spacing w:before="0" w:after="0"/>
        <w:jc w:val="left"/>
        <w:rPr>
          <w:rFonts w:ascii="Times New Roman;serif" w:hAnsi="Times New Roman;serif"/>
          <w:b/>
          <w:sz w:val="22"/>
        </w:rPr>
      </w:pPr>
      <w:r>
        <w:rPr>
          <w:rFonts w:ascii="Times New Roman;serif" w:hAnsi="Times New Roman;serif"/>
          <w:b/>
          <w:sz w:val="22"/>
        </w:rPr>
        <w:t>AMBERCARE HOME HEALTH CARE CORPORATION</w:t>
      </w:r>
    </w:p>
    <w:p>
      <w:pPr>
        <w:pStyle w:val="TextBody"/>
        <w:spacing w:before="0" w:after="0"/>
        <w:jc w:val="left"/>
        <w:rPr>
          <w:rFonts w:ascii="Times New Roman;serif" w:hAnsi="Times New Roman;serif"/>
          <w:b/>
          <w:sz w:val="22"/>
        </w:rPr>
      </w:pPr>
      <w:r>
        <w:rPr>
          <w:rFonts w:ascii="Times New Roman;serif" w:hAnsi="Times New Roman;serif"/>
          <w:b/>
          <w:sz w:val="22"/>
        </w:rPr>
        <w:t>AMBERCARE HOSPICE, INC.</w:t>
      </w:r>
    </w:p>
    <w:p>
      <w:pPr>
        <w:pStyle w:val="TextBody"/>
        <w:spacing w:before="0" w:after="0"/>
        <w:jc w:val="left"/>
        <w:rPr>
          <w:rFonts w:ascii="Times New Roman;serif" w:hAnsi="Times New Roman;serif"/>
          <w:b/>
          <w:sz w:val="22"/>
        </w:rPr>
      </w:pPr>
      <w:r>
        <w:rPr>
          <w:rFonts w:ascii="Times New Roman;serif" w:hAnsi="Times New Roman;serif"/>
          <w:b/>
          <w:sz w:val="22"/>
        </w:rPr>
        <w:t>ALLIANCE HOME HEALTH CARE, LLC</w:t>
      </w:r>
    </w:p>
    <w:p>
      <w:pPr>
        <w:pStyle w:val="TextBody"/>
        <w:spacing w:before="0" w:after="0"/>
        <w:jc w:val="left"/>
        <w:rPr>
          <w:rFonts w:ascii="Times New Roman;serif" w:hAnsi="Times New Roman;serif"/>
          <w:b/>
          <w:sz w:val="22"/>
        </w:rPr>
      </w:pPr>
      <w:r>
        <w:rPr>
          <w:rFonts w:ascii="Times New Roman;serif" w:hAnsi="Times New Roman;serif"/>
          <w:b/>
          <w:sz w:val="22"/>
        </w:rPr>
        <w:t>QUEEN CITY HOSPICE, LLC</w:t>
      </w:r>
    </w:p>
    <w:p>
      <w:pPr>
        <w:pStyle w:val="TextBody"/>
        <w:spacing w:before="0" w:after="0"/>
        <w:jc w:val="left"/>
        <w:rPr>
          <w:rFonts w:ascii="Times New Roman;serif" w:hAnsi="Times New Roman;serif"/>
          <w:b/>
          <w:sz w:val="22"/>
        </w:rPr>
      </w:pPr>
      <w:r>
        <w:rPr>
          <w:rFonts w:ascii="Times New Roman;serif" w:hAnsi="Times New Roman;serif"/>
          <w:b/>
          <w:sz w:val="22"/>
        </w:rPr>
        <w:t>MIRACLE CITY HOSPICE, LLC</w:t>
      </w:r>
    </w:p>
    <w:p>
      <w:pPr>
        <w:pStyle w:val="TextBody"/>
        <w:spacing w:before="0" w:after="0"/>
        <w:jc w:val="left"/>
        <w:rPr>
          <w:rFonts w:ascii="Times New Roman;serif" w:hAnsi="Times New Roman;serif"/>
          <w:b/>
          <w:sz w:val="22"/>
        </w:rPr>
      </w:pPr>
      <w:r>
        <w:rPr>
          <w:rFonts w:ascii="Times New Roman;serif" w:hAnsi="Times New Roman;serif"/>
          <w:b/>
          <w:sz w:val="22"/>
        </w:rPr>
        <w:t>COUNTY HOMEMAKERS INCORPORATED</w:t>
      </w:r>
    </w:p>
    <w:p>
      <w:pPr>
        <w:pStyle w:val="TextBody"/>
        <w:spacing w:before="0" w:after="0"/>
        <w:jc w:val="left"/>
        <w:rPr>
          <w:rFonts w:ascii="Times New Roman" w:hAnsi="Times New Roman"/>
          <w:sz w:val="20"/>
        </w:rPr>
      </w:pPr>
      <w:r>
        <w:rPr>
          <w:rFonts w:ascii="Times New Roman;serif" w:hAnsi="Times New Roman;serif"/>
          <w:b/>
          <w:sz w:val="22"/>
        </w:rPr>
        <w:t>A PLUS HEALTHCARE, INC.</w:t>
      </w:r>
      <w:r>
        <w:rPr>
          <w:rFonts w:ascii="Times New Roman" w:hAnsi="Times New Roman"/>
          <w:sz w:val="20"/>
        </w:rPr>
        <w:t xml:space="preserve"> </w:t>
      </w:r>
    </w:p>
    <w:p>
      <w:pPr>
        <w:pStyle w:val="TextBody"/>
        <w:spacing w:before="0" w:after="0"/>
        <w:jc w:val="left"/>
        <w:rPr>
          <w:rFonts w:ascii="Times New Roman;serif" w:hAnsi="Times New Roman;serif"/>
          <w:b/>
          <w:sz w:val="22"/>
        </w:rPr>
      </w:pPr>
      <w:r>
        <w:rPr>
          <w:rFonts w:ascii="Times New Roman;serif" w:hAnsi="Times New Roman;serif"/>
          <w:b/>
          <w:sz w:val="22"/>
        </w:rPr>
        <w:t>NEW CAPITAL PARTNERS II – HS, INC.</w:t>
      </w:r>
    </w:p>
    <w:p>
      <w:pPr>
        <w:pStyle w:val="TextBody"/>
        <w:spacing w:before="0" w:after="0"/>
        <w:jc w:val="left"/>
        <w:rPr>
          <w:rFonts w:ascii="Times New Roman;serif" w:hAnsi="Times New Roman;serif"/>
          <w:b/>
          <w:sz w:val="22"/>
        </w:rPr>
      </w:pPr>
      <w:r>
        <w:rPr>
          <w:rFonts w:ascii="Times New Roman;serif" w:hAnsi="Times New Roman;serif"/>
          <w:b/>
          <w:sz w:val="22"/>
        </w:rPr>
        <w:t>HOSPICE PARTNERS OF AMERICA, LLC</w:t>
      </w:r>
    </w:p>
    <w:p>
      <w:pPr>
        <w:pStyle w:val="TextBody"/>
        <w:spacing w:before="0" w:after="0"/>
        <w:jc w:val="left"/>
        <w:rPr>
          <w:rFonts w:ascii="Times New Roman;serif" w:hAnsi="Times New Roman;serif"/>
          <w:b/>
          <w:sz w:val="22"/>
        </w:rPr>
      </w:pPr>
      <w:r>
        <w:rPr>
          <w:rFonts w:ascii="Times New Roman;serif" w:hAnsi="Times New Roman;serif"/>
          <w:b/>
          <w:sz w:val="22"/>
        </w:rPr>
        <w:t>HPA MANAGEMENT COMPANY, LLC</w:t>
      </w:r>
    </w:p>
    <w:p>
      <w:pPr>
        <w:pStyle w:val="TextBody"/>
        <w:spacing w:before="0" w:after="0"/>
        <w:jc w:val="left"/>
        <w:rPr>
          <w:rFonts w:ascii="Times New Roman;serif" w:hAnsi="Times New Roman;serif"/>
          <w:b/>
          <w:sz w:val="22"/>
        </w:rPr>
      </w:pPr>
      <w:r>
        <w:rPr>
          <w:rFonts w:ascii="Times New Roman;serif" w:hAnsi="Times New Roman;serif"/>
          <w:b/>
          <w:sz w:val="22"/>
        </w:rPr>
        <w:t>HOSPICE PARTNERS OF AMERICA HOLDING, LLC</w:t>
      </w:r>
    </w:p>
    <w:p>
      <w:pPr>
        <w:pStyle w:val="TextBody"/>
        <w:spacing w:before="0" w:after="0"/>
        <w:jc w:val="left"/>
        <w:rPr>
          <w:rFonts w:ascii="Times New Roman;serif" w:hAnsi="Times New Roman;serif"/>
          <w:b/>
          <w:sz w:val="22"/>
        </w:rPr>
      </w:pPr>
      <w:r>
        <w:rPr>
          <w:rFonts w:ascii="Times New Roman;serif" w:hAnsi="Times New Roman;serif"/>
          <w:b/>
          <w:sz w:val="22"/>
        </w:rPr>
        <w:t>HPA MEDICAL MANAGEMENT, LLC</w:t>
      </w:r>
    </w:p>
    <w:p>
      <w:pPr>
        <w:pStyle w:val="TextBody"/>
        <w:spacing w:before="0" w:after="0"/>
        <w:jc w:val="left"/>
        <w:rPr>
          <w:rFonts w:ascii="Times New Roman;serif" w:hAnsi="Times New Roman;serif"/>
          <w:b/>
          <w:sz w:val="22"/>
        </w:rPr>
      </w:pPr>
      <w:r>
        <w:rPr>
          <w:rFonts w:ascii="Times New Roman;serif" w:hAnsi="Times New Roman;serif"/>
          <w:b/>
          <w:sz w:val="22"/>
        </w:rPr>
        <w:t>HPA IDAHO, LLC</w:t>
      </w:r>
    </w:p>
    <w:p>
      <w:pPr>
        <w:pStyle w:val="TextBody"/>
        <w:spacing w:before="0" w:after="0"/>
        <w:jc w:val="left"/>
        <w:rPr>
          <w:rFonts w:ascii="Times New Roman;serif" w:hAnsi="Times New Roman;serif"/>
          <w:b/>
          <w:sz w:val="22"/>
        </w:rPr>
      </w:pPr>
      <w:r>
        <w:rPr>
          <w:rFonts w:ascii="Times New Roman;serif" w:hAnsi="Times New Roman;serif"/>
          <w:b/>
          <w:sz w:val="22"/>
        </w:rPr>
        <w:t>HOSPICE PARTNERS OF TEXAS, LLC</w:t>
      </w:r>
    </w:p>
    <w:p>
      <w:pPr>
        <w:pStyle w:val="TextBody"/>
        <w:spacing w:before="0" w:after="0"/>
        <w:jc w:val="left"/>
        <w:rPr>
          <w:rFonts w:ascii="Times New Roman;serif" w:hAnsi="Times New Roman;serif"/>
          <w:b/>
          <w:sz w:val="22"/>
        </w:rPr>
      </w:pPr>
      <w:r>
        <w:rPr>
          <w:rFonts w:ascii="Times New Roman;serif" w:hAnsi="Times New Roman;serif"/>
          <w:b/>
          <w:sz w:val="22"/>
        </w:rPr>
        <w:t>H&amp;PC OF AMERICA, LLC</w:t>
      </w:r>
    </w:p>
    <w:p>
      <w:pPr>
        <w:pStyle w:val="TextBody"/>
        <w:spacing w:before="0" w:after="0"/>
        <w:jc w:val="left"/>
        <w:rPr>
          <w:rFonts w:ascii="Times New Roman;serif" w:hAnsi="Times New Roman;serif"/>
          <w:b/>
          <w:sz w:val="22"/>
        </w:rPr>
      </w:pPr>
      <w:r>
        <w:rPr>
          <w:rFonts w:ascii="Times New Roman;serif" w:hAnsi="Times New Roman;serif"/>
          <w:b/>
          <w:sz w:val="22"/>
        </w:rPr>
        <w:t>TR&amp;B LLC</w:t>
      </w:r>
    </w:p>
    <w:p>
      <w:pPr>
        <w:pStyle w:val="TextBody"/>
        <w:spacing w:before="0" w:after="0"/>
        <w:jc w:val="left"/>
        <w:rPr>
          <w:rFonts w:ascii="Times New Roman;serif" w:hAnsi="Times New Roman;serif"/>
          <w:b/>
          <w:sz w:val="22"/>
        </w:rPr>
      </w:pPr>
      <w:r>
        <w:rPr>
          <w:rFonts w:ascii="Times New Roman;serif" w:hAnsi="Times New Roman;serif"/>
          <w:b/>
          <w:sz w:val="22"/>
        </w:rPr>
        <w:t>ALAMO AREA HOME HOSPICE, LP</w:t>
      </w:r>
    </w:p>
    <w:p>
      <w:pPr>
        <w:pStyle w:val="TextBody"/>
        <w:spacing w:before="0" w:after="0"/>
        <w:jc w:val="left"/>
        <w:rPr>
          <w:rFonts w:ascii="Times New Roman;serif" w:hAnsi="Times New Roman;serif"/>
          <w:b/>
          <w:sz w:val="22"/>
        </w:rPr>
      </w:pPr>
      <w:r>
        <w:rPr>
          <w:rFonts w:ascii="Times New Roman;serif" w:hAnsi="Times New Roman;serif"/>
          <w:b/>
          <w:sz w:val="22"/>
        </w:rPr>
        <w:t>SERENITY PALLIATIVE CARE AND HOSPICE, LLC</w:t>
      </w:r>
    </w:p>
    <w:p>
      <w:pPr>
        <w:pStyle w:val="TextBody"/>
        <w:spacing w:before="0" w:after="0"/>
        <w:jc w:val="left"/>
        <w:rPr>
          <w:rFonts w:ascii="Times New Roman;serif" w:hAnsi="Times New Roman;serif"/>
          <w:b/>
          <w:sz w:val="22"/>
        </w:rPr>
      </w:pPr>
      <w:r>
        <w:rPr>
          <w:rFonts w:ascii="Times New Roman;serif" w:hAnsi="Times New Roman;serif"/>
          <w:b/>
          <w:sz w:val="22"/>
        </w:rPr>
        <w:t>ARMADA SKILLED HOMECARE OF NEW MEXICO LLC</w:t>
      </w:r>
    </w:p>
    <w:p>
      <w:pPr>
        <w:pStyle w:val="TextBody"/>
        <w:spacing w:before="0" w:after="0"/>
        <w:jc w:val="left"/>
        <w:rPr>
          <w:rFonts w:ascii="Times New Roman;serif" w:hAnsi="Times New Roman;serif"/>
          <w:b/>
          <w:sz w:val="22"/>
        </w:rPr>
      </w:pPr>
      <w:r>
        <w:rPr>
          <w:rFonts w:ascii="Times New Roman;serif" w:hAnsi="Times New Roman;serif"/>
          <w:b/>
          <w:sz w:val="22"/>
        </w:rPr>
        <w:t>ARMADA HOSPICE OF NEW MEXICO LLC</w:t>
      </w:r>
    </w:p>
    <w:p>
      <w:pPr>
        <w:pStyle w:val="TextBody"/>
        <w:spacing w:before="0" w:after="0"/>
        <w:jc w:val="left"/>
        <w:rPr>
          <w:rFonts w:ascii="Times New Roman;serif" w:hAnsi="Times New Roman;serif"/>
          <w:b/>
          <w:sz w:val="22"/>
        </w:rPr>
      </w:pPr>
      <w:r>
        <w:rPr>
          <w:rFonts w:ascii="Times New Roman;serif" w:hAnsi="Times New Roman;serif"/>
          <w:b/>
          <w:sz w:val="22"/>
        </w:rPr>
        <w:t>ARMADA HOSPICE OF SANTA FE, LLC</w:t>
      </w:r>
    </w:p>
    <w:p>
      <w:pPr>
        <w:pStyle w:val="TextBody"/>
        <w:spacing w:before="0" w:after="0"/>
        <w:jc w:val="left"/>
        <w:rPr>
          <w:rFonts w:ascii="Times New Roman;serif" w:hAnsi="Times New Roman;serif"/>
          <w:b/>
          <w:sz w:val="22"/>
        </w:rPr>
      </w:pPr>
      <w:r>
        <w:rPr>
          <w:rFonts w:ascii="Times New Roman;serif" w:hAnsi="Times New Roman;serif"/>
          <w:b/>
          <w:sz w:val="22"/>
        </w:rPr>
        <w:t>ADDUS HOSPICE OF ILLINOIS, LLC</w:t>
      </w:r>
    </w:p>
    <w:p>
      <w:pPr>
        <w:pStyle w:val="TextBody"/>
        <w:spacing w:before="0" w:after="0"/>
        <w:jc w:val="left"/>
        <w:rPr>
          <w:rFonts w:ascii="Times New Roman;serif" w:hAnsi="Times New Roman;serif"/>
          <w:b/>
          <w:sz w:val="22"/>
        </w:rPr>
      </w:pPr>
      <w:r>
        <w:rPr>
          <w:rFonts w:ascii="Times New Roman;serif" w:hAnsi="Times New Roman;serif"/>
          <w:b/>
          <w:sz w:val="22"/>
        </w:rPr>
        <w:t>APPLE HOME HEALTHCARE, LTD.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Brian Poff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Brian Poff</w:t>
      </w:r>
    </w:p>
    <w:p>
      <w:pPr>
        <w:pStyle w:val="TextBody"/>
        <w:spacing w:before="0" w:after="0"/>
        <w:jc w:val="left"/>
        <w:rPr>
          <w:rFonts w:ascii="Times New Roman" w:hAnsi="Times New Roman"/>
          <w:sz w:val="20"/>
        </w:rPr>
      </w:pPr>
      <w:r>
        <w:rPr>
          <w:rFonts w:ascii="Times New Roman;serif" w:hAnsi="Times New Roman;serif"/>
          <w:b w:val="false"/>
          <w:sz w:val="22"/>
        </w:rPr>
        <w:t>Title: Secretary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AGENT AND LENDERS: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CAPITAL ONE, NATIONAL ASSOCIATION</w:t>
      </w:r>
      <w:r>
        <w:rPr>
          <w:rFonts w:ascii="Times New Roman;serif" w:hAnsi="Times New Roman;serif"/>
          <w:b w:val="false"/>
          <w:sz w:val="22"/>
        </w:rPr>
        <w:t xml:space="preserve">, </w:t>
        <w:br/>
        <w:t>as Agent, Swing Lender and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Brian Pender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Brian Pender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Its Duly Authorized Signatory</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JPMORGAN CHASE BANK, N.A.,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Erik Barragan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Erik Barragan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Authorized Officer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Citizens Bank, N.A.,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Benjamin Sileo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Benjamin Sileo</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VP</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BMO Harris Bank, N.A.,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Joe Arnold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Joe Arnold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Director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HANCOCK WHITNEY BANK,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Michael Woodnorth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Michael Woodnorth</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Vice President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FIFTH THIRD BANK, NATIONAL ASSOCATION,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Thomas Avery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Thomas Avery</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Managing Director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Wells Fargo Bank, National Association,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William Mims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William Mims</w:t>
      </w:r>
    </w:p>
    <w:p>
      <w:pPr>
        <w:pStyle w:val="TextBody"/>
        <w:spacing w:before="0" w:after="0"/>
        <w:jc w:val="left"/>
        <w:rPr>
          <w:rFonts w:ascii="Times New Roman" w:hAnsi="Times New Roman"/>
          <w:sz w:val="20"/>
        </w:rPr>
      </w:pPr>
      <w:r>
        <w:rPr>
          <w:rFonts w:ascii="Times New Roman;serif" w:hAnsi="Times New Roman;serif"/>
          <w:b w:val="false"/>
          <w:sz w:val="22"/>
        </w:rPr>
        <w:t>Title: Vice President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WOODFOREST NATIONAL BANK,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Robert Swift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Robert Swift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Vice President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 to Third Amendment</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Huntington National Bank,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K. Andrew Tiberi-Warner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K. Andrew Tiberi-Warner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Vice President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BANK OF AMERICA, N.A.,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Alexander L. Rody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 xml:space="preserve">Name: Alexander L. Rody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Senior Vice President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PNC Bank, N.A., as a Lender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Amira Nagati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Name: Amira Nagati</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Title: Senior Vice President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Signature Page to Third Amendment</w:t>
      </w:r>
    </w:p>
    <w:p>
      <w:pPr>
        <w:pStyle w:val="HorizontalLine"/>
        <w:rPr/>
      </w:pPr>
      <w:r>
        <w:rPr/>
      </w:r>
      <w:r>
        <w:br w:type="page"/>
      </w:r>
    </w:p>
    <w:p>
      <w:pPr>
        <w:pStyle w:val="TextBody"/>
        <w:spacing w:before="0" w:after="0"/>
        <w:jc w:val="right"/>
        <w:rPr>
          <w:rFonts w:ascii="Times New Roman;serif" w:hAnsi="Times New Roman;serif"/>
          <w:b/>
          <w:sz w:val="20"/>
        </w:rPr>
      </w:pPr>
      <w:bookmarkStart w:id="23" w:name="adus-ex31_1.htm"/>
      <w:bookmarkStart w:id="24" w:name="ksadusex31_1"/>
      <w:bookmarkEnd w:id="23"/>
      <w:bookmarkEnd w:id="24"/>
      <w:r>
        <w:rPr>
          <w:rFonts w:ascii="Times New Roman;serif" w:hAnsi="Times New Roman;serif"/>
          <w:b/>
          <w:sz w:val="20"/>
        </w:rPr>
        <w:t>Exhibit 31.1</w:t>
      </w:r>
    </w:p>
    <w:p>
      <w:pPr>
        <w:pStyle w:val="TextBody"/>
        <w:spacing w:before="180" w:after="0"/>
        <w:jc w:val="center"/>
        <w:rPr>
          <w:rFonts w:ascii="Times New Roman;serif" w:hAnsi="Times New Roman;serif"/>
          <w:b/>
          <w:sz w:val="20"/>
        </w:rPr>
      </w:pPr>
      <w:r>
        <w:rPr>
          <w:rFonts w:ascii="Times New Roman;serif" w:hAnsi="Times New Roman;serif"/>
          <w:b/>
          <w:sz w:val="20"/>
        </w:rPr>
        <w:t>CERTIFICATIONS OF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R. Dirk Allison, certify that:</w:t>
      </w:r>
    </w:p>
    <w:p>
      <w:pPr>
        <w:pStyle w:val="TextBody"/>
        <w:spacing w:before="180" w:after="0"/>
        <w:jc w:val="left"/>
        <w:rPr>
          <w:rFonts w:ascii="Times New Roman" w:hAnsi="Times New Roman"/>
          <w:b w:val="false"/>
          <w:sz w:val="20"/>
        </w:rPr>
      </w:pPr>
      <w:r>
        <w:rPr>
          <w:rFonts w:ascii="Times New Roman" w:hAnsi="Times New Roman"/>
          <w:b w:val="false"/>
          <w:sz w:val="20"/>
        </w:rPr>
        <w:t>1.</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have reviewed this quarterly report on Form 10-Q of Addus HomeCare Corporation;</w:t>
      </w:r>
    </w:p>
    <w:p>
      <w:pPr>
        <w:pStyle w:val="TextBody"/>
        <w:spacing w:before="180" w:after="0"/>
        <w:jc w:val="left"/>
        <w:rPr>
          <w:rFonts w:ascii="Times New Roman" w:hAnsi="Times New Roman"/>
          <w:b w:val="false"/>
          <w:sz w:val="20"/>
        </w:rPr>
      </w:pPr>
      <w:r>
        <w:rPr>
          <w:rFonts w:ascii="Times New Roman" w:hAnsi="Times New Roman"/>
          <w:b w:val="false"/>
          <w:sz w:val="20"/>
        </w:rPr>
        <w:t>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80" w:after="0"/>
        <w:jc w:val="left"/>
        <w:rPr>
          <w:rFonts w:ascii="Times New Roman" w:hAnsi="Times New Roman"/>
          <w:b w:val="false"/>
          <w:sz w:val="20"/>
        </w:rPr>
      </w:pPr>
      <w:r>
        <w:rPr>
          <w:rFonts w:ascii="Times New Roman" w:hAnsi="Times New Roman"/>
          <w:b w:val="false"/>
          <w:sz w:val="20"/>
        </w:rPr>
        <w:t>3.</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80" w:after="0"/>
        <w:jc w:val="left"/>
        <w:rPr>
          <w:rFonts w:ascii="Times New Roman" w:hAnsi="Times New Roman"/>
          <w:b w:val="false"/>
          <w:sz w:val="20"/>
        </w:rPr>
      </w:pPr>
      <w:r>
        <w:rPr>
          <w:rFonts w:ascii="Times New Roman" w:hAnsi="Times New Roman"/>
          <w:b w:val="false"/>
          <w:sz w:val="20"/>
        </w:rPr>
        <w:t>4.</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80" w:after="0"/>
        <w:jc w:val="left"/>
        <w:rPr>
          <w:rFonts w:ascii="Times New Roman" w:hAnsi="Times New Roman"/>
          <w:b w:val="false"/>
          <w:sz w:val="18"/>
        </w:rPr>
      </w:pPr>
      <w:r>
        <w:rPr>
          <w:rFonts w:ascii="Times New Roman" w:hAnsi="Times New Roman"/>
          <w:b w:val="false"/>
          <w:sz w:val="18"/>
        </w:rPr>
        <w:t>a)</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80" w:after="0"/>
        <w:jc w:val="left"/>
        <w:rPr>
          <w:rFonts w:ascii="Times New Roman" w:hAnsi="Times New Roman"/>
          <w:b w:val="false"/>
          <w:sz w:val="18"/>
        </w:rPr>
      </w:pPr>
      <w:r>
        <w:rPr>
          <w:rFonts w:ascii="Times New Roman" w:hAnsi="Times New Roman"/>
          <w:b w:val="false"/>
          <w:sz w:val="18"/>
        </w:rPr>
        <w:t>b)</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80" w:after="0"/>
        <w:jc w:val="left"/>
        <w:rPr>
          <w:rFonts w:ascii="Times New Roman" w:hAnsi="Times New Roman"/>
          <w:b w:val="false"/>
          <w:sz w:val="18"/>
        </w:rPr>
      </w:pPr>
      <w:r>
        <w:rPr>
          <w:rFonts w:ascii="Times New Roman" w:hAnsi="Times New Roman"/>
          <w:b w:val="false"/>
          <w:sz w:val="18"/>
        </w:rPr>
        <w:t>c)</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80" w:after="0"/>
        <w:jc w:val="left"/>
        <w:rPr>
          <w:rFonts w:ascii="Times New Roman" w:hAnsi="Times New Roman"/>
          <w:b w:val="false"/>
          <w:sz w:val="18"/>
        </w:rPr>
      </w:pPr>
      <w:r>
        <w:rPr>
          <w:rFonts w:ascii="Times New Roman" w:hAnsi="Times New Roman"/>
          <w:b w:val="false"/>
          <w:sz w:val="18"/>
        </w:rPr>
        <w:t>d)</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80" w:after="0"/>
        <w:jc w:val="left"/>
        <w:rPr>
          <w:rFonts w:ascii="Times New Roman" w:hAnsi="Times New Roman"/>
          <w:b w:val="false"/>
          <w:sz w:val="20"/>
        </w:rPr>
      </w:pPr>
      <w:r>
        <w:rPr>
          <w:rFonts w:ascii="Times New Roman" w:hAnsi="Times New Roman"/>
          <w:b w:val="false"/>
          <w:sz w:val="20"/>
        </w:rPr>
        <w:t>5.</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80" w:after="0"/>
        <w:jc w:val="left"/>
        <w:rPr>
          <w:rFonts w:ascii="Times New Roman" w:hAnsi="Times New Roman"/>
          <w:b w:val="false"/>
          <w:sz w:val="18"/>
        </w:rPr>
      </w:pPr>
      <w:r>
        <w:rPr>
          <w:rFonts w:ascii="Times New Roman" w:hAnsi="Times New Roman"/>
          <w:b w:val="false"/>
          <w:sz w:val="18"/>
        </w:rPr>
        <w:t>a)</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80" w:after="0"/>
        <w:jc w:val="left"/>
        <w:rPr>
          <w:rFonts w:ascii="Times New Roman" w:hAnsi="Times New Roman"/>
          <w:b w:val="false"/>
          <w:sz w:val="18"/>
        </w:rPr>
      </w:pPr>
      <w:r>
        <w:rPr>
          <w:rFonts w:ascii="Times New Roman" w:hAnsi="Times New Roman"/>
          <w:b w:val="false"/>
          <w:sz w:val="18"/>
        </w:rPr>
        <w:t>b)</w:t>
      </w:r>
    </w:p>
    <w:p>
      <w:pPr>
        <w:pStyle w:val="TextBody"/>
        <w:spacing w:before="180" w:after="283"/>
        <w:jc w:val="left"/>
        <w:rPr>
          <w:rFonts w:ascii="Times New Roman;serif" w:hAnsi="Times New Roman;serif"/>
          <w:b w:val="false"/>
          <w:sz w:val="18"/>
        </w:rPr>
      </w:pPr>
      <w:r>
        <w:rPr>
          <w:rFonts w:ascii="Times New Roman;serif" w:hAnsi="Times New Roman;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829" w:type="dxa"/>
        <w:jc w:val="left"/>
        <w:tblInd w:w="0" w:type="dxa"/>
        <w:tblCellMar>
          <w:top w:w="28" w:type="dxa"/>
          <w:left w:w="28" w:type="dxa"/>
          <w:bottom w:w="28" w:type="dxa"/>
          <w:right w:w="28" w:type="dxa"/>
        </w:tblCellMar>
      </w:tblPr>
      <w:tblGrid>
        <w:gridCol w:w="1456"/>
        <w:gridCol w:w="146"/>
        <w:gridCol w:w="361"/>
        <w:gridCol w:w="2866"/>
      </w:tblGrid>
      <w:tr>
        <w:trPr/>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r>
      <w:tr>
        <w:trPr/>
        <w:tc>
          <w:tcPr>
            <w:tcW w:w="14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Date: May 2, 2023</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By:</w:t>
            </w:r>
          </w:p>
        </w:tc>
        <w:tc>
          <w:tcPr>
            <w:tcW w:w="2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 R. Dirk Allison</w:t>
            </w:r>
          </w:p>
        </w:tc>
      </w:tr>
      <w:tr>
        <w:trPr/>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 Dirk Allison</w:t>
            </w:r>
          </w:p>
        </w:tc>
      </w:tr>
      <w:tr>
        <w:trPr/>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Chairman and 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5" w:name="adus-ex31_2.htm"/>
      <w:bookmarkStart w:id="26" w:name="ksadusex31_2"/>
      <w:bookmarkEnd w:id="25"/>
      <w:bookmarkEnd w:id="26"/>
      <w:r>
        <w:rPr>
          <w:rFonts w:ascii="Times New Roman;serif" w:hAnsi="Times New Roman;serif"/>
          <w:b/>
          <w:sz w:val="20"/>
        </w:rPr>
        <w:t>Exhibit 31.2</w:t>
      </w:r>
    </w:p>
    <w:p>
      <w:pPr>
        <w:pStyle w:val="TextBody"/>
        <w:spacing w:before="180" w:after="0"/>
        <w:jc w:val="center"/>
        <w:rPr>
          <w:rFonts w:ascii="Times New Roman;serif" w:hAnsi="Times New Roman;serif"/>
          <w:b/>
          <w:sz w:val="20"/>
        </w:rPr>
      </w:pPr>
      <w:r>
        <w:rPr>
          <w:rFonts w:ascii="Times New Roman;serif" w:hAnsi="Times New Roman;serif"/>
          <w:b/>
          <w:sz w:val="20"/>
        </w:rPr>
        <w:t>CERTIFICATIONS OF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Brian Poff, certify that:</w:t>
      </w:r>
    </w:p>
    <w:p>
      <w:pPr>
        <w:pStyle w:val="TextBody"/>
        <w:spacing w:before="180" w:after="0"/>
        <w:jc w:val="left"/>
        <w:rPr>
          <w:rFonts w:ascii="Times New Roman" w:hAnsi="Times New Roman"/>
          <w:b w:val="false"/>
          <w:sz w:val="20"/>
        </w:rPr>
      </w:pPr>
      <w:r>
        <w:rPr>
          <w:rFonts w:ascii="Times New Roman" w:hAnsi="Times New Roman"/>
          <w:b w:val="false"/>
          <w:sz w:val="20"/>
        </w:rPr>
        <w:t>1.</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have reviewed this quarterly report on Form 10-Q of Addus HomeCare Corporation;</w:t>
      </w:r>
    </w:p>
    <w:p>
      <w:pPr>
        <w:pStyle w:val="TextBody"/>
        <w:spacing w:before="180" w:after="0"/>
        <w:jc w:val="left"/>
        <w:rPr>
          <w:rFonts w:ascii="Times New Roman" w:hAnsi="Times New Roman"/>
          <w:b w:val="false"/>
          <w:sz w:val="20"/>
        </w:rPr>
      </w:pPr>
      <w:r>
        <w:rPr>
          <w:rFonts w:ascii="Times New Roman" w:hAnsi="Times New Roman"/>
          <w:b w:val="false"/>
          <w:sz w:val="20"/>
        </w:rPr>
        <w:t>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80" w:after="0"/>
        <w:jc w:val="left"/>
        <w:rPr>
          <w:rFonts w:ascii="Times New Roman" w:hAnsi="Times New Roman"/>
          <w:b w:val="false"/>
          <w:sz w:val="20"/>
        </w:rPr>
      </w:pPr>
      <w:r>
        <w:rPr>
          <w:rFonts w:ascii="Times New Roman" w:hAnsi="Times New Roman"/>
          <w:b w:val="false"/>
          <w:sz w:val="20"/>
        </w:rPr>
        <w:t>3.</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80" w:after="0"/>
        <w:jc w:val="left"/>
        <w:rPr>
          <w:rFonts w:ascii="Times New Roman" w:hAnsi="Times New Roman"/>
          <w:b w:val="false"/>
          <w:sz w:val="20"/>
        </w:rPr>
      </w:pPr>
      <w:r>
        <w:rPr>
          <w:rFonts w:ascii="Times New Roman" w:hAnsi="Times New Roman"/>
          <w:b w:val="false"/>
          <w:sz w:val="20"/>
        </w:rPr>
        <w:t>4.</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18"/>
        </w:rPr>
      </w:pPr>
      <w:r>
        <w:rPr>
          <w:rFonts w:ascii="Times New Roman" w:hAnsi="Times New Roman"/>
          <w:b w:val="false"/>
          <w:sz w:val="18"/>
        </w:rPr>
        <w:t>a)</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18"/>
        </w:rPr>
      </w:pPr>
      <w:r>
        <w:rPr>
          <w:rFonts w:ascii="Times New Roman" w:hAnsi="Times New Roman"/>
          <w:b w:val="false"/>
          <w:sz w:val="18"/>
        </w:rPr>
        <w:t>b)</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18"/>
        </w:rPr>
      </w:pPr>
      <w:r>
        <w:rPr>
          <w:rFonts w:ascii="Times New Roman" w:hAnsi="Times New Roman"/>
          <w:b w:val="false"/>
          <w:sz w:val="18"/>
        </w:rPr>
        <w:t>c)</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18"/>
        </w:rPr>
      </w:pPr>
      <w:r>
        <w:rPr>
          <w:rFonts w:ascii="Times New Roman" w:hAnsi="Times New Roman"/>
          <w:b w:val="false"/>
          <w:sz w:val="18"/>
        </w:rPr>
        <w:t>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80" w:after="0"/>
        <w:jc w:val="left"/>
        <w:rPr>
          <w:rFonts w:ascii="Times New Roman" w:hAnsi="Times New Roman"/>
          <w:b w:val="false"/>
          <w:sz w:val="20"/>
        </w:rPr>
      </w:pPr>
      <w:r>
        <w:rPr>
          <w:rFonts w:ascii="Times New Roman" w:hAnsi="Times New Roman"/>
          <w:b w:val="false"/>
          <w:sz w:val="20"/>
        </w:rPr>
        <w:t>5.</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80" w:after="0"/>
        <w:jc w:val="left"/>
        <w:rPr>
          <w:rFonts w:ascii="Times New Roman" w:hAnsi="Times New Roman"/>
          <w:b w:val="false"/>
          <w:sz w:val="18"/>
        </w:rPr>
      </w:pPr>
      <w:r>
        <w:rPr>
          <w:rFonts w:ascii="Times New Roman" w:hAnsi="Times New Roman"/>
          <w:b w:val="false"/>
          <w:sz w:val="18"/>
        </w:rPr>
        <w:t>a)</w:t>
      </w:r>
    </w:p>
    <w:p>
      <w:pPr>
        <w:pStyle w:val="TextBody"/>
        <w:spacing w:before="180" w:after="0"/>
        <w:jc w:val="left"/>
        <w:rPr>
          <w:rFonts w:ascii="Times New Roman;serif" w:hAnsi="Times New Roman;serif"/>
          <w:b w:val="false"/>
          <w:sz w:val="18"/>
        </w:rPr>
      </w:pPr>
      <w:r>
        <w:rPr>
          <w:rFonts w:ascii="Times New Roman;serif" w:hAnsi="Times New Roman;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80" w:after="0"/>
        <w:jc w:val="left"/>
        <w:rPr>
          <w:rFonts w:ascii="Times New Roman" w:hAnsi="Times New Roman"/>
          <w:b w:val="false"/>
          <w:sz w:val="18"/>
        </w:rPr>
      </w:pPr>
      <w:r>
        <w:rPr>
          <w:rFonts w:ascii="Times New Roman" w:hAnsi="Times New Roman"/>
          <w:b w:val="false"/>
          <w:sz w:val="18"/>
        </w:rPr>
        <w:t>b)</w:t>
      </w:r>
    </w:p>
    <w:p>
      <w:pPr>
        <w:pStyle w:val="TextBody"/>
        <w:spacing w:before="180" w:after="283"/>
        <w:jc w:val="left"/>
        <w:rPr>
          <w:rFonts w:ascii="Times New Roman;serif" w:hAnsi="Times New Roman;serif"/>
          <w:b w:val="false"/>
          <w:sz w:val="18"/>
        </w:rPr>
      </w:pPr>
      <w:r>
        <w:rPr>
          <w:rFonts w:ascii="Times New Roman;serif" w:hAnsi="Times New Roman;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3749" w:type="dxa"/>
        <w:jc w:val="left"/>
        <w:tblInd w:w="0" w:type="dxa"/>
        <w:tblCellMar>
          <w:top w:w="28" w:type="dxa"/>
          <w:left w:w="28" w:type="dxa"/>
          <w:bottom w:w="28" w:type="dxa"/>
          <w:right w:w="28" w:type="dxa"/>
        </w:tblCellMar>
      </w:tblPr>
      <w:tblGrid>
        <w:gridCol w:w="1456"/>
        <w:gridCol w:w="146"/>
        <w:gridCol w:w="361"/>
        <w:gridCol w:w="1786"/>
      </w:tblGrid>
      <w:tr>
        <w:trPr/>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14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Date: May 2, 2023</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By:</w:t>
            </w:r>
          </w:p>
        </w:tc>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 Brian Poff</w:t>
            </w:r>
          </w:p>
        </w:tc>
      </w:tr>
      <w:tr>
        <w:trPr/>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Brian Poff</w:t>
            </w:r>
          </w:p>
        </w:tc>
      </w:tr>
      <w:tr>
        <w:trPr/>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7" w:name="adus-ex32_1.htm"/>
      <w:bookmarkStart w:id="28" w:name="ksadusex32_1"/>
      <w:bookmarkEnd w:id="27"/>
      <w:bookmarkEnd w:id="28"/>
      <w:r>
        <w:rPr>
          <w:rFonts w:ascii="Times New Roman;serif" w:hAnsi="Times New Roman;serif"/>
          <w:b/>
          <w:sz w:val="20"/>
        </w:rPr>
        <w:t>Exhibit 32.1</w:t>
      </w:r>
    </w:p>
    <w:p>
      <w:pPr>
        <w:pStyle w:val="TextBody"/>
        <w:spacing w:before="18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for the fiscal quarter ended March 31, 2023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(2)</w:t>
      </w:r>
      <w:r>
        <w:rPr>
          <w:rFonts w:ascii="Times New Roman" w:hAnsi="Times New Roman"/>
          <w:sz w:val="20"/>
        </w:rPr>
        <w:t xml:space="preserve"> </w:t>
      </w:r>
      <w:r>
        <w:rPr>
          <w:rFonts w:ascii="Times New Roman;serif" w:hAnsi="Times New Roman;serif"/>
          <w:b w:val="false"/>
          <w:sz w:val="18"/>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4921" w:type="dxa"/>
        <w:jc w:val="left"/>
        <w:tblInd w:w="0" w:type="dxa"/>
        <w:tblCellMar>
          <w:top w:w="28" w:type="dxa"/>
          <w:left w:w="28" w:type="dxa"/>
          <w:bottom w:w="28" w:type="dxa"/>
          <w:right w:w="28" w:type="dxa"/>
        </w:tblCellMar>
      </w:tblPr>
      <w:tblGrid>
        <w:gridCol w:w="1472"/>
        <w:gridCol w:w="146"/>
        <w:gridCol w:w="422"/>
        <w:gridCol w:w="1245"/>
        <w:gridCol w:w="1636"/>
      </w:tblGrid>
      <w:tr>
        <w:trPr/>
        <w:tc>
          <w:tcPr>
            <w:tcW w:w="14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left"/>
              <w:rPr/>
            </w:pPr>
            <w:r>
              <w:rPr/>
              <w:t> </w:t>
            </w:r>
          </w:p>
        </w:tc>
        <w:tc>
          <w:tcPr>
            <w:tcW w:w="1245" w:type="dxa"/>
            <w:tcBorders/>
            <w:shd w:fill="auto" w:val="clear"/>
            <w:vAlign w:val="center"/>
          </w:tcPr>
          <w:p>
            <w:pPr>
              <w:pStyle w:val="TableContents"/>
              <w:spacing w:before="0" w:after="0"/>
              <w:ind w:left="0" w:right="0" w:hanging="0"/>
              <w:jc w:val="left"/>
              <w:rPr/>
            </w:pPr>
            <w:r>
              <w:rPr/>
              <w:t> </w:t>
            </w:r>
          </w:p>
        </w:tc>
        <w:tc>
          <w:tcPr>
            <w:tcW w:w="1636" w:type="dxa"/>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Date: May 2, 2023</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16" w:hanging="0"/>
              <w:jc w:val="left"/>
              <w:rPr>
                <w:rFonts w:ascii="Times New Roman" w:hAnsi="Times New Roman"/>
                <w:sz w:val="18"/>
              </w:rPr>
            </w:pPr>
            <w:r>
              <w:rPr>
                <w:rFonts w:ascii="Times New Roman;serif" w:hAnsi="Times New Roman;serif"/>
                <w:b w:val="false"/>
                <w:sz w:val="18"/>
              </w:rPr>
              <w:t>By:</w:t>
            </w:r>
            <w:r>
              <w:rPr>
                <w:rFonts w:ascii="Times New Roman" w:hAnsi="Times New Roman"/>
                <w:sz w:val="18"/>
              </w:rPr>
              <w:t xml:space="preserve"> </w:t>
            </w:r>
          </w:p>
        </w:tc>
        <w:tc>
          <w:tcPr>
            <w:tcW w:w="2881" w:type="dxa"/>
            <w:gridSpan w:val="2"/>
            <w:tcBorders>
              <w:bottom w:val="single" w:sz="5"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/s/ R. Dirk Allison</w:t>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0" w:hanging="0"/>
              <w:jc w:val="left"/>
              <w:rPr/>
            </w:pPr>
            <w:r>
              <w:rPr/>
              <w:t> </w:t>
            </w:r>
          </w:p>
        </w:tc>
        <w:tc>
          <w:tcPr>
            <w:tcW w:w="2881" w:type="dxa"/>
            <w:gridSpan w:val="2"/>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R. Dirk Allison</w:t>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0" w:hanging="0"/>
              <w:jc w:val="left"/>
              <w:rPr/>
            </w:pPr>
            <w:r>
              <w:rPr/>
              <w:t> </w:t>
            </w:r>
          </w:p>
        </w:tc>
        <w:tc>
          <w:tcPr>
            <w:tcW w:w="2881" w:type="dxa"/>
            <w:gridSpan w:val="2"/>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Chairman and 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9" w:name="fis_certification_4"/>
      <w:bookmarkStart w:id="30" w:name="adus-ex32_2.htm"/>
      <w:bookmarkStart w:id="31" w:name="ksadusex32_2"/>
      <w:bookmarkEnd w:id="29"/>
      <w:bookmarkEnd w:id="30"/>
      <w:bookmarkEnd w:id="31"/>
      <w:r>
        <w:rPr>
          <w:rFonts w:ascii="Times New Roman;serif" w:hAnsi="Times New Roman;serif"/>
          <w:b/>
          <w:sz w:val="20"/>
        </w:rPr>
        <w:t>Exhibit 32.2</w:t>
      </w:r>
    </w:p>
    <w:p>
      <w:pPr>
        <w:pStyle w:val="TextBody"/>
        <w:spacing w:before="18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for the fiscal quarter ended March 31, 2023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(2)</w:t>
      </w:r>
      <w:r>
        <w:rPr>
          <w:rFonts w:ascii="Times New Roman" w:hAnsi="Times New Roman"/>
          <w:sz w:val="20"/>
        </w:rPr>
        <w:t xml:space="preserve"> </w:t>
      </w:r>
      <w:r>
        <w:rPr>
          <w:rFonts w:ascii="Times New Roman;serif" w:hAnsi="Times New Roman;serif"/>
          <w:b w:val="false"/>
          <w:sz w:val="18"/>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3841" w:type="dxa"/>
        <w:jc w:val="left"/>
        <w:tblInd w:w="0" w:type="dxa"/>
        <w:tblCellMar>
          <w:top w:w="28" w:type="dxa"/>
          <w:left w:w="28" w:type="dxa"/>
          <w:bottom w:w="28" w:type="dxa"/>
          <w:right w:w="28" w:type="dxa"/>
        </w:tblCellMar>
      </w:tblPr>
      <w:tblGrid>
        <w:gridCol w:w="1472"/>
        <w:gridCol w:w="146"/>
        <w:gridCol w:w="422"/>
        <w:gridCol w:w="777"/>
        <w:gridCol w:w="1024"/>
      </w:tblGrid>
      <w:tr>
        <w:trPr/>
        <w:tc>
          <w:tcPr>
            <w:tcW w:w="14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left"/>
              <w:rPr/>
            </w:pPr>
            <w:r>
              <w:rPr/>
              <w:t> </w:t>
            </w:r>
          </w:p>
        </w:tc>
      </w:tr>
      <w:tr>
        <w:trPr/>
        <w:tc>
          <w:tcPr>
            <w:tcW w:w="1472" w:type="dxa"/>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Date: May 2, 2023</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16" w:hanging="0"/>
              <w:jc w:val="left"/>
              <w:rPr>
                <w:rFonts w:ascii="Times New Roman" w:hAnsi="Times New Roman"/>
                <w:sz w:val="18"/>
              </w:rPr>
            </w:pPr>
            <w:r>
              <w:rPr>
                <w:rFonts w:ascii="Times New Roman;serif" w:hAnsi="Times New Roman;serif"/>
                <w:b w:val="false"/>
                <w:sz w:val="18"/>
              </w:rPr>
              <w:t>By:</w:t>
            </w:r>
            <w:r>
              <w:rPr>
                <w:rFonts w:ascii="Times New Roman" w:hAnsi="Times New Roman"/>
                <w:sz w:val="18"/>
              </w:rPr>
              <w:t xml:space="preserve"> </w:t>
            </w:r>
          </w:p>
        </w:tc>
        <w:tc>
          <w:tcPr>
            <w:tcW w:w="1801" w:type="dxa"/>
            <w:gridSpan w:val="2"/>
            <w:tcBorders>
              <w:bottom w:val="single" w:sz="5"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/s/ Brian Poff</w:t>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0" w:hanging="0"/>
              <w:jc w:val="left"/>
              <w:rPr/>
            </w:pPr>
            <w:r>
              <w:rPr/>
              <w:t> </w:t>
            </w:r>
          </w:p>
        </w:tc>
        <w:tc>
          <w:tcPr>
            <w:tcW w:w="1801" w:type="dxa"/>
            <w:gridSpan w:val="2"/>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Brian Poff</w:t>
            </w:r>
          </w:p>
        </w:tc>
      </w:tr>
      <w:tr>
        <w:trPr/>
        <w:tc>
          <w:tcPr>
            <w:tcW w:w="14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422" w:type="dxa"/>
            <w:tcBorders/>
            <w:shd w:fill="auto" w:val="clear"/>
            <w:vAlign w:val="center"/>
          </w:tcPr>
          <w:p>
            <w:pPr>
              <w:pStyle w:val="TableContents"/>
              <w:spacing w:before="0" w:after="0"/>
              <w:ind w:left="0" w:right="0" w:hanging="0"/>
              <w:jc w:val="left"/>
              <w:rPr/>
            </w:pPr>
            <w:r>
              <w:rPr/>
              <w:t> </w:t>
            </w:r>
          </w:p>
        </w:tc>
        <w:tc>
          <w:tcPr>
            <w:tcW w:w="1801" w:type="dxa"/>
            <w:gridSpan w:val="2"/>
            <w:tcBorders/>
            <w:shd w:fill="auto" w:val="clear"/>
            <w:vAlign w:val="center"/>
          </w:tcPr>
          <w:p>
            <w:pPr>
              <w:pStyle w:val="TableContents"/>
              <w:spacing w:before="0" w:after="0"/>
              <w:ind w:left="0" w:right="16" w:hanging="0"/>
              <w:jc w:val="left"/>
              <w:rPr>
                <w:rFonts w:ascii="Times New Roman;serif" w:hAnsi="Times New Roman;serif"/>
                <w:b w:val="false"/>
                <w:sz w:val="18"/>
              </w:rPr>
            </w:pPr>
            <w:r>
              <w:rPr>
                <w:rFonts w:ascii="Times New Roman;serif" w:hAnsi="Times New Roman;serif"/>
                <w:b w:val="false"/>
                <w:sz w:val="18"/>
              </w:rPr>
              <w:t>Chief Financial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8/000119312509238641/dex31.htm" TargetMode="External"/><Relationship Id="rId3" Type="http://schemas.openxmlformats.org/officeDocument/2006/relationships/hyperlink" Target="https://www.sec.gov/Archives/edgar/data/1468328/000119312509238641/dex31.htm" TargetMode="External"/><Relationship Id="rId4" Type="http://schemas.openxmlformats.org/officeDocument/2006/relationships/hyperlink" Target="https://www.sec.gov/Archives/edgar/data/1468328/000119312513211165/d535575dex32.htm" TargetMode="External"/><Relationship Id="rId5" Type="http://schemas.openxmlformats.org/officeDocument/2006/relationships/hyperlink" Target="https://www.sec.gov/Archives/edgar/data/1468328/000119312513211165/d535575dex32.htm" TargetMode="External"/><Relationship Id="rId6" Type="http://schemas.openxmlformats.org/officeDocument/2006/relationships/hyperlink" Target="https://www.sec.gov/Archives/edgar/data/1468328/000119312509202215/dex41.htm" TargetMode="External"/><Relationship Id="rId7" Type="http://schemas.openxmlformats.org/officeDocument/2006/relationships/hyperlink" Target="https://www.sec.gov/Archives/edgar/data/1468328/000119312509202215/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20802</Words>
  <CharactersWithSpaces>135672</CharactersWithSpaces>
  <Paragraphs>5746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