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640" w:hanging="452"/>
        <w:spacing w:after="0" w:line="269"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880"/>
        <w:spacing w:after="0"/>
        <w:tabs>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ADDUS HOMECARE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20-5340172</w:t>
            </w:r>
          </w:p>
        </w:tc>
      </w:tr>
      <w:tr>
        <w:trPr>
          <w:trHeight w:val="149"/>
        </w:trPr>
        <w:tc>
          <w:tcPr>
            <w:tcW w:w="6460" w:type="dxa"/>
            <w:vAlign w:val="bottom"/>
          </w:tcPr>
          <w:p>
            <w:pPr>
              <w:jc w:val="center"/>
              <w:ind w:right="38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460" w:type="dxa"/>
            <w:vAlign w:val="bottom"/>
          </w:tcPr>
          <w:p>
            <w:pPr>
              <w:jc w:val="center"/>
              <w:ind w:right="3862"/>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460" w:type="dxa"/>
            <w:vAlign w:val="bottom"/>
          </w:tcPr>
          <w:p>
            <w:pPr>
              <w:jc w:val="center"/>
              <w:ind w:right="3882"/>
              <w:spacing w:after="0"/>
              <w:rPr>
                <w:sz w:val="20"/>
                <w:szCs w:val="20"/>
                <w:color w:val="auto"/>
              </w:rPr>
            </w:pPr>
            <w:r>
              <w:rPr>
                <w:rFonts w:ascii="Arial" w:cs="Arial" w:eastAsia="Arial" w:hAnsi="Arial"/>
                <w:sz w:val="18"/>
                <w:szCs w:val="18"/>
                <w:b w:val="1"/>
                <w:bCs w:val="1"/>
                <w:color w:val="auto"/>
                <w:w w:val="89"/>
              </w:rPr>
              <w:t>6801 Gaylord Parkway, Suite 110</w:t>
            </w:r>
          </w:p>
        </w:tc>
        <w:tc>
          <w:tcPr>
            <w:tcW w:w="1080" w:type="dxa"/>
            <w:vAlign w:val="bottom"/>
          </w:tcPr>
          <w:p>
            <w:pPr>
              <w:spacing w:after="0"/>
              <w:rPr>
                <w:sz w:val="24"/>
                <w:szCs w:val="24"/>
                <w:color w:val="auto"/>
              </w:rPr>
            </w:pPr>
          </w:p>
        </w:tc>
      </w:tr>
      <w:tr>
        <w:trPr>
          <w:trHeight w:val="231"/>
        </w:trPr>
        <w:tc>
          <w:tcPr>
            <w:tcW w:w="6460" w:type="dxa"/>
            <w:vAlign w:val="bottom"/>
          </w:tcPr>
          <w:p>
            <w:pPr>
              <w:jc w:val="center"/>
              <w:ind w:right="3862"/>
              <w:spacing w:after="0"/>
              <w:rPr>
                <w:sz w:val="20"/>
                <w:szCs w:val="20"/>
                <w:color w:val="auto"/>
              </w:rPr>
            </w:pPr>
            <w:r>
              <w:rPr>
                <w:rFonts w:ascii="Arial" w:cs="Arial" w:eastAsia="Arial" w:hAnsi="Arial"/>
                <w:sz w:val="18"/>
                <w:szCs w:val="18"/>
                <w:b w:val="1"/>
                <w:bCs w:val="1"/>
                <w:color w:val="auto"/>
                <w:w w:val="91"/>
              </w:rPr>
              <w:t>Frisco, TX</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75034</w:t>
            </w:r>
          </w:p>
        </w:tc>
      </w:tr>
      <w:tr>
        <w:trPr>
          <w:trHeight w:val="174"/>
        </w:trPr>
        <w:tc>
          <w:tcPr>
            <w:tcW w:w="6460" w:type="dxa"/>
            <w:vAlign w:val="bottom"/>
          </w:tcPr>
          <w:p>
            <w:pPr>
              <w:jc w:val="center"/>
              <w:ind w:right="38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9"/>
              </w:rPr>
              <w:t>469-535-8200</w:t>
            </w:r>
          </w:p>
        </w:tc>
        <w:tc>
          <w:tcPr>
            <w:tcW w:w="1080" w:type="dxa"/>
            <w:vAlign w:val="bottom"/>
          </w:tcPr>
          <w:p>
            <w:pPr>
              <w:spacing w:after="0"/>
              <w:rPr>
                <w:sz w:val="23"/>
                <w:szCs w:val="23"/>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080" w:type="dxa"/>
            <w:vAlign w:val="bottom"/>
          </w:tcPr>
          <w:p>
            <w:pPr>
              <w:spacing w:after="0"/>
              <w:rPr>
                <w:sz w:val="15"/>
                <w:szCs w:val="15"/>
                <w:color w:val="auto"/>
              </w:rPr>
            </w:pPr>
          </w:p>
        </w:tc>
      </w:tr>
      <w:tr>
        <w:trPr>
          <w:trHeight w:val="271"/>
        </w:trPr>
        <w:tc>
          <w:tcPr>
            <w:tcW w:w="6460" w:type="dxa"/>
            <w:vAlign w:val="bottom"/>
          </w:tcPr>
          <w:p>
            <w:pPr>
              <w:jc w:val="center"/>
              <w:ind w:left="1622"/>
              <w:spacing w:after="0"/>
              <w:rPr>
                <w:sz w:val="20"/>
                <w:szCs w:val="20"/>
                <w:color w:val="auto"/>
              </w:rPr>
            </w:pPr>
            <w:r>
              <w:rPr>
                <w:rFonts w:ascii="Arial" w:cs="Arial" w:eastAsia="Arial" w:hAnsi="Arial"/>
                <w:sz w:val="18"/>
                <w:szCs w:val="18"/>
                <w:b w:val="1"/>
                <w:bCs w:val="1"/>
                <w:color w:val="auto"/>
                <w:w w:val="88"/>
              </w:rPr>
              <w:t>Not Applicable</w:t>
            </w:r>
          </w:p>
        </w:tc>
        <w:tc>
          <w:tcPr>
            <w:tcW w:w="1080" w:type="dxa"/>
            <w:vAlign w:val="bottom"/>
          </w:tcPr>
          <w:p>
            <w:pPr>
              <w:spacing w:after="0"/>
              <w:rPr>
                <w:sz w:val="23"/>
                <w:szCs w:val="23"/>
                <w:color w:val="auto"/>
              </w:rPr>
            </w:pPr>
          </w:p>
        </w:tc>
      </w:tr>
      <w:tr>
        <w:trPr>
          <w:trHeight w:val="174"/>
        </w:trPr>
        <w:tc>
          <w:tcPr>
            <w:tcW w:w="6460" w:type="dxa"/>
            <w:vAlign w:val="bottom"/>
          </w:tcPr>
          <w:p>
            <w:pPr>
              <w:jc w:val="center"/>
              <w:ind w:left="1602"/>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right="140"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59"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right="160" w:firstLine="456"/>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Shares outstanding at April 30, 2017: 11,603,488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80" w:type="dxa"/>
            <w:vAlign w:val="bottom"/>
            <w:gridSpan w:val="9"/>
          </w:tcPr>
          <w:p>
            <w:pPr>
              <w:jc w:val="center"/>
              <w:ind w:right="2060"/>
              <w:spacing w:after="0"/>
              <w:rPr>
                <w:sz w:val="20"/>
                <w:szCs w:val="20"/>
                <w:color w:val="auto"/>
              </w:rPr>
            </w:pPr>
            <w:r>
              <w:rPr>
                <w:rFonts w:ascii="Arial" w:cs="Arial" w:eastAsia="Arial" w:hAnsi="Arial"/>
                <w:sz w:val="18"/>
                <w:szCs w:val="18"/>
                <w:b w:val="1"/>
                <w:bCs w:val="1"/>
                <w:color w:val="auto"/>
                <w:w w:val="97"/>
              </w:rPr>
              <w:t>ADDUS HOMECARE CORPORATION</w:t>
            </w:r>
          </w:p>
        </w:tc>
        <w:tc>
          <w:tcPr>
            <w:tcW w:w="108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4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5"/>
              </w:rPr>
              <w:t>FORM 10-Q</w:t>
            </w:r>
          </w:p>
        </w:tc>
        <w:tc>
          <w:tcPr>
            <w:tcW w:w="108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rPr>
              <w:t>INDEX</w:t>
            </w:r>
          </w:p>
        </w:tc>
        <w:tc>
          <w:tcPr>
            <w:tcW w:w="108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46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2017 (Unaudited) and December 31, 2016</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(Unaudited) For the Three Months Ended March 31, 2017 and 2016</w:t>
              </w:r>
            </w:hyperlink>
          </w:p>
        </w:tc>
        <w:tc>
          <w:tcPr>
            <w:tcW w:w="122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 of Stockholders’ Equity (Unaudited) For the Three Months Ended March 31, 2017</w:t>
              </w:r>
            </w:hyperlink>
          </w:p>
        </w:tc>
        <w:tc>
          <w:tcPr>
            <w:tcW w:w="106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Three Months Ended March 31, 2017 and 2016</w:t>
              </w:r>
            </w:hyperlink>
          </w:p>
        </w:tc>
        <w:tc>
          <w:tcPr>
            <w:tcW w:w="9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296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Controls and Procedures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PART II. OTHER INFORMATION</w:t>
              </w:r>
            </w:hyperlink>
          </w:p>
        </w:tc>
        <w:tc>
          <w:tcPr>
            <w:tcW w:w="7760" w:type="dxa"/>
            <w:vAlign w:val="bottom"/>
            <w:gridSpan w:val="1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000" w:type="dxa"/>
            <w:vAlign w:val="bottom"/>
            <w:gridSpan w:val="1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Item 2. Unregistered Sales and Equity Securities and Use of Proceeds</w:t>
              </w:r>
            </w:hyperlink>
          </w:p>
        </w:tc>
        <w:tc>
          <w:tcPr>
            <w:tcW w:w="494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276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 Mine Safety Disclosures</w:t>
              </w:r>
            </w:hyperlink>
          </w:p>
        </w:tc>
        <w:tc>
          <w:tcPr>
            <w:tcW w:w="708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 Other Information</w:t>
              </w:r>
            </w:hyperlink>
          </w:p>
        </w:tc>
        <w:tc>
          <w:tcPr>
            <w:tcW w:w="7580" w:type="dxa"/>
            <w:vAlign w:val="bottom"/>
            <w:gridSpan w:val="11"/>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8020" w:type="dxa"/>
            <w:vAlign w:val="bottom"/>
            <w:gridSpan w:val="1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4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5760" w:type="dxa"/>
            <w:vAlign w:val="bottom"/>
            <w:gridSpan w:val="12"/>
          </w:tcPr>
          <w:p>
            <w:pPr>
              <w:jc w:val="center"/>
              <w:ind w:left="2472"/>
              <w:spacing w:after="0"/>
              <w:rPr>
                <w:sz w:val="20"/>
                <w:szCs w:val="20"/>
                <w:color w:val="auto"/>
              </w:rPr>
            </w:pPr>
            <w:r>
              <w:rPr>
                <w:rFonts w:ascii="Arial" w:cs="Arial" w:eastAsia="Arial" w:hAnsi="Arial"/>
                <w:sz w:val="18"/>
                <w:szCs w:val="18"/>
                <w:color w:val="auto"/>
                <w:w w:val="79"/>
              </w:rPr>
              <w:t>2</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72"/>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ADDUS HOMECARE CORPORATION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6"/>
              </w:rPr>
              <w:t>AND SUBSIDIARIES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40" w:type="dxa"/>
            <w:vAlign w:val="bottom"/>
          </w:tcPr>
          <w:p>
            <w:pPr>
              <w:jc w:val="center"/>
              <w:ind w:left="1052"/>
              <w:spacing w:after="0"/>
              <w:rPr>
                <w:sz w:val="20"/>
                <w:szCs w:val="20"/>
                <w:color w:val="auto"/>
              </w:rPr>
            </w:pPr>
            <w:r>
              <w:rPr>
                <w:rFonts w:ascii="Arial" w:cs="Arial" w:eastAsia="Arial" w:hAnsi="Arial"/>
                <w:sz w:val="18"/>
                <w:szCs w:val="18"/>
                <w:b w:val="1"/>
                <w:bCs w:val="1"/>
                <w:color w:val="auto"/>
                <w:w w:val="88"/>
              </w:rPr>
              <w:t>As of March 31, 2017 and December 31, 2016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40" w:type="dxa"/>
            <w:vAlign w:val="bottom"/>
          </w:tcPr>
          <w:p>
            <w:pPr>
              <w:jc w:val="center"/>
              <w:ind w:left="1072"/>
              <w:spacing w:after="0"/>
              <w:rPr>
                <w:sz w:val="20"/>
                <w:szCs w:val="20"/>
                <w:color w:val="auto"/>
              </w:rPr>
            </w:pPr>
            <w:r>
              <w:rPr>
                <w:rFonts w:ascii="Arial" w:cs="Arial" w:eastAsia="Arial" w:hAnsi="Arial"/>
                <w:sz w:val="18"/>
                <w:szCs w:val="18"/>
                <w:b w:val="1"/>
                <w:bCs w:val="1"/>
                <w:color w:val="auto"/>
                <w:w w:val="87"/>
              </w:rPr>
              <w:t>(Amounts and Shares in Thousands, Except Per Share Data)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38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0" w:type="dxa"/>
            <w:vAlign w:val="bottom"/>
            <w:gridSpan w:val="2"/>
          </w:tcPr>
          <w:p>
            <w:pPr>
              <w:spacing w:after="0"/>
              <w:rPr>
                <w:sz w:val="20"/>
                <w:szCs w:val="20"/>
                <w:color w:val="auto"/>
              </w:rPr>
            </w:pPr>
            <w:r>
              <w:rPr>
                <w:rFonts w:ascii="Arial" w:cs="Arial" w:eastAsia="Arial" w:hAnsi="Arial"/>
                <w:sz w:val="18"/>
                <w:szCs w:val="18"/>
                <w:color w:val="auto"/>
                <w:w w:val="85"/>
              </w:rPr>
              <w:t>Current assets</w:t>
            </w:r>
          </w:p>
        </w:tc>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w w:val="93"/>
              </w:rPr>
              <w:t>Accounts receivable, net of allowances of $8,254 and $7,363 at March 31, 2017 and December 31, 2016,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116,174</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139,289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131,010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w w:val="97"/>
              </w:rPr>
              <w:t>Other assets</w:t>
            </w:r>
          </w:p>
        </w:tc>
        <w:tc>
          <w:tcPr>
            <w:tcW w:w="8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Intangibles, net of accumulated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Non-current deferred tax assets,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Investment in joint venture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93,372</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0" w:type="dxa"/>
            <w:vAlign w:val="bottom"/>
            <w:gridSpan w:val="2"/>
            <w:vMerge w:val="continue"/>
          </w:tcPr>
          <w:p>
            <w:pPr>
              <w:spacing w:after="0"/>
              <w:rPr>
                <w:sz w:val="19"/>
                <w:szCs w:val="19"/>
                <w:color w:val="auto"/>
              </w:rPr>
            </w:pPr>
          </w:p>
        </w:tc>
        <w:tc>
          <w:tcPr>
            <w:tcW w:w="824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238,664</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 net of debt issuance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42,603</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52,219</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 net of debt issuance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21,877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72,102</w:t>
            </w:r>
          </w:p>
        </w:tc>
        <w:tc>
          <w:tcPr>
            <w:tcW w:w="0" w:type="dxa"/>
            <w:vAlign w:val="bottom"/>
          </w:tcPr>
          <w:p>
            <w:pPr>
              <w:spacing w:after="0"/>
              <w:rPr>
                <w:sz w:val="1"/>
                <w:szCs w:val="1"/>
                <w:color w:val="auto"/>
              </w:rPr>
            </w:pPr>
          </w:p>
        </w:tc>
      </w:tr>
      <w:tr>
        <w:trPr>
          <w:trHeight w:val="222"/>
        </w:trPr>
        <w:tc>
          <w:tcPr>
            <w:tcW w:w="92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stock—$.001 par value; 40,000 authorized and 11,628 and 11,527 shares issued and outstanding as of March 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2017 and December 31, 2016, respectively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93,634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66,663</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164,568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158,928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238,664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24,319</w:t>
            </w:r>
          </w:p>
        </w:tc>
        <w:tc>
          <w:tcPr>
            <w:tcW w:w="0" w:type="dxa"/>
            <w:vAlign w:val="bottom"/>
          </w:tcPr>
          <w:p>
            <w:pPr>
              <w:spacing w:after="0"/>
              <w:rPr>
                <w:sz w:val="1"/>
                <w:szCs w:val="1"/>
                <w:color w:val="auto"/>
              </w:rPr>
            </w:pPr>
          </w:p>
        </w:tc>
      </w:tr>
      <w:tr>
        <w:trPr>
          <w:trHeight w:val="322"/>
        </w:trPr>
        <w:tc>
          <w:tcPr>
            <w:tcW w:w="944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20,905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22,188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adult day services centers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income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Diluted income per share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5"/>
              </w:rPr>
              <w:t>Common Stock</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Additional</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180" w:type="dxa"/>
            <w:vAlign w:val="bottom"/>
            <w:tcBorders>
              <w:bottom w:val="single" w:sz="8" w:color="auto"/>
            </w:tcBorders>
            <w:gridSpan w:val="4"/>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Paid-in</w:t>
            </w: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1"/>
              </w:rPr>
              <w:t>Retained</w:t>
            </w:r>
          </w:p>
        </w:tc>
        <w:tc>
          <w:tcPr>
            <w:tcW w:w="360" w:type="dxa"/>
            <w:vAlign w:val="bottom"/>
          </w:tcPr>
          <w:p>
            <w:pPr>
              <w:spacing w:after="0"/>
              <w:rPr>
                <w:sz w:val="12"/>
                <w:szCs w:val="12"/>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9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Capital</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Earnings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2016</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11,527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$ 92,253</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66,663</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158,928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2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 restricted stock award agreements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Forfeiture of shares of common stock under restricted stock award agreements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720"/>
              <w:spacing w:after="0"/>
              <w:rPr>
                <w:sz w:val="20"/>
                <w:szCs w:val="20"/>
                <w:color w:val="auto"/>
              </w:rPr>
            </w:pPr>
            <w:r>
              <w:rPr>
                <w:rFonts w:ascii="Arial" w:cs="Arial" w:eastAsia="Arial" w:hAnsi="Arial"/>
                <w:sz w:val="18"/>
                <w:szCs w:val="18"/>
                <w:color w:val="auto"/>
              </w:rPr>
              <w:t>427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954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11,628</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12</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$ 93,634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70,922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164,568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9"/>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4,259</w:t>
            </w:r>
          </w:p>
        </w:tc>
        <w:tc>
          <w:tcPr>
            <w:tcW w:w="3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860"/>
              <w:spacing w:after="0"/>
              <w:rPr>
                <w:sz w:val="20"/>
                <w:szCs w:val="20"/>
                <w:color w:val="auto"/>
              </w:rPr>
            </w:pPr>
            <w:r>
              <w:rPr>
                <w:rFonts w:ascii="Arial" w:cs="Arial" w:eastAsia="Arial" w:hAnsi="Arial"/>
                <w:sz w:val="18"/>
                <w:szCs w:val="18"/>
                <w:color w:val="auto"/>
              </w:rPr>
              <w:t>Gain on sale of adult day services centers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acquisitions: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Net proceeds from the sale of adult day services centers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(20,791)</w:t>
            </w: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Borrowings on revolver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term loan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Payments on revolver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term loan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Payments for debt issuance costs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Tax benefit related to the amortization of tax goodwill in excess of book basis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800" w:firstLine="8"/>
        <w:spacing w:after="0" w:line="417" w:lineRule="auto"/>
        <w:tabs>
          <w:tab w:leader="none" w:pos="17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Description of Business</w:t>
      </w:r>
    </w:p>
    <w:p>
      <w:pPr>
        <w:spacing w:after="0" w:line="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condensed consolidated financial statements include the accounts of Addus HomeCare Corporation (“Holdings”) and its subsidiaries (together with Holdings, the “Company” or “we”). The Company operates as one reportable business segment and is a provider of comprehensive personal care services, which are provided principally in the home. The Company’s personal care services provide assistance with activities of daily living. The Company’s consumers are primarily persons who are at risk of hospitalization or institutionalization, such as the elderly, chronically ill and disabled. The Company’s payor clients include federal, state and local governmental agencies, managed care organizations, commercial insurers and private individuals. As of March 31, 2017, the Company provided personal care services to over 34,000 consumers through 111 locations across 24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intercompany balances and transactions have been eliminated in consolidation. The Company’s investment in entities with less than 20% ownership or in which the Company does not have the ability to influence the operations of the investee are accounted for using the cost method and are included in investments in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Company generates net service revenues by providing services directly to consumers. The Company receives payments for providing services from federal, state and local governmental agencies, managed care organizations, commercial insurers and private consumers. The Company’s operations are principally provided based on authorized hours, determined by the relevant agency, at an hourly rate specified in agreements or fixed by legislation and recognized as revenues at the time services are rendered. Personal care service revenues are reimbursed by state, local and other governmental programs which are partially funded by Medicaid or Medicaid waiver programs, with the remainder reimbursed through insurance programs and private pay.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establishes its allowance for doubtful accounts to the extent it is probable that a portion or all of a particular account will not be collected. The Company establishes its provision for doubtful accounts primarily by analyzing historical trends and the aging of receivables. In its evaluation, the Company considers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the Company’s management believes is sufficient to cover potential losses. However, actual collections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ectPr>
          <w:pgSz w:w="11900" w:h="16838" w:orient="portrait"/>
          <w:cols w:equalWidth="0" w:num="1">
            <w:col w:w="11420"/>
          </w:cols>
          <w:pgMar w:left="240" w:top="459" w:right="239" w:bottom="1440" w:gutter="0" w:footer="0" w:header="0"/>
        </w:sectPr>
      </w:pPr>
    </w:p>
    <w:bookmarkStart w:id="7" w:name="page8"/>
    <w:bookmarkEnd w:id="7"/>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46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Computer software</w:t>
            </w:r>
          </w:p>
        </w:tc>
        <w:tc>
          <w:tcPr>
            <w:tcW w:w="446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08"/>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useful life or lease term, unless</w:t>
            </w:r>
          </w:p>
        </w:tc>
      </w:tr>
      <w:tr>
        <w:trPr>
          <w:trHeight w:val="238"/>
        </w:trPr>
        <w:tc>
          <w:tcPr>
            <w:tcW w:w="3300" w:type="dxa"/>
            <w:vAlign w:val="bottom"/>
            <w:shd w:val="clear" w:color="auto" w:fill="CCEEFF"/>
          </w:tcPr>
          <w:p>
            <w:pPr>
              <w:spacing w:after="0"/>
              <w:rPr>
                <w:sz w:val="20"/>
                <w:szCs w:val="20"/>
                <w:color w:val="auto"/>
              </w:rPr>
            </w:pP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probability of lease renewal is likely</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Company’s carrying value of goodwill is the excess of the purchase price over the fair value of the net assets acquired from various acquisitions including the acquisition of Addus HealthCare, Inc. (“Addus HealthCare”). In accordance with Accounting Standards Codification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 step analysis. In 2016, 2015 and 2014, the Company elected to implement Step 0 and was not required to conduct the remaining two step analysis. The results of the Company’s Step 0 assessments indicated that it was more likely than not that the fair value of its reporting unit exceeded its carrying value and therefore the Company concluded that there were no impairments for the year ended December 31, 2016. No impairment charges were recorded for the three months ended March 31, 2017 or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state licenses and non-compete agreements. Amortization is computed using straight-line and accelerated methods based upon the estimated useful lives of the respective assets, which range from two to twenty-five years.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The Company estimates the fair value of these intangible assets using the income approach. No impairment charge was recorded for the three months ended March 31, 2017 or 2016.</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income approach, which the Company uses to estimate the fair value of its intangible assets (other than goodwill), is dependent on a number of factors including estimates of future market growth and trends, forecasted revenue and costs, expected periods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42" w:right="259" w:bottom="1440" w:gutter="0" w:footer="0" w:header="0"/>
        </w:sectPr>
      </w:pPr>
    </w:p>
    <w:bookmarkStart w:id="8" w:name="page9"/>
    <w:bookmarkEnd w:id="8"/>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Company also has indefinite-lived intangible assets that are not subject to amortization expense such as certificates of need and licenses to conduct specific operations within geographic markets. The Company’s management has concluded that certificates of need and licenses have indefinite lives, as management has determined that there are no legal, regulatory, contractual, economic or other factors that would limit the useful life of these intangible assets, and the Company intends to renew and operate the certificates of need and licenses indefinitely. The certificates of need and licenses are tested annually for impairment. No impairment was recorded for the three months ended March 31, 2017 or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 term debt, less current portion as of March 31, 2017 and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Company’s workers’ compensation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The future claims payments related to the workers’ compensation program are secured by letters of credit.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as interest income. For the three months ended March 31, 2017 and 2016, the Company did not receive any prompt payment interest. While the Company may be owed additional prompt payment interest, the amount and timing of receipt of such payments remains uncertain, and the Company has determined that it will continue to recognize prompt payment interest income when received.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facility, capital lease obligations and amortization of debt issuance costs and is reported in the statement of income when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Other income consists of income distributions received from the investment in joint venture. The Company accounts for this income in accordance with ASC Topic 325, </w:t>
      </w:r>
      <w:r>
        <w:rPr>
          <w:rFonts w:ascii="Arial" w:cs="Arial" w:eastAsia="Arial" w:hAnsi="Arial"/>
          <w:sz w:val="18"/>
          <w:szCs w:val="18"/>
          <w:i w:val="1"/>
          <w:iCs w:val="1"/>
          <w:color w:val="auto"/>
        </w:rPr>
        <w:t>“Investments—Other.”</w:t>
      </w:r>
      <w:r>
        <w:rPr>
          <w:rFonts w:ascii="Arial" w:cs="Arial" w:eastAsia="Arial" w:hAnsi="Arial"/>
          <w:sz w:val="18"/>
          <w:szCs w:val="18"/>
          <w:color w:val="auto"/>
        </w:rPr>
        <w:t xml:space="preserve"> The Company recognizes the net accumulated earnings only to the extent distributed by the joint venture on the date received.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 xml:space="preserve">The Company accounts for income taxes under the provisions of ASC Topic 740,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05"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 xml:space="preserve">In March 2016, the Financial Accounting Standards Board (“FASB”) issued Accounting Standards Update (“ASU”) 2016-09, </w:t>
      </w:r>
      <w:r>
        <w:rPr>
          <w:rFonts w:ascii="Arial" w:cs="Arial" w:eastAsia="Arial" w:hAnsi="Arial"/>
          <w:sz w:val="15"/>
          <w:szCs w:val="15"/>
          <w:i w:val="1"/>
          <w:iCs w:val="1"/>
          <w:color w:val="auto"/>
        </w:rPr>
        <w:t>“Compensation-Stock</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Compensation (Topic 718): Improvements to Employee Share-Based Payment Accounting.” </w:t>
      </w:r>
      <w:r>
        <w:rPr>
          <w:rFonts w:ascii="Arial" w:cs="Arial" w:eastAsia="Arial" w:hAnsi="Arial"/>
          <w:sz w:val="15"/>
          <w:szCs w:val="15"/>
          <w:color w:val="auto"/>
        </w:rPr>
        <w:t>ASU 2016-09 allows for simplification of several aspects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accounting for share-based payment transactions including the income tax consequences, classification of awards as either equity or liabilities, and classification on the statement of cash flows. Under ASU 2016-09, all excess tax benefits and tax deficiencies (including tax benefits of dividends on share-based payment awards) should be recognized as income tax expense or benefit in the income statement. ASU 2016-09 also requires recognition of excess tax benefits regardless of whether the benefit reduces taxes payable in the current period. ASU 2016-09 further permits the withholding of an amount up to employees’ maximum individual tax rate in the relevant jurisdiction without resulting in a liability classification. ASU 2016-09 also requires any excess tax benefits be classified along with other income tax cash flows as an operating activity and cash paid by an employer when directly withholding shares for tax-withholding purposes to be classified as a financing activity. The Company adopted this standard on January 1, 2017 on a prospective basis. As a result, for the three months ended March 31, 2017, the Company recorded an excess tax benefit of $26.3 thousand within income tax expense on its Condensed Consolidated Statements of Income.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Company currently has one active stock incentive plan, the 2009 Stock Incentive Plan, as amended and restated (the “2009 Plan”), that provides for stock-based employee compensation. The Company accounts for stock-based compensation in accordance with ASC Topic 718, “Stock Compensation.” Compensation expense is recognized on a straight-line basis under the 2009 Plan over the vesting period of the equity awards based on the grant date fair value of the options and restricted stock awards. From October 28, 2009 to December 31, 2016, the Company utilized the Enhanced Hull-White Trinomial Model to value the Company’s options. Beginning January 1, 2017, the Company began utilizing the Black-Scholes Option Pricing Model to value the Company’s options, as the Company believes it is a more widely accepted and understood valuation model. The determination of the fair value of stock-based payments utilizing the Black-Scholes Model and the Enhanced Hull-White Trinomial Model is affected by the Company’s stock price and a number of assumptions, including expected volatility, risk-free interest rate, expected term, expected dividends yield, expected forfeiture rate, expected turn-over rate and the expected exercise multiple.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8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Included in the Company’s calculation of diluted earnings per share for the three months ended March 31, 2017 were approximately 470,000 stock options outstanding, of which approximately 96,000 were dilutive. In addition, there were approximately 143,000 restricted stock awards outstanding, 50,000 of which</w:t>
      </w:r>
    </w:p>
    <w:p>
      <w:pPr>
        <w:sectPr>
          <w:pgSz w:w="11900" w:h="16948" w:orient="portrait"/>
          <w:cols w:equalWidth="0" w:num="1">
            <w:col w:w="11420"/>
          </w:cols>
          <w:pgMar w:left="240" w:top="459"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were dilutive for the three months ended March 31, 2017.</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Included in the Company’s calculation of diluted earnings per share for the three months ended March 31, 2016 were approximately 758,000 stock options outstanding, of which approximately 131,000 were dilutive. In addition, there were approximately 102,000 restricted stock awards outstanding, 24,000 of which were dilutive for the three months ended 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financial statements are prepared by management in conformity with U.S. Generally Accepted Accounting Principles (“GAAP”) and include estimated amounts and certain disclosures based on assumptions about future events. Accordingly,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Company’s financial instruments consist of cash, accounts receivable, payables and debt. The carrying amounts reported in the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applies fair value techniques on a non-recurring basis associated with valuing potential impairment losses related to goodwill and indefinite-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lived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intangible assets and also when determining the fair value of contingent considerations. To determine the fair value in these situations, the Company uses Level 3 inputs, defined as unobservable inputs in which little or no market data exists; therefore requiring an entity to develop its own assumptions, such as discounted cash flows, or if available, what a market participant would pay on the measurement date.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utilizes the income approach to estimate the fair value of its intangible assets derived from acquisitions. At the date of acquisition, a contingent earn-out obligation is recorded at its fair value, which is calculated as the present value of the Company’s maximum obligation based on probability-weighted estimates of achievement of performance targets defined in the earn-out agreements. The Company reviews the fair valuation periodically and adjusts the fair value for any changes in the maximum earn-out obligation based on probability-weighted estimates of achievement of certain performance targets defined in the earn-out agreements. In addition, discounted cash flows were used to estimate the fair value of the Company’s investment in joint ventures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9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In connection with the preparation of the financial statements for the three months ended March 31,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will replace most existing revenue recognition guidance in GAAP and will be effective for the Company as of January 1, 2018. The standard permits the use of either the retrospective or modified retrospective (cumulative effect) transition method and we have not yet selected which transition method we will apply. The Company’s evaluation of ASU 2014-09 is not complete. The FASB has issued and may issue in the future, interpretative guidance, which may cause the Company’s evaluation to change. The Company has completed an initial review to determine the impact ASU 2014-09 and its subsequent updates through December 31, 2016 will have on its Consolidated Financial Statements or financial statement disclosures upon adoption. Based on the Company’s preliminary review, it believes that the timing and measurement of revenue for its customers will be similar to its current revenue recognition. However, this view is preliminary and could change based on the detailed analysis associated with the conversion and implementation phases of the Company’s ASU 2014-09 project. The Company will complete its assessment during 2017.</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 of-use” assets and is effective for annual reporting periods beginning after December 15, 2018, subject to early adoption. For income statement recognition purposes, leases will be classified as either a finance or an operating lease. The Company will be required to recognize and measure leases at the beginning of the earliest period presented using a modified retrospective approach. Upon initial evaluation, the Company believes that the new standard will have a material impact on our Consolidated Balance Sheets but it will not affect our liquidity. The Company is continuing to evaluate other potential impacts to its financial statements and accounting systems including whether the Company will need to secure new software to account for the change in accounting for leases.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2016, the FASB issued ASU No. 2016-13, “Financial Instruments (Topic 326) Credit Losses.” ASU 2016-13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the Company would be required to apply the amendments prospectively as of the earliest date possible. The Company is currently evaluating the impact that ASU 2016-15 will have on its statement of financial position or financial statement disclosures.</w:t>
      </w:r>
    </w:p>
    <w:p>
      <w:pPr>
        <w:sectPr>
          <w:pgSz w:w="11900" w:h="16838" w:orient="portrait"/>
          <w:cols w:equalWidth="0" w:num="1">
            <w:col w:w="11380"/>
          </w:cols>
          <w:pgMar w:left="240" w:top="459" w:right="279" w:bottom="1440" w:gutter="0" w:footer="0" w:header="0"/>
        </w:sectPr>
      </w:pPr>
    </w:p>
    <w:bookmarkStart w:id="11" w:name="page12"/>
    <w:bookmarkEnd w:id="11"/>
    <w:p>
      <w:pPr>
        <w:ind w:right="40" w:firstLine="456"/>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The Company is currently evaluating the provisions of ASU 2017-04 to determine how its goodwill impairment testing will be impacted and whether it may elect to adopt ASU 2017-04 prior to the stated effective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Sale of Adult Day Services Centers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order to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96"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Effective February 23, 2016, the Company acquired certain assets of Lutheran Social Services of Illinois (“LSSI”) for approximately $0.1 million. The results of operations from the acquisition of LSSI are included in the Company’s statement of income from the date of the acquisition. The LSSI acquisition accounted for $0.2 million and $0.1 million of net service revenues and $7.5 thousand and $3.7 thousand of net income for the three months ended March 31, 2017 and 2016, respectively. In order to focus on providing services to consumers in their homes, effective March 1, 2017, Addus ceased providing adult day services and sold substantially all of the assets used in our adult day services centers, including LSSI.</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April 24, 2015, Addus HealthCare entered into a Securities Purchase Agreement with Margaret Coffey and Carol Kolar (the “South Shore Sellers”), South Shore Home Health Service Inc. (“South Shore”) and Acaring Home Care, LLC (“Acaring”), pursuant to which Addus HealthCare agreed to acquire all of the issued and outstanding securities of each of South Shore and Acaring. On February 5, 2016, Addus HealthCare completed its acquisition of all the outstanding securities of South Shore and Acaring for a total purchase price of $20.0 million (the “South Shore Purchase Price”). The related acquisition costs, included in general and administrative expenses on the Consolidated Statements of Income, were $1.3 million and were expensed as incurred. The results of operations from South Shore and Acaring are included in the Company’s Condensed Consolidated Statements of Income from the date of the acquisition. Acaring was dissolved on March 1, 2016, and its assets were transferred to South Shore.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Company’s acquisition of South Shore and Acaring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 and the resulting goodwill and other intangible assets was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February 5, 2016. Under business combination accounting, the South Shore Purchase Price was $20.0 million and was allocated to South Shore’s net tangible and identifiable intangible assets based on their estimated fair values. Based upon management’s valuation, the total purchase price has been allocated as follows: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4760" w:type="dxa"/>
            <w:vAlign w:val="bottom"/>
          </w:tcPr>
          <w:p>
            <w:pPr>
              <w:spacing w:after="0"/>
              <w:rPr>
                <w:sz w:val="12"/>
                <w:szCs w:val="12"/>
                <w:color w:val="auto"/>
              </w:rPr>
            </w:pPr>
          </w:p>
        </w:tc>
        <w:tc>
          <w:tcPr>
            <w:tcW w:w="3000" w:type="dxa"/>
            <w:vAlign w:val="bottom"/>
            <w:gridSpan w:val="4"/>
          </w:tcPr>
          <w:p>
            <w:pPr>
              <w:jc w:val="center"/>
              <w:ind w:left="1962"/>
              <w:spacing w:after="0" w:line="149" w:lineRule="exact"/>
              <w:rPr>
                <w:sz w:val="20"/>
                <w:szCs w:val="20"/>
                <w:color w:val="auto"/>
              </w:rPr>
            </w:pPr>
            <w:r>
              <w:rPr>
                <w:rFonts w:ascii="Arial" w:cs="Arial" w:eastAsia="Arial" w:hAnsi="Arial"/>
                <w:sz w:val="14"/>
                <w:szCs w:val="14"/>
                <w:b w:val="1"/>
                <w:bCs w:val="1"/>
                <w:color w:val="auto"/>
                <w:w w:val="88"/>
              </w:rPr>
              <w:t>(Amounts in</w:t>
            </w:r>
          </w:p>
        </w:tc>
      </w:tr>
      <w:tr>
        <w:trPr>
          <w:trHeight w:val="161"/>
        </w:trPr>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Thousands)</w:t>
            </w: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9,957</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w:t>
            </w:r>
          </w:p>
        </w:tc>
        <w:tc>
          <w:tcPr>
            <w:tcW w:w="12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current assets</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Accounts payable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r>
      <w:tr>
        <w:trPr>
          <w:trHeight w:val="27"/>
        </w:trPr>
        <w:tc>
          <w:tcPr>
            <w:tcW w:w="4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 price allocation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w:t>
            </w:r>
          </w:p>
        </w:tc>
        <w:tc>
          <w:tcPr>
            <w:tcW w:w="12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Management’s assessment of qualitative factors affecting goodwill for South Shore includes: estimates of market share at the date of purchase; ability to grow in the market; synergy with existing Company operations and the presence of managed care payors in the market.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Identifiable intangible assets acquired consist of trade names and trademarks, customer relationships and non-compete agreements. The estimated fair value of identifiable intangible assets was determined by the Company’s management. The net intangible and identifiable intangible assets, including goodwill, are deductible for tax purposes.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South Shore acquisition accounted for $14.3 million and $8.2 million of net service revenues and $1.0 million and $0.3 million of net income for the three months ended March 31, 2017 and 2016, respectively.</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assuming the South Shore and Acaring acquisition closed on January 1, 2015.</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(Amounts in Thousands)</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101,606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6,961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income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920" w:type="dxa"/>
            <w:vAlign w:val="bottom"/>
            <w:vMerge w:val="restart"/>
          </w:tcPr>
          <w:p>
            <w:pPr>
              <w:ind w:left="440"/>
              <w:spacing w:after="0"/>
              <w:rPr>
                <w:sz w:val="20"/>
                <w:szCs w:val="20"/>
                <w:color w:val="auto"/>
              </w:rPr>
            </w:pPr>
            <w:r>
              <w:rPr>
                <w:rFonts w:ascii="Arial" w:cs="Arial" w:eastAsia="Arial" w:hAnsi="Arial"/>
                <w:sz w:val="18"/>
                <w:szCs w:val="18"/>
                <w:color w:val="auto"/>
              </w:rPr>
              <w:t>Diluted 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and tax expense and acquisition costs to reflect results that are more representative of the combined results of the transactions as if South Shore and Acaring had been acquired effective January 1, 2015.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goodwill activity for the three months ended March 31, 2017 is provided below:</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2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Thousands)</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 at December 31, 2016</w:t>
            </w:r>
          </w:p>
        </w:tc>
        <w:tc>
          <w:tcPr>
            <w:tcW w:w="3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previously recorded goodwill</w:t>
            </w:r>
          </w:p>
        </w:tc>
        <w:tc>
          <w:tcPr>
            <w:tcW w:w="3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tcPr>
          <w:p>
            <w:pPr>
              <w:spacing w:after="0"/>
              <w:rPr>
                <w:sz w:val="20"/>
                <w:szCs w:val="20"/>
                <w:color w:val="auto"/>
              </w:rPr>
            </w:pPr>
            <w:r>
              <w:rPr>
                <w:rFonts w:ascii="Arial" w:cs="Arial" w:eastAsia="Arial" w:hAnsi="Arial"/>
                <w:sz w:val="18"/>
                <w:szCs w:val="18"/>
                <w:color w:val="auto"/>
              </w:rPr>
              <w:t>Goodwill, at March 31, 2017</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500" w:type="dxa"/>
            <w:vAlign w:val="bottom"/>
            <w:vMerge w:val="restart"/>
          </w:tcPr>
          <w:p>
            <w:pPr>
              <w:jc w:val="right"/>
              <w:ind w:right="2939"/>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March 31, 2017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Customer and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referral</w:t>
            </w:r>
          </w:p>
        </w:tc>
        <w:tc>
          <w:tcPr>
            <w:tcW w:w="24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Trade names and</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competition</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relationships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trademarks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State licenses</w:t>
            </w:r>
          </w:p>
        </w:tc>
        <w:tc>
          <w:tcPr>
            <w:tcW w:w="2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agreements</w:t>
            </w:r>
          </w:p>
        </w:tc>
        <w:tc>
          <w:tcPr>
            <w:tcW w:w="2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ind w:left="820"/>
              <w:spacing w:after="0" w:line="142" w:lineRule="exact"/>
              <w:rPr>
                <w:sz w:val="20"/>
                <w:szCs w:val="20"/>
                <w:color w:val="auto"/>
              </w:rPr>
            </w:pPr>
            <w:r>
              <w:rPr>
                <w:rFonts w:ascii="Arial" w:cs="Arial" w:eastAsia="Arial" w:hAnsi="Arial"/>
                <w:sz w:val="14"/>
                <w:szCs w:val="14"/>
                <w:b w:val="1"/>
                <w:bCs w:val="1"/>
                <w:color w:val="auto"/>
                <w:w w:val="98"/>
              </w:rPr>
              <w:t>(Amounts in Thousands)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December 31, 2016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(26,766)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(6,296)</w:t>
            </w:r>
          </w:p>
        </w:tc>
        <w:tc>
          <w:tcPr>
            <w:tcW w:w="3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(1,763)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6,965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Gross balance at January 1, 2017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13,261</w:t>
            </w:r>
          </w:p>
        </w:tc>
        <w:tc>
          <w:tcPr>
            <w:tcW w:w="3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2,155</w:t>
            </w:r>
          </w:p>
        </w:tc>
        <w:tc>
          <w:tcPr>
            <w:tcW w:w="3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(6,739)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(35,871)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Net Balance at March 31, 2017</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6,522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150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$ 14,367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Amortization expense related to the identifiable intangible assets amounted to $1.0 million for the three months ended March 31, 2017 and 2016. Goodwill and state licenses are not amortized pursuant to ASC Topic 350.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Details of Certain Balance Sheet Accounts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2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March 31, 2017</w:t>
            </w:r>
          </w:p>
        </w:tc>
        <w:tc>
          <w:tcPr>
            <w:tcW w:w="2000" w:type="dxa"/>
            <w:vAlign w:val="bottom"/>
            <w:gridSpan w:val="4"/>
          </w:tcPr>
          <w:p>
            <w:pPr>
              <w:ind w:left="84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ind w:left="42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Prepaid health insurance (1)</w:t>
            </w:r>
          </w:p>
        </w:tc>
        <w:tc>
          <w:tcPr>
            <w:tcW w:w="1260" w:type="dxa"/>
            <w:vAlign w:val="bottom"/>
            <w:gridSpan w:val="4"/>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60" w:type="dxa"/>
            <w:vAlign w:val="bottom"/>
            <w:gridSpan w:val="4"/>
          </w:tcPr>
          <w:p>
            <w:pPr>
              <w:ind w:left="9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19"/>
                <w:szCs w:val="19"/>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March 31, 2017</w:t>
            </w:r>
          </w:p>
        </w:tc>
        <w:tc>
          <w:tcPr>
            <w:tcW w:w="2000" w:type="dxa"/>
            <w:vAlign w:val="bottom"/>
            <w:gridSpan w:val="4"/>
          </w:tcPr>
          <w:p>
            <w:pPr>
              <w:ind w:left="840"/>
              <w:spacing w:after="0"/>
              <w:rPr>
                <w:sz w:val="20"/>
                <w:szCs w:val="20"/>
                <w:color w:val="auto"/>
              </w:rPr>
            </w:pPr>
            <w:r>
              <w:rPr>
                <w:rFonts w:ascii="Arial" w:cs="Arial" w:eastAsia="Arial" w:hAnsi="Arial"/>
                <w:sz w:val="14"/>
                <w:szCs w:val="14"/>
                <w:b w:val="1"/>
                <w:bCs w:val="1"/>
                <w:color w:val="auto"/>
                <w:w w:val="90"/>
              </w:rPr>
              <w:t>December 31, 2016</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60" w:type="dxa"/>
            <w:vAlign w:val="bottom"/>
            <w:gridSpan w:val="4"/>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workers’ compensation insurance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12,464</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health insurance (1)</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Indemnification reserve (2)</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(3)</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restructuring (4)</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1,712</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8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260" w:type="dxa"/>
            <w:vAlign w:val="bottom"/>
            <w:gridSpan w:val="4"/>
          </w:tcPr>
          <w:p>
            <w:pPr>
              <w:ind w:left="10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44,215</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ind w:left="460" w:right="120" w:hanging="452"/>
        <w:spacing w:after="0" w:line="294"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Amounts due of $0.3 million and $2.2 million for health insurance reimbursements and contributions were reflected in prepaid insurance and accrued insurance as of March 31, 2017 and December 31, 2016,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8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a condition of the sale of substantially all of the assets used in the Company’s home health business to subsidiaries of LHC Group, Inc. (“LHCG”) in February 2013, the Company is responsible for any adjustments to Medicare and Medicaid billings prior to the closing. In connection with an internal evaluation of the Company’s billing processes, the Company discovered documentation errors in a number of claims that it had submitted to Medicare. Consistent with applicable law, the Company voluntarily remitted $1.8 million to the U.S. government in March 2014. As of March 31, 2017, the Company, using its best judgment, has estimated a total of $0.4 million for billing adjustments for 2013, 2012 and 2011 services which may be subject to Medicare audits. For the years ended December 31, 2016 and 2015, the Company reduced the indemnification reserve accrual by the amounts accrued for periods no longer subject to Medicare audits of $0.2 million and $0.4 million, respectively. This amount is reflected as a reduction in general and administrative expense of discontinued operations.</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Accrued severance represents amounts payable to terminated employees with employment and/or separation agreements with the Company.</w:t>
      </w:r>
    </w:p>
    <w:p>
      <w:pPr>
        <w:spacing w:after="0" w:line="32"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restructuring includes reserves for lease commitments related to the closure of three adult day services centers in Illinois during the third quarter of 2016 and unused contact center office space.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80" w:type="dxa"/>
            <w:vAlign w:val="bottom"/>
            <w:gridSpan w:val="4"/>
          </w:tcPr>
          <w:p>
            <w:pPr>
              <w:ind w:left="1700"/>
              <w:spacing w:after="0"/>
              <w:rPr>
                <w:sz w:val="20"/>
                <w:szCs w:val="20"/>
                <w:color w:val="auto"/>
              </w:rPr>
            </w:pPr>
            <w:r>
              <w:rPr>
                <w:rFonts w:ascii="Arial" w:cs="Arial" w:eastAsia="Arial" w:hAnsi="Arial"/>
                <w:sz w:val="14"/>
                <w:szCs w:val="14"/>
                <w:b w:val="1"/>
                <w:bCs w:val="1"/>
                <w:color w:val="auto"/>
              </w:rPr>
              <w:t>March 31, 2017</w:t>
            </w:r>
          </w:p>
        </w:tc>
        <w:tc>
          <w:tcPr>
            <w:tcW w:w="1640" w:type="dxa"/>
            <w:vAlign w:val="bottom"/>
            <w:gridSpan w:val="4"/>
          </w:tcPr>
          <w:p>
            <w:pPr>
              <w:ind w:left="4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w w:val="93"/>
              </w:rPr>
              <w:t>(Amounts in Thousands)</w:t>
            </w: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loan</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Term loan</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23,750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(1,404)</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24,428</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(2,551)</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21,877</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accordance with ASU 2015-03, “Simplifying the Presentation of Debt Issuance Costs,” the Company has classified the debt issuance costs as current portion of long-term debt or long term debt, less current portion as of March 31, 2017 and December 31, 2016.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July 12, 2014, September 11, 2014 and April 13, 2015, the Company executed three 48-month capital lease agreements for $2.7 million, $1.4 million and $0.4 million, respectively, with First American Commercial Bancorp, Inc. The capital leases were entered into to finance property and equipment at the Company’s support center. The underlying assets are included in “Property and equipment, net of accumulated depreciation and amortization” in the accompanying Unaudited Condensed Consolidated Balance Sheets. These capital lease obligations require monthly payments through September 2019 and have implicit interest rates that range from 3.0% to 3.6%. At the end of the term of each lease agreement, the Company has the option to purchase the assets covered by such lease agreement for $1.</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October 1, 2016, the Company entered into a 25-month capital lease agreement for $0.6 million with Meridian Leasing Corporation. The capital leases were entered into to finance property and equipment for the Company’s telephone systems. The underlying assets are included in “Property and equipment, net of accumulated depreciation and amortization” in the accompanying Consolidated Balance Sheets. These capital lease obligations require monthly payments through October 2018 and have an implicit interest rate of 11.1%. At the end of the term, the Company has the option to purchase the assets for $1 per the lease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analysis of the leased property under capital leases by major classes.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360" w:type="dxa"/>
            <w:vAlign w:val="bottom"/>
            <w:gridSpan w:val="4"/>
          </w:tcPr>
          <w:p>
            <w:pPr>
              <w:jc w:val="center"/>
              <w:ind w:left="2419"/>
              <w:spacing w:after="0"/>
              <w:rPr>
                <w:sz w:val="20"/>
                <w:szCs w:val="20"/>
                <w:color w:val="auto"/>
              </w:rPr>
            </w:pPr>
            <w:r>
              <w:rPr>
                <w:rFonts w:ascii="Arial" w:cs="Arial" w:eastAsia="Arial" w:hAnsi="Arial"/>
                <w:sz w:val="14"/>
                <w:szCs w:val="14"/>
                <w:b w:val="1"/>
                <w:bCs w:val="1"/>
                <w:color w:val="auto"/>
                <w:w w:val="86"/>
              </w:rPr>
              <w:t>Asset Balances at March 31,</w:t>
            </w:r>
          </w:p>
        </w:tc>
        <w:tc>
          <w:tcPr>
            <w:tcW w:w="0" w:type="dxa"/>
            <w:vAlign w:val="bottom"/>
          </w:tcPr>
          <w:p>
            <w:pPr>
              <w:spacing w:after="0"/>
              <w:rPr>
                <w:sz w:val="1"/>
                <w:szCs w:val="1"/>
                <w:color w:val="auto"/>
              </w:rPr>
            </w:pPr>
          </w:p>
        </w:tc>
      </w:tr>
      <w:tr>
        <w:trPr>
          <w:trHeight w:val="149"/>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Classes of Property</w:t>
            </w: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gridSpan w:val="3"/>
            <w:vMerge w:val="continue"/>
          </w:tcPr>
          <w:p>
            <w:pPr>
              <w:spacing w:after="0"/>
              <w:rPr>
                <w:sz w:val="12"/>
                <w:szCs w:val="12"/>
                <w:color w:val="auto"/>
              </w:rPr>
            </w:pPr>
          </w:p>
        </w:tc>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(Amounts 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Furniture &amp; Equipment</w:t>
            </w: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Leased Property Under Capital Leases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20" w:type="dxa"/>
            <w:vAlign w:val="bottom"/>
            <w:vMerge w:val="restart"/>
          </w:tcPr>
          <w:p>
            <w:pPr>
              <w:jc w:val="right"/>
              <w:ind w:right="1979"/>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payments for capital leases as of March 31, 2017 are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Capital Lease</w:t>
            </w:r>
          </w:p>
        </w:tc>
      </w:tr>
      <w:tr>
        <w:trPr>
          <w:trHeight w:val="161"/>
        </w:trPr>
        <w:tc>
          <w:tcPr>
            <w:tcW w:w="620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93"/>
              </w:rPr>
              <w:t>(Amounts In Thousands)</w:t>
            </w:r>
          </w:p>
        </w:tc>
      </w:tr>
      <w:tr>
        <w:trPr>
          <w:trHeight w:val="210"/>
        </w:trPr>
        <w:tc>
          <w:tcPr>
            <w:tcW w:w="6200" w:type="dxa"/>
            <w:vAlign w:val="bottom"/>
            <w:tcBorders>
              <w:top w:val="single" w:sz="8" w:color="CCEEFF"/>
            </w:tcBorders>
            <w:shd w:val="clear" w:color="auto" w:fill="CCEEFF"/>
          </w:tcPr>
          <w:p>
            <w:pPr>
              <w:ind w:left="2260"/>
              <w:spacing w:after="0" w:line="202" w:lineRule="exact"/>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226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19"/>
                <w:szCs w:val="19"/>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estimated executory costs (such as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maintenance and insurance), including profit thereon, included in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Net minimum lease payments</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Present value of net minimum lease payments (2)</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 necessary to reduce net minimum lease payments to present value calculated at the Company’s incremental borrowing rate at lease inception.</w:t>
      </w:r>
    </w:p>
    <w:p>
      <w:pPr>
        <w:spacing w:after="0" w:line="38" w:lineRule="exact"/>
        <w:rPr>
          <w:rFonts w:ascii="Arial" w:cs="Arial" w:eastAsia="Arial" w:hAnsi="Arial"/>
          <w:sz w:val="16"/>
          <w:szCs w:val="16"/>
          <w:color w:val="auto"/>
        </w:rPr>
      </w:pPr>
    </w:p>
    <w:p>
      <w:pPr>
        <w:ind w:left="460" w:right="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the balance sheet as $1.5 million of the current portion of long-term debt, net of debt issuance costs and $0.6 million of the long-term debt, less current portion, net of debt issuance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May 24, 2016, the Company entered into an amendment to its credit facility with certain lenders and Fifth Third Bank, as agent and letters of credit issuer. The Company’s amended credit facility provides a $100.0 million revolving line of credit, a delayed draw term loan facility of up to $25.0 million and an uncommitted incremental term loan facility of up to $50.0 million, expiring November 10, 2020 and includes a $35.0 million sublimit for the issuance of letters of credit. The amended credit facility increased the specified advance multiple from 3.25 to 3.75 to 1.00 and the maximum permitted senior leverage ratio from 3.50 to 4.00 to 1.00. Except as modified by the May 24, 2016 amendment, the amended credit facility contains the same material terms as the previous agreement dated November 10, 2015. Substantially all of the subsidiaries of Holdings are co-borrowers, and Holdings has guaranteed the borrowers’ obligations under the credit facility. The credit facility is secured by a first priority security interest in all of Holdings’ and the borrowers’ current and future tangible and intangible assets, including the shares of stock of the borrowers.</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availability of funds under the revolving credit portion of the Company’s credit facility, is based on the lesser of (i) the product of adjusted EBITDA, as defined in the credit agreement, for the most recent 12-month period for which financial statements have been delivered under the credit agreement multiplied by the specified advance multiple, up to 3.75, less the outstanding senior indebtedness and letters of credit, and (ii) $100.0 million less the outstanding revolving loans and letters of credit. Interest on our credit facility may be payable at (x) 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plus a margin of 3.00% or (y) the sum of (i) an applicable margin ranging from 3.00% to 3.50% based on the applicable leverage ratio plus (ii) the adjusted LIBOR that would be applicable to a loan with an interest period of one, two or three months advanced on the applicable day or (z) the sum of (i) an applicable margin ranging from 3.00% to 3.50% based on the applicable leverage ratio plus (ii) the daily floating LIBOR that would be applicable to a loan with an interest period of one month advanced on the applicable day. The Company pays a fee ranging from 0.25% to 0.50% per annum based on the applicable leverage ratio times the unused portion of the revolving portion of the credit facility. Issued stand-by letters of credit are charged at a rate equal to the applicable margin for LIBOR loans payable quarterly. During the first quarter of 2017, the Company drew and subsequently repaid $20.0 million of its revolving credit line to fund on-going operations. As of March 31, 2017 and December 31, 2016, the Company had a total of $23.8 million and $24.1 million outstanding on the credit facility and the total availability under the revolving credit loan facility was $82.8 million and $79.7 million, respectively.</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credit facility contains customary affirmative covenants regarding, among other things, the maintenance of records, compliance with laws, maintenance of permits, maintenance of insurance and property and payment of taxes. The credit facility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distributions, investments and loans, subject to customary carve outs, a restriction on dividends (unless no default then exists or would occur as a result thereof, the Company is in pro forma compliance with the financial covenants contained in the credit facility after giving effect thereto, the Company has an excess availability of at least 40% of the revolving credit commitment under the credit facility and the aggregate amount of dividends and distributions paid in any fiscal year does not exceed $5.0 million), restrictions on the Company’s ability to enter into transactions other than in the ordinary course of business, a restriction on the ability to consummate more than three acquisitions in any calendar year, consummate any individual acquisition with a purchase price in excess of $25.0 million and consummate acquisitions with total purchase price in excess of $40.0 million in the aggregate over the term of the credit facility, in each case without the consent of the lenders, restrictions on mergers, transfers of assets, acquisitions, equipment, subsidiaries and affiliate transactions, subject to customary carve outs, and restrictions on fundamental changes and lines of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statutory federal tax rate of 35.0% for the three months ended March 31, 2017 and 2016 is summarized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72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7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(7.0)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10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8"/>
                <w:szCs w:val="18"/>
                <w:color w:val="auto"/>
              </w:rPr>
              <w:t>33.2%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2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financial position and results of operations.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10, 2017, the Company filed a motion to dismiss the Second Amended Complaint, which has not yet been ruled on by the court. The Company intends to defend the litigation vigorously and believes the case will not have a material adverse effect on its business, financial condition or results of operations.</w:t>
      </w:r>
    </w:p>
    <w:p>
      <w:pPr>
        <w:spacing w:after="0" w:line="124" w:lineRule="exact"/>
        <w:rPr>
          <w:sz w:val="20"/>
          <w:szCs w:val="20"/>
          <w:color w:val="auto"/>
        </w:rPr>
      </w:pPr>
    </w:p>
    <w:p>
      <w:pPr>
        <w:ind w:right="100" w:firstLine="456"/>
        <w:spacing w:after="0" w:line="285" w:lineRule="auto"/>
        <w:rPr>
          <w:sz w:val="20"/>
          <w:szCs w:val="20"/>
          <w:color w:val="auto"/>
        </w:rPr>
      </w:pPr>
      <w:r>
        <w:rPr>
          <w:rFonts w:ascii="Arial" w:cs="Arial" w:eastAsia="Arial" w:hAnsi="Arial"/>
          <w:sz w:val="16"/>
          <w:szCs w:val="16"/>
          <w:color w:val="auto"/>
        </w:rPr>
        <w:t>On May 4, 2016, the Company,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the Company,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the Company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vetoes of appropriations for such contracts violated the Illinois Constitution. Plaintiffs sought injunctive relief to payment of overdue bills to prevent irreparable harm, including imperiling the State’s infrastructure for delivery of human services. On August 31, 2016, the Court denied plaintiffs’ petitions for declaratory and injunctive relief and dismissed the actions with prejudice. Plaintiffs timely filed a notice of appeal on September 30,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entered into employment agreements with certain members of senior management. The terms of these agreements are up to four years with auto-renewal provisions thereafter, and include non-compete and nondisclosure provisions, as well as provide for defined severance payments in the event of termination.</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substantial percentage of the Company’s workforce is represented by the Service Employees International Union (“SEIU”). The Company has a national agreement with the SEIU which is currently under negotiation, as well as numerous agreements with local SEIU affiliates which are renegotiated from time to time.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Severance and Restructuring</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 $0.9 million and $3.5 million for the three months ended March 31, 2017 and 2016, respectively, which is included in general and administrative expenses on the Condensed Consolidated Statements of Income. The Company expects some additional restructuring and other costs to occur, however, the amount and timing cannot be determined at this time. The expenses recorded for the three months ended March 31, 2017 included costs related to terminated employees. The expenses recorded for the three months ended March 31, 2016 included costs related to terminated employees and other direct costs associated with implementing these initiatives. Other direct costs included contract termination costs, accelerated depreciation and asset write-offs.</w:t>
      </w:r>
    </w:p>
    <w:p>
      <w:pPr>
        <w:sectPr>
          <w:pgSz w:w="11900" w:h="16838" w:orient="portrait"/>
          <w:cols w:equalWidth="0" w:num="1">
            <w:col w:w="11400"/>
          </w:cols>
          <w:pgMar w:left="240" w:top="459" w:right="259" w:bottom="1062"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062"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Employee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2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24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w w:val="98"/>
              </w:rPr>
              <w:t>Restructuring</w:t>
            </w:r>
          </w:p>
        </w:tc>
      </w:tr>
      <w:tr>
        <w:trPr>
          <w:trHeight w:val="161"/>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7"/>
              </w:rPr>
              <w:t>Costs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and Other</w:t>
            </w:r>
          </w:p>
        </w:tc>
      </w:tr>
      <w:tr>
        <w:trPr>
          <w:trHeight w:val="142"/>
        </w:trPr>
        <w:tc>
          <w:tcPr>
            <w:tcW w:w="7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Employee termination costs represent accrued severance payable to terminated employees with employment and/or separation agreements with the Company. The terminations resulted mainly from changes made to the executive leadership team made during the three months ended March 31, 2017 and 2016.</w:t>
      </w:r>
    </w:p>
    <w:p>
      <w:pPr>
        <w:spacing w:after="0" w:line="6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No restructuring and other costs were recorded for the three months ended March 31, 2017. Restructuring and other costs comprised of fees for the termination of an employee incentive program and various contracts with outside vendors for the three months ended March 31, 2016.</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aforementioned accruals are included in Accrued Expenses on the Condensed Consolidated Balance Sheets and the aforementioned expenses are included in General and Administrative Expenses on the Condensed Consolidated Statements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Payors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 substantial portion of the Company’s net service revenues and accounts receivable are derived from services performed for federal, state and local governmental agencies. The Illinois Department on Aging accounted for 36.5% and 44.8% of the Company’s net service revenues for the three months ended March 31, 2017 and 2016, respectively.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related receivables due from the Illinois Department on Aging represented 52.9% and 55.4% of the Company’s accounts receivable at March 31, 2017 and December 31, 2016,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State of Illinois’ payments have been delayed in the past and may continue to be delayed due to a budget impasse that began in 2015. The State of Illinois did not adopt a comprehensive budget for fiscal year 2016, which ended on June 30, 2016, and it has not yet adopted a comprehensive budget for fiscal year 2017, which began on July 1, 2016. Stopgap budget legislation was enacted on June 30, 2016, which appropriated funds through December 31, 2016. Without a budget, the State is not authorized to pay for the non-Medicaid consumers we serve. During the second half of 2016 and the first three months of 2017, we have been experiencing a delay in payments from the State of Illinois due to the current budget situation. Accounts receivable attributable to delayed payments from the Illinois Department on Aging totaled $58.8 million as of March 31, 2017, approximately $56.2 million thereof related to Non-Medicaid consumers and approximately $2.6 million related to Medicaid consumers. Reimbursements from the State of Illinois could be further delayed due to the lack of a budget for fiscal year 2017 and because current forecasts indicate higher state deficits in the near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Concentration of Cash</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 April 24, 2017, the Company entered into a definitive securities purchase agreement to acquire Options Services, Inc. d/b/a Options Home Care (“Options Home Care”), a wholly-owned subsidiary of HB Management Group, Inc., for approximately $23.2 million. Options Home Care is a provider of personal care services in more than 20 counties in New Mexico and the acquisition will expand the footprint of the Company’s existing operations in the state. The Company is expected to close on the acquisition in the third quarter, pending customary closing conditions.</w:t>
      </w:r>
    </w:p>
    <w:p>
      <w:pPr>
        <w:spacing w:after="0" w:line="11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On May 8, 2017, the Company entered into a new credit facility and credit agreement (the “Credit Agreement”) with certain lenders and Capital One, National Association, as a lender and swing lender and as agent for all lenders. This credit facility totals $250.0 million, replaces our previous senior secured credit facility totaling $125.0 million, and terminates our Second Amended and Restated Credit and Guaranty Agreement, dated as of August 11, 2014 with certain lenders and Fifth Third Bank as agent.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Addus HealthCare is the borrower, with the Company and substantially all of the subsidiaries of the Company as guarantors under the credit facility. The credit facility is secured by a first priority security interest in all of the Company’s and the other credit parties’ current and future tangible and intangible assets, including the shares of stock of the borrower and subsidiaries.</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availability of additional draws under the revolving credit portion of the Company’s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w:t>
      </w:r>
    </w:p>
    <w:p>
      <w:pPr>
        <w:spacing w:after="0" w:line="14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Interest on the Company’s credit facility may be payable at (x) the sum of (i) an applicable margin ranging from 1.50% to 2.25% based on the applicable senior leverage ratio (provided that the applicable margin will be 1.50% through approximately October 31, 2017) plus (ii) a base rate equal to the greatest of</w:t>
      </w:r>
    </w:p>
    <w:p>
      <w:pPr>
        <w:ind w:right="180" w:firstLine="8"/>
        <w:spacing w:after="0" w:line="253"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pay a fee ranging from 0.25% to 0.50% based on the applicable leverage ratio times the unused portion of the revolving portion of the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fee will be 0.25% through approximately October 31, 2017).</w:t>
      </w:r>
    </w:p>
    <w:p>
      <w:pPr>
        <w:sectPr>
          <w:pgSz w:w="11900" w:h="16838" w:orient="portrait"/>
          <w:cols w:equalWidth="0" w:num="1">
            <w:col w:w="11400"/>
          </w:cols>
          <w:pgMar w:left="240" w:top="459" w:right="259" w:bottom="0" w:gutter="0" w:footer="0" w:header="0"/>
        </w:sectPr>
      </w:pPr>
    </w:p>
    <w:bookmarkStart w:id="18" w:name="page19"/>
    <w:bookmarkEnd w:id="18"/>
    <w:p>
      <w:pPr>
        <w:ind w:right="560" w:firstLine="456"/>
        <w:spacing w:after="0" w:line="268" w:lineRule="auto"/>
        <w:rPr>
          <w:sz w:val="20"/>
          <w:szCs w:val="20"/>
          <w:color w:val="auto"/>
        </w:rPr>
      </w:pPr>
      <w:r>
        <w:rPr>
          <w:rFonts w:ascii="Arial" w:cs="Arial" w:eastAsia="Arial" w:hAnsi="Arial"/>
          <w:sz w:val="18"/>
          <w:szCs w:val="18"/>
          <w:color w:val="auto"/>
        </w:rPr>
        <w:t>The Credit Agreement contains customary affirmative covenants regarding, among other things, the maintenance of records, compliance with laws, maintenance of permits, maintenance of insurance and property and payment of taxes.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w:t>
      </w:r>
    </w:p>
    <w:p>
      <w:pPr>
        <w:spacing w:after="0" w:line="118"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Credit Agreement is attached hereto as Exhibit 10.3 and is incorporated herein by reference. The foregoing summary of the Credit Agreement does not purport to be a complete statement of the parties’ rights and obligations under the Credit Agreement, and is qualified in its entirety by reference to Exhibit 10.3.</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2016, filed on March 15, 2017.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operate as one business segment and are a provider of comprehensive personal care services, which are provided principally in the home. Our personal care services provide assistance with activities of daily living. Our consumers are primarily persons who are at risk of hospitalization or institutionalization, such as the elderly, chronically ill and disabled. Our payor clients include federal, state and local governmental agencies, managed care organizations, commercial insurers and private individuals. As of March 31, 2017, we provided personal care services to over 34,000 consumers through 111 locations across 24 states. For the three months ended March 31, 2017 and 2016, we served approximately 38,000 and 36,000 discrete consumers, respectively.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financial results for the three months ended March 31, 2017 and 2016 is provided in the table below:</w:t>
      </w:r>
    </w:p>
    <w:p>
      <w:pPr>
        <w:spacing w:after="0" w:line="207"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0</wp:posOffset>
            </wp:positionV>
            <wp:extent cx="16376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ind w:left="7800"/>
        <w:spacing w:after="0"/>
        <w:tabs>
          <w:tab w:leader="none" w:pos="93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-6985</wp:posOffset>
            </wp:positionV>
            <wp:extent cx="16376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ind w:left="8000"/>
        <w:spacing w:after="0" w:line="223" w:lineRule="auto"/>
        <w:rPr>
          <w:sz w:val="20"/>
          <w:szCs w:val="20"/>
          <w:color w:val="auto"/>
        </w:rPr>
      </w:pPr>
      <w:r>
        <w:rPr>
          <w:rFonts w:ascii="Arial" w:cs="Arial" w:eastAsia="Arial" w:hAnsi="Arial"/>
          <w:sz w:val="14"/>
          <w:szCs w:val="14"/>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101,606</w:t>
            </w:r>
          </w:p>
        </w:tc>
        <w:tc>
          <w:tcPr>
            <w:tcW w:w="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258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4,259</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238,664</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229,218</w:t>
            </w: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services are predominantly provided in the home under agreements with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States are increasingly implementing managed care programs to deliver healthcare services to Medicaid enrollees. Managed care organizations have an economic incentive to better manage the healthcare expenditures of their membership, and therefore seek to provide care in a more cost-effective setting, such as a patient’s home. Managed care revenues accounted for 32.3% and 23.1% of our revenue mix during the three months ended March 31, 2017 and 2016, respectively.</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model is designed to improve consumer outcomes and satisfaction, as well as lower the cost of acute care treatment and reduce service duplication. We believe our model to be especially valuable to managed care organizations that have economic responsibility for both personal care services as well as acute care expenditures. We believe our model is a differentiator and as a result we expect to receive increased referrals from managed care organizations.</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personal care services we provide include assistance with bathing, grooming, oral care, assistance with feeding and dressing, medication reminders, meal planning and preparation, housekeeping and transportation services and other activities of daily living. We provide these non-medical services on a long-term, continuous basis, with an average duration of approximately 26 months per consumer.</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utilize home care aides to observe and report changes in the condition of our consumers for the purpose of early intervention in the disease process, with the goal of reducing the cost of medical services by preventing unnecessary emergency room visits and/or hospital admissions and re-admissions. We coordinate the services provided by our team with those of other healthcare agencies as appropriate. Changes in our consumers’ conditions are evaluated by appropriately trained managers and may result in the condition being reported to the consumers’ case manager at the managed care organization or other payor and in some cases to the consumers’ primary care physicians for treatment or other follow-up. We believe this approach to the care of our consumers and the integration of our services into the broader healthcare continuum are attractive to managed care organizations and other payors who are ultimately responsible for the healthcare needs and costs of our consumers.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utilize Interactive Voice Response (“IVR”) systems and smart phone applications to communicate with the majority of our home care aides. Through these technologies our aides are able to report changes in health conditions with alerts forwarded to an appropriate manager for triage and evaluation. In addition, we use this technology to record basic transaction information about each visit, record start and end times for a scheduled shift, track mileage reimbursement, send text messages to the home care aide and communicate basic payroll information.</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to our focus on organic growth, we have been growing through selective acquisitions, which have expanded our presence in current markets or which have facilitated our entry into new markets where the personal care business has been moving to managed care organizations. We completed seven acquisitions during the period from December 2013 through February 2016.</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provided our personal care services through 111 locations across 24 states.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payor clients are principally federal, state and local governmental agencies and, increasingly, managed care organizations. The federal, state and local programs under which the agencies operate are subject to legislative, budgetary and other risks that can influence reimbursement rates. We are experiencing a further transition of business from government payors to managed care organizations with which we are seeking to grow our business given our emphasis on coordinated care and the prevention of the need for acute care. Managed care organizations are commercial insurance carriers that are under contract with various federal and state governmental agencies to provide and manage a full continuum of care.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March 31, 2017 and 2016 our payor revenue mix was: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2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42"/>
        </w:trPr>
        <w:tc>
          <w:tcPr>
            <w:tcW w:w="54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local and other governmental programs</w:t>
            </w: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64.9%</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1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Private pay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Commercial insurance</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16"/>
        </w:trPr>
        <w:tc>
          <w:tcPr>
            <w:tcW w:w="54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derive a significant amount of our net service revenues from our operations in Illinois, which represented 53.1% and 54.8% of our total net service revenues for the three months ended March 31, 2017 and 2016, respectively.</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significant amount of our net service revenues are derived from one payor client, the Illinois Department on Aging, which accounted for 36.5% and 44.8% of our total net service revenues for the three months ended March 31, 2017 and 2016, respectively.</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State of Illinois’ payments have been delayed in the past and may continue to be delayed due to a budget impasse that began in 2015. The State of Illinois did not adopt a comprehensive budget for fiscal year 2016, which ended on June 30, 2016, and it has not yet adopted a comprehensive budget for fiscal year 2017, which began on July 1, 2016. Stopgap budget legislation was enacted on June 30, 2016, which appropriated funds through December 31, 2016. Without a budget, the State is not authorized to pay for the non-Medicaid consumers we serve. During the second half of 2016 and the first three months of 2017, we have been experiencing a delay in payments from the State of Illinois due to the current budget situation. Accounts receivable attributable to delayed payments from the Illinois Department on Aging totaled $58.8 million as of March 31, 2017, approximately $56.2 million thereof related to Non-Medicaid consumers and approximately $2.6 million related to Medicaid consumers. Reimbursements from the State of Illinois could be further delayed due to the lack of a budget for fiscal year 2017 and because current forecasts indicate higher state deficits in the near future.</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measure the performance of our business using a number of different metrics, including billable hours, billable hours per business day, revenues per billable hour and the number of consumers, or census.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our Statements of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Service Revenues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generate net service revenues by providing our services directly to consumers and primarily on an hourly basis. We receive payment for providing such services from our payor clients, including federal, state and local governmental agencies, managed care organizations, commercial insurers and private consumers. Net service revenues are principally provided based on authorized hours, determined by the relevant agency, at an hourly rate which is either contractual or fixed by legislation and are recognized at the time services are rendered.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 Revenues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Employees are also reimbursed for their travel time and related travel costs.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general and administrative expenses include our costs for operating our network of local agencies and our administrative offices.</w:t>
      </w:r>
    </w:p>
    <w:p>
      <w:pPr>
        <w:spacing w:after="0" w:line="17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agency expenses consist of costs for supervisory personnel, our community care supervisors and office administrative costs. Personnel costs include wages, payroll taxes, and employee benefits. Facility costs including rents, utilities, postage, telephone and office expenses. Our support center and executive office includes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and related facility costs.</w:t>
      </w:r>
    </w:p>
    <w:p>
      <w:pPr>
        <w:spacing w:after="0" w:line="116"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w:t>
      </w:r>
    </w:p>
    <w:p>
      <w:pPr>
        <w:spacing w:after="0" w:line="3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$0.9 million and $3.5 million for the three months ended March 31, 2017 and 2016, respectively, which is included in general and administrative expenses on the Condensed Consolidated Statements of Income. The Company expects some additional restructuring and other costs to occur, however, the amount and timing cannot be determined at this time. The expenses recorded for the three months ended March 31, 2017 included costs related to terminated employees. The expenses recorded for three months ended March 31, 2016 included costs related to terminated employees and other direct costs associated with implementing these initiatives. Other direct costs included contract termination costs, accelerated depreciation and asset write-offs.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amortize our intangible assets with finite lives, consisting of customer and referral relationships, trade names, trademarks, state licenses and non-compete agreements, principally using accelerated methods based upon their estimated useful lives. 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w:t>
      </w:r>
    </w:p>
    <w:p>
      <w:pPr>
        <w:sectPr>
          <w:pgSz w:w="11900" w:h="16838" w:orient="portrait"/>
          <w:cols w:equalWidth="0" w:num="1">
            <w:col w:w="11420"/>
          </w:cols>
          <w:pgMar w:left="240" w:top="459"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31"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2017 and 2016, we did not receive any prompt payment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Interest expense consists of interest and unused credit line fees on our credit facility, capital lease obligations and other debt instruments and is reported in the Condensed Consolidated Statements of Income when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For the three months ended March 31, 2017 other income of $0.1 million consists of income distributions received from the cost method investment in joint venture. No distributions were received during the three months ended March 31, 2016. We account for this income in accordance with ASC Topic 325, </w:t>
      </w:r>
      <w:r>
        <w:rPr>
          <w:rFonts w:ascii="Arial" w:cs="Arial" w:eastAsia="Arial" w:hAnsi="Arial"/>
          <w:sz w:val="16"/>
          <w:szCs w:val="16"/>
          <w:i w:val="1"/>
          <w:iCs w:val="1"/>
          <w:color w:val="auto"/>
        </w:rPr>
        <w:t xml:space="preserve">“Investments—Other.” </w:t>
      </w:r>
      <w:r>
        <w:rPr>
          <w:rFonts w:ascii="Arial" w:cs="Arial" w:eastAsia="Arial" w:hAnsi="Arial"/>
          <w:sz w:val="16"/>
          <w:szCs w:val="16"/>
          <w:color w:val="auto"/>
        </w:rPr>
        <w:t>We recognize the net accumulated earnings only to the extent distributed by the joint venture on the date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Our federal statutory rate was 35.0% for the three months ended March 31, 2017 and 2016. The effective income tax rate was 33.2 % and 32.9% for the three months ended March 31, 2017 and 2016, respectively. The difference between federal statutory and effective income tax rates is principally due to the inclusion of state taxes and the use of federal employment tax credits that lower our effective tax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2017 Compared to Three Months Ended March 31, 2016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gridSpan w:val="10"/>
          </w:tcPr>
          <w:p>
            <w:pPr>
              <w:jc w:val="right"/>
              <w:ind w:right="1040"/>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Pr>
          <w:p>
            <w:pPr>
              <w:spacing w:after="0"/>
              <w:rPr>
                <w:sz w:val="14"/>
                <w:szCs w:val="14"/>
                <w:color w:val="auto"/>
              </w:rPr>
            </w:pPr>
          </w:p>
        </w:tc>
        <w:tc>
          <w:tcPr>
            <w:tcW w:w="156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w w:val="76"/>
              </w:rPr>
              <w:t>2016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left="177"/>
              <w:spacing w:after="0" w:line="129" w:lineRule="exact"/>
              <w:rPr>
                <w:sz w:val="20"/>
                <w:szCs w:val="20"/>
                <w:color w:val="auto"/>
              </w:rPr>
            </w:pPr>
            <w:r>
              <w:rPr>
                <w:rFonts w:ascii="Arial" w:cs="Arial" w:eastAsia="Arial" w:hAnsi="Arial"/>
                <w:sz w:val="14"/>
                <w:szCs w:val="14"/>
                <w:b w:val="1"/>
                <w:bCs w:val="1"/>
                <w:color w:val="auto"/>
              </w:rPr>
              <w:t>% Of</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1"/>
              </w:rPr>
              <w:t>Revenues</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4"/>
              </w:rPr>
              <w:t>Revenues</w:t>
            </w:r>
          </w:p>
        </w:tc>
        <w:tc>
          <w:tcPr>
            <w:tcW w:w="7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w w:val="98"/>
              </w:rPr>
              <w:t>(Amounts in Thousands, Except Percentages)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101,606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92,602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9,004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74,289</w:t>
            </w:r>
          </w:p>
        </w:tc>
        <w:tc>
          <w:tcPr>
            <w:tcW w:w="660" w:type="dxa"/>
            <w:vAlign w:val="bottom"/>
          </w:tcPr>
          <w:p>
            <w:pPr>
              <w:jc w:val="right"/>
              <w:spacing w:after="0"/>
              <w:rPr>
                <w:sz w:val="20"/>
                <w:szCs w:val="20"/>
                <w:color w:val="auto"/>
              </w:rPr>
            </w:pPr>
            <w:r>
              <w:rPr>
                <w:rFonts w:ascii="Arial" w:cs="Arial" w:eastAsia="Arial" w:hAnsi="Arial"/>
                <w:sz w:val="18"/>
                <w:szCs w:val="18"/>
                <w:color w:val="auto"/>
              </w:rPr>
              <w:t>73.1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68,283</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6,006</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24,319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20,905</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22,188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(1,283)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adult day services centers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(2,065)</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(2,065)</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1,516</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1,478</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23,666</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(3,310)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6,961</w:t>
            </w:r>
          </w:p>
        </w:tc>
        <w:tc>
          <w:tcPr>
            <w:tcW w:w="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653</w:t>
            </w:r>
          </w:p>
        </w:tc>
        <w:tc>
          <w:tcPr>
            <w:tcW w:w="1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6,308</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651</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426</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6,140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2,115</w:t>
            </w: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2,038</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2,612.7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0"/>
              </w:rPr>
              <w:t>Business Metrics (Actual Numbers, Except Billable Hours in Thousands)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census (1)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33,948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33,578</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Billable hours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5,800</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5,353</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Average billable hours per census per month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Billable hours per business day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89,223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82,361</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6,862</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 per billable hour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17.52</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17.30</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ind w:left="452" w:hanging="452"/>
        <w:spacing w:after="0"/>
        <w:tabs>
          <w:tab w:leader="none" w:pos="452" w:val="left"/>
        </w:tabs>
        <w:numPr>
          <w:ilvl w:val="0"/>
          <w:numId w:val="9"/>
        </w:numPr>
        <w:rPr>
          <w:rFonts w:ascii="Arial" w:cs="Arial" w:eastAsia="Arial" w:hAnsi="Arial"/>
          <w:sz w:val="15"/>
          <w:szCs w:val="15"/>
          <w:color w:val="auto"/>
        </w:rPr>
      </w:pPr>
      <w:r>
        <w:rPr>
          <w:rFonts w:ascii="Arial" w:cs="Arial" w:eastAsia="Arial" w:hAnsi="Arial"/>
          <w:sz w:val="15"/>
          <w:szCs w:val="15"/>
          <w:color w:val="auto"/>
        </w:rPr>
        <w:t>Average billable census is the number of unique clients receiving a billable service during a period.</w:t>
      </w:r>
    </w:p>
    <w:p>
      <w:pPr>
        <w:spacing w:after="0" w:line="49" w:lineRule="exact"/>
        <w:rPr>
          <w:rFonts w:ascii="Arial" w:cs="Arial" w:eastAsia="Arial" w:hAnsi="Arial"/>
          <w:sz w:val="15"/>
          <w:szCs w:val="15"/>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Billable hours is the total number of hours provided to clients during a period.</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1"/>
          </w:cols>
          <w:pgMar w:left="248" w:top="334"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Net service revenues from federal, state, local and other governmental programs accounted for 64.9% and 73.2% of net service revenues for the three months ended March 31, 2017 and 2016, respectively. Managed care organizations accounted for 32.3% and 23.1% of net service revenues for the three months ended March 31, 2017 and 2016, respectively, with commercial insurance payors and private pay accounting for the remainder of net service revenues. A significant amount of our net service revenues for the three months ended March 31, 2017 and 2016 were derived from one payor client, the Illinois Department on Aging, which accounted for 36.5% and 44.8% respectively, of our total net service revenues.</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service revenues increased $9.0 million, or 9.7%, to $101.6 million for the three months ended March 31, 2017 compared to $92.6 million for the same period in 2016. The increase was primarily due to a 8.4% increase in billable hours and a 1.3% increase in revenues per billable hour.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Gross profit, expressed as a percentage of net service revenues, increased to 26.9% for the first quarter of 2017, compared to 26.3% for the same period in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2016. This increase is primarily due to a $0.5 million reduction in travel wages, travel mileage and unbillable errand mileage in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as compared to the three months ended March 31, 2016,</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General and administrative expenses, expressed as a percentage of net service revenues decreased to 20.6% for the three months ended March 31, 2017, from 24.0% for the three months ended March 31, 2016. General and administrative expenses decreased to $20.9 million as compared to $22.2 million for the three months ended March 31, 2017 and 2016, respectively. The decrease in general and administrative expenses was primarily due to a $2.6 million decrease in severance and restructuring costs related to our initiatives to streamline operations which began in 2016.</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Depreciation and amortization expense remained consistent from the first quarter of 2017 as compared to the first quarter of 2016 at $1.5 million. Amortization of intangibles, which are principally amortized using accelerated methods, totaled $1.0 million for the three months ended March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2017 and 2016, we did not receive any prompt payment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Interest expense increased to $0.7 million from $0.4 million for the three months ended March 31, 2017 as compared to the same period in 2016. The increase is primarily the result of interest on the term loan portion of the senior secured credit facility outstanding during each period. See Note 6 to the Notes to Condensed Consolidated Financial Statements (Unaudited) Long-Term Debt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 xml:space="preserve">For the three months ended March 31, 2017, other income of $0.1 million consists of income distributions received from the cost method investment in joint venture. No distributions were received during the three months ended March 31, 2016. We account for this income in accordance with ASC Topic 325, </w:t>
      </w:r>
      <w:r>
        <w:rPr>
          <w:rFonts w:ascii="Arial" w:cs="Arial" w:eastAsia="Arial" w:hAnsi="Arial"/>
          <w:sz w:val="16"/>
          <w:szCs w:val="16"/>
          <w:i w:val="1"/>
          <w:iCs w:val="1"/>
          <w:color w:val="auto"/>
        </w:rPr>
        <w:t xml:space="preserve">“Investments—Other.” </w:t>
      </w:r>
      <w:r>
        <w:rPr>
          <w:rFonts w:ascii="Arial" w:cs="Arial" w:eastAsia="Arial" w:hAnsi="Arial"/>
          <w:sz w:val="16"/>
          <w:szCs w:val="16"/>
          <w:color w:val="auto"/>
        </w:rPr>
        <w:t>We recognize the net accumulated earnings only to the extent distributed by the joint venture on the date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For the three months ended March 31, 2017 and 2016 our federal statutory rate was 35.0%. The effective income tax rate was 33.2% and 32.9% for the three months ended March 31, 2017 and 2016, respectively. The difference between our federal statutory and effective income tax rates are principally due to the inclusion of state taxes and the use of federal employment tax credits that lower our effective tax rate.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Our primary sources of liquidity are cash from operations and borrowings under our credit facility. As described below under New Credit Facility, we entered into a new credit facility on May 8, 2017 that replaced our prior credit facility. We entered into an amendment to our prior credit facility on the terms described below on May 24, 2016. At March 31, 2017 and December 31, 2016, we had cash balances of $19.2 million and $8.0 million, respectively.</w:t>
      </w:r>
    </w:p>
    <w:p>
      <w:pPr>
        <w:sectPr>
          <w:pgSz w:w="11900" w:h="16838" w:orient="portrait"/>
          <w:cols w:equalWidth="0" w:num="1">
            <w:col w:w="11400"/>
          </w:cols>
          <w:pgMar w:left="240" w:top="459" w:right="259" w:bottom="1440" w:gutter="0" w:footer="0" w:header="0"/>
        </w:sectPr>
      </w:pPr>
    </w:p>
    <w:bookmarkStart w:id="25" w:name="page26"/>
    <w:bookmarkEnd w:id="25"/>
    <w:p>
      <w:pPr>
        <w:ind w:firstLine="456"/>
        <w:spacing w:after="0" w:line="256" w:lineRule="auto"/>
        <w:rPr>
          <w:sz w:val="20"/>
          <w:szCs w:val="20"/>
          <w:color w:val="auto"/>
        </w:rPr>
      </w:pPr>
      <w:r>
        <w:rPr>
          <w:rFonts w:ascii="Arial" w:cs="Arial" w:eastAsia="Arial" w:hAnsi="Arial"/>
          <w:sz w:val="18"/>
          <w:szCs w:val="18"/>
          <w:color w:val="auto"/>
        </w:rPr>
        <w:t>As of March 31, 2017 and December 31, 2016 we had a total of $23.8 million and $24.1 million outstanding on our credit facility, respectively. After giving effect to the amount drawn on our credit facility, approximately $16.7 million of outstanding letters of credit as of March 31, 2017 and December 31, 2016, and borrowing limits based on an advance multiple of adjusted EBITDA, we had $82.8 million and $79.7 million available for borrowing under the credit facility as of March 31, 2017 and December 31, 2016,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flows from operating activities represent the inflow of cash from our payor clients and the outflow of cash for payroll and payroll taxes, operating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expenses, interest and taxes. Due to its revenue deficiencies as well as budgeting and financing issues, from time to time the State of Illinois has reimbursed us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delayed basis with respect to our various agreements including with our largest payor, the Illinois Department on Aging. The open receivable balance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of Illinois decreased by $3.6 million from $69.3 million as of December 31, 2016 to $65.7 million as of March 31, 2017. The decrease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$40.1 million in payments for Medicaid consumers made during the first quarter of 2017 offset by additional billings for services provided during the quarter.</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State of Illinois’ payments have been delayed in the past and may continue to be delayed due to a budget impasse that began in 2015. The State of Illinois did not adopt a comprehensive budget for fiscal year 2016, which ended on June 30, 2016, and it has not yet adopted a comprehensive budget for fiscal year 2017, which began on July 1, 2016. Stopgap budget legislation was enacted on June 30, 2016, which appropriated funds through December 31, 2016. Without a budget, the State is not authorized to pay for the non-Medicaid consumers we serve. During the second half of 2016 and the first three months of 2017, we have been experiencing a delay in payments from the State of Illinois due to the current budget situation. Accounts receivable attributable to delayed payments from the Illinois Department on Aging totaled $58.8 million as of March 31, 2017, approximately $56.2 million thereof related to Non-Medicaid consumers and approximately $2.6 million related to Medicaid consumers. Reimbursements from the State of Illinois could be further delayed due to the lack of a budget for fiscal year 2017 and because current forecasts indicate higher state deficits in the near future.</w:t>
      </w:r>
    </w:p>
    <w:p>
      <w:pPr>
        <w:spacing w:after="0" w:line="11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There remains uncertainty surrounding the remainder of the 2017 fiscal year and future budgets. If payments from the State of Illinois continue to be delayed in the future or become further delayed, or the Illinois State budget impasse is not resolved in the near term, the delays could adversely impact our liquidity and result in the need to increase borrowings under our credit facility or cause us to pursue other liquidity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Facility</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On May 8, 2017, we entered into a new credit facility and credit agreement (the “Credit Agreement”) with certain lenders and Capital One, National Association, as a lender and swing lender and as agent for all lenders. This credit facility totals $250.0 million, replaces our previous senior secured credit facility totaling $125.0 million, and terminates our Second Amended and Restated Credit and Guaranty Agreement, dated as of November 10, 2015 with certain lenders and Fifth Third Bank as agent.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The availability of additional draws under the revolving credit portion of our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w:t>
      </w:r>
    </w:p>
    <w:p>
      <w:pPr>
        <w:spacing w:after="0" w:line="6"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4.25:1.00. The applicable margin (in addition to the Base Rate or LIBOR, as defined in the Credit Agreement) for interest payments ranges from 1.50% to 2.25% (for Base Rate Loans) and from 2.50% to 3.25% (for LIBOR Loans) based on the applicable senior leverage ratio (provided that such applicable margin will be 1.50% (for Base Rate Loans) and 2.50% (for LIBOR Loans) through approximately October 31, 2017). The terms of the Credit Agreement are described in further detail under Note 12 Subsequent Events to the Notes to Condensed Consolidated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Prior to May 8, 2017</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 May 24, 2016, we entered into an amendment to our credit facility with certain lenders and Fifth Third Bank, as agent and letters of credit issuer. Our amended credit facility provides a $100.0 million revolving line of credit, a delayed draw term loan facility of up to $25.0 million and an uncommitted incremental term loan facility of up to $50.0 million, expiring November 10, 2020 and includes a $35.0 million sublimit for the issuance of letters of credit. The amended credit facility increased the specified advance multiple from 3.25 to 3.75 to 1.00 and the maximum permitted senior leverage ratio from 3.50 to 4.00 to 1.00. Except as modified by the May 24, 2016, amendment, the amended credit facility contains the same material terms as the previous agreement dated November 10, 2015. Substantially all of the subsidiaries of Holdings are co-borrowers, and Holdings has guaranteed the borrowers’ obligations under the credit facility. The credit facility is secured by a first priority security interest in all of Holdings’ and the borrowers’ current and future tangible and intangible assets, including the shares of stock of the borrowers.</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availability of funds under the revolving credit portion of our credit facility is based on the lesser of (i) the product of adjusted EBITDA, as defined in the credit agreement, for the most recent 12-month period for which financial statements have been delivered under the credit agreement multiplied by the specified advance multiple, up to 3.75, less the outstanding senior indebtedness and letters of credit, and (ii) $100.0 million less the outstanding revolving loans and letters of credit. Interest on our credit facility may be payable at (x) the sum of (i) an applicable margin ranging from 2.00% to 2.50% based on the applicable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plus a margin of 3.00% or (y) the sum of (i) an applicable margin ranging from 3.00% to 3.50% based on the applicable leverage ratio plus</w:t>
      </w: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adjusted LIBOR that would be applicable to a loan with an interest period of one, two or three months advanced on the applicable day or (z) the sum of</w:t>
      </w:r>
    </w:p>
    <w:p>
      <w:pPr>
        <w:spacing w:after="0" w:line="32" w:lineRule="exact"/>
        <w:rPr>
          <w:rFonts w:ascii="Arial" w:cs="Arial" w:eastAsia="Arial" w:hAnsi="Arial"/>
          <w:sz w:val="16"/>
          <w:szCs w:val="16"/>
          <w:color w:val="auto"/>
        </w:rPr>
      </w:pPr>
    </w:p>
    <w:p>
      <w:pPr>
        <w:ind w:firstLine="8"/>
        <w:spacing w:after="0" w:line="290" w:lineRule="auto"/>
        <w:tabs>
          <w:tab w:leader="none" w:pos="21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applicable margin ranging from 3.00% to 3.50% based on the applicable leverage ratio plus (ii) the daily floating LIBOR that would be applicable to a loan with an interest period of one month advanced on the applicable day. We pay a fee ranging from 0.25% to 0.50% per annum based on the applicable leverage ratio times the unused portion of the revolving portion of the credit facility. Issued stand-by letters of credit are charged at a rate equal to the applicable margin for LIBOR loans payable quarterly. During the first quarter, we drew and subsequently repaid $20.0 million of our revolving credit line to fund on-going operations. As of March 31, 2017 and December 31, 2016, we had a total of $23.8 million and $24.1 million outstanding on our credit facility and the total availability under our credit facility was $82.8 and $79.7 million, respectively.</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credit facility contains customary affirmative covenants regarding, among other things, the maintenance of records, compliance with laws, maintenance of permits, maintenance of insurance and property and payment of taxes. The credit facility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distributions, investments and loans, subject to customary carve outs, a restriction on dividends (unless no default then exists or would occur as a result thereof, we are in pro forma compliance with the financial covenants contained in the credit facility after giving effect thereto, we have an excess availability of at least 40% of the revolving credit commitment under the credit facility and the aggregate amount of dividends and distributions paid in any fiscal year does not exceed $5.0 million), restrictions on our ability to enter into transactions other than in the ordinary course of business, a restriction on the ability to consummate more than three acquisitions in any calendar year, consummate any individual acquisition with a purchase price in excess of $25.0 million and consummate acquisitions with total purchase price in excess of $40.0 million in the aggregate over the term of the credit facility, in each case without the consent of the lenders, restrictions on mergers, transfers of assets, acquisitions, equipment, subsidiaries and affiliate transactions, subject to customary carve outs, and restrictions on fundamental changes and lines of business. As of March 31, 2017 and December 31, 2016, we were in compliance with all of our credit facility covenants.</w:t>
      </w:r>
    </w:p>
    <w:p>
      <w:pPr>
        <w:spacing w:after="0" w:line="12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do not have sufficient cash resources or availability under our credit facility, or we are otherwise prohibited from making acquisitions under the terms of our credit facility, our growth, including our ability to grow through acquisitions, could be limited unless we obtain additional equity or debt financing or the necessary consents from our lenders under our credit facility. We believe the available borrowings under our credit facility, combined with cash from operations, will be sufficient to cover our working capital needs for at least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our cash flows for the three months ended March 31, 2017 and 2016:</w:t>
      </w:r>
    </w:p>
    <w:p>
      <w:pPr>
        <w:spacing w:after="0" w:line="207"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0</wp:posOffset>
            </wp:positionV>
            <wp:extent cx="1766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7460"/>
        <w:spacing w:after="0"/>
        <w:tabs>
          <w:tab w:leader="none" w:pos="9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-6985</wp:posOffset>
            </wp:positionV>
            <wp:extent cx="17665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ind w:left="7840"/>
        <w:spacing w:after="0" w:line="223" w:lineRule="auto"/>
        <w:rPr>
          <w:sz w:val="20"/>
          <w:szCs w:val="20"/>
          <w:color w:val="auto"/>
        </w:rPr>
      </w:pPr>
      <w:r>
        <w:rPr>
          <w:rFonts w:ascii="Arial" w:cs="Arial" w:eastAsia="Arial" w:hAnsi="Arial"/>
          <w:sz w:val="14"/>
          <w:szCs w:val="14"/>
          <w:b w:val="1"/>
          <w:bCs w:val="1"/>
          <w:color w:val="auto"/>
        </w:rPr>
        <w:t>(Amounts 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9,633</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0" w:type="dxa"/>
            <w:vAlign w:val="bottom"/>
          </w:tcPr>
          <w:p>
            <w:pPr>
              <w:spacing w:after="0"/>
              <w:rPr>
                <w:sz w:val="18"/>
                <w:szCs w:val="18"/>
                <w:color w:val="auto"/>
              </w:rPr>
            </w:pPr>
          </w:p>
        </w:tc>
        <w:tc>
          <w:tcPr>
            <w:tcW w:w="920" w:type="dxa"/>
            <w:vAlign w:val="bottom"/>
          </w:tcPr>
          <w:p>
            <w:pPr>
              <w:jc w:val="right"/>
              <w:ind w:right="232"/>
              <w:spacing w:after="0"/>
              <w:rPr>
                <w:sz w:val="20"/>
                <w:szCs w:val="20"/>
                <w:color w:val="auto"/>
              </w:rPr>
            </w:pPr>
            <w:r>
              <w:rPr>
                <w:rFonts w:ascii="Arial" w:cs="Arial" w:eastAsia="Arial" w:hAnsi="Arial"/>
                <w:sz w:val="18"/>
                <w:szCs w:val="18"/>
                <w:color w:val="auto"/>
              </w:rPr>
              <w:t>1,238</w:t>
            </w:r>
          </w:p>
        </w:tc>
        <w:tc>
          <w:tcPr>
            <w:tcW w:w="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(20,791)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272</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31,726</w:t>
            </w: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Three Months Ended March 31, 2017 Compared to Three Months Ended March 31, 2016</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Net cash provided by operating activities was $9.6 million for the three months ended March 31, 2017, compared to cash used in operating activities of $6.0 million for the same period in 2016. This increase in cash provided by operations was primarily due to payments received from the State of Illinois of $40.1 million for Medicaid consumers, offset by additional billings for services provided during the quarter.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provided by investing activities was $1.2 million for the three months ended March 31, 2017 compared to cash used in investing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$20.8 million for the three months ended March 31, 2016. Our investing activities for the three months ended March 31, 2017 were $2.4 million in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sale of three adult day services centers and $1.2 million in purchases of property and equipment related to new office space and investments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technology infrastructure. Our investing activities for the three months ended March 31, 2016 were $20.4 million for the acquisition of South Shore as previously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Note 3 to the Condensed Consolidated Financial Statements (Unaudited) and $0.3 million in purchases of property and equipment to invest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technology infrastructure.</w:t>
      </w:r>
    </w:p>
    <w:p>
      <w:pPr>
        <w:spacing w:after="0" w:line="165" w:lineRule="exact"/>
        <w:rPr>
          <w:sz w:val="20"/>
          <w:szCs w:val="20"/>
          <w:color w:val="auto"/>
        </w:rPr>
      </w:pPr>
    </w:p>
    <w:p>
      <w:pPr>
        <w:ind w:right="20" w:firstLine="527"/>
        <w:spacing w:after="0" w:line="253" w:lineRule="auto"/>
        <w:rPr>
          <w:sz w:val="20"/>
          <w:szCs w:val="20"/>
          <w:color w:val="auto"/>
        </w:rPr>
      </w:pPr>
      <w:r>
        <w:rPr>
          <w:rFonts w:ascii="Arial" w:cs="Arial" w:eastAsia="Arial" w:hAnsi="Arial"/>
          <w:sz w:val="18"/>
          <w:szCs w:val="18"/>
          <w:color w:val="auto"/>
        </w:rPr>
        <w:t>Net cash provided by financing activities was $0.3 million for the three months ended March 31, 2017 as compared to net cash provided by financing activities of $31.7 million for the three months ended March 31, 2016. Our financing activities for the three months ended March 31, 2017 were $20.0 million in draws on the revolver portion of our credit facility to fund growth and on-going operations and the subsequent repayment of $20.0 million, $1.0 million in cash received from exercise of stock options, $0.4 million of payments on capital lease obligations and $0.3 million of payments on the term loan portion of our credit facility. Our financing activities for the three months ended March 31, 2016 were a $32.0 million draw on our credit facility to fund on-going operations and the acquisitions of South Shore, $0.3 million of payments on long-term debt, $0.2 million payment for debt issuance costs and $0.2 million of cash received for the exercise of employee stock options.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Accounts Receivable</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Gross accounts receivable as of March 31, 2017 and December 31, 2016 were approximately $124.4 million. Outstanding accounts receivable, net of the allowance for doubtful accounts, decreased by $0.8 million as of March 31, 2017 as compared to December 31, 2016. The decrease in net accounts receivable is primarily due to a $0.9 million increase in the allowance for doubtful accounts for managed care organizations and acquisition transitions.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tables detail our accounts receivable before reserves by payor category, showing Illinois governmental payors separately, and the related allowance amount at March 31, 2017 and December 31,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March 31, 2017</w:t>
            </w: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3"/>
              </w:rPr>
              <w:t>Over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0-90 Days</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91-180 Days</w:t>
            </w:r>
          </w:p>
        </w:tc>
        <w:tc>
          <w:tcPr>
            <w:tcW w:w="3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181-365 Days</w:t>
            </w: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365 Days</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7"/>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(Amounts in Thousands, Except Percentages)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$28,299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17,538</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18,315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2180" w:type="dxa"/>
            <w:vAlign w:val="bottom"/>
            <w:gridSpan w:val="3"/>
          </w:tcPr>
          <w:p>
            <w:pPr>
              <w:jc w:val="right"/>
              <w:ind w:right="540"/>
              <w:spacing w:after="0"/>
              <w:rPr>
                <w:sz w:val="20"/>
                <w:szCs w:val="20"/>
                <w:color w:val="auto"/>
              </w:rPr>
            </w:pPr>
            <w:r>
              <w:rPr>
                <w:rFonts w:ascii="Arial" w:cs="Arial" w:eastAsia="Arial" w:hAnsi="Arial"/>
                <w:sz w:val="18"/>
                <w:szCs w:val="18"/>
                <w:color w:val="auto"/>
              </w:rPr>
              <w:t>13,321</w:t>
            </w:r>
          </w:p>
        </w:tc>
        <w:tc>
          <w:tcPr>
            <w:tcW w:w="700" w:type="dxa"/>
            <w:vAlign w:val="bottom"/>
          </w:tcPr>
          <w:p>
            <w:pPr>
              <w:jc w:val="right"/>
              <w:spacing w:after="0"/>
              <w:rPr>
                <w:sz w:val="20"/>
                <w:szCs w:val="20"/>
                <w:color w:val="auto"/>
              </w:rPr>
            </w:pPr>
            <w:r>
              <w:rPr>
                <w:rFonts w:ascii="Arial" w:cs="Arial" w:eastAsia="Arial" w:hAnsi="Arial"/>
                <w:sz w:val="18"/>
                <w:szCs w:val="18"/>
                <w:color w:val="auto"/>
              </w:rPr>
              <w:t>3,055</w:t>
            </w:r>
          </w:p>
        </w:tc>
        <w:tc>
          <w:tcPr>
            <w:tcW w:w="26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2,535</w:t>
            </w:r>
          </w:p>
        </w:tc>
        <w:tc>
          <w:tcPr>
            <w:tcW w:w="520" w:type="dxa"/>
            <w:vAlign w:val="bottom"/>
          </w:tcPr>
          <w:p>
            <w:pPr>
              <w:jc w:val="right"/>
              <w:spacing w:after="0"/>
              <w:rPr>
                <w:sz w:val="20"/>
                <w:szCs w:val="20"/>
                <w:color w:val="auto"/>
              </w:rPr>
            </w:pPr>
            <w:r>
              <w:rPr>
                <w:rFonts w:ascii="Arial" w:cs="Arial" w:eastAsia="Arial" w:hAnsi="Arial"/>
                <w:sz w:val="18"/>
                <w:szCs w:val="18"/>
                <w:color w:val="auto"/>
              </w:rPr>
              <w:t>2,920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20,233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3,678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10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1,973</w:t>
            </w:r>
          </w:p>
        </w:tc>
        <w:tc>
          <w:tcPr>
            <w:tcW w:w="700" w:type="dxa"/>
            <w:vAlign w:val="bottom"/>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198</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24,726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124,428</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51.3%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620" w:type="dxa"/>
            <w:vAlign w:val="bottom"/>
            <w:gridSpan w:val="3"/>
          </w:tcPr>
          <w:p>
            <w:pPr>
              <w:jc w:val="right"/>
              <w:ind w:right="400"/>
              <w:spacing w:after="0"/>
              <w:rPr>
                <w:sz w:val="20"/>
                <w:szCs w:val="20"/>
                <w:color w:val="auto"/>
              </w:rPr>
            </w:pPr>
            <w:r>
              <w:rPr>
                <w:rFonts w:ascii="Arial" w:cs="Arial" w:eastAsia="Arial" w:hAnsi="Arial"/>
                <w:sz w:val="18"/>
                <w:szCs w:val="18"/>
                <w:color w:val="auto"/>
              </w:rPr>
              <w:t>19.9%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December 31, 2016</w:t>
            </w: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3"/>
              </w:rPr>
              <w:t>Over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0-90 Days</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91-180 Days</w:t>
            </w:r>
          </w:p>
        </w:tc>
        <w:tc>
          <w:tcPr>
            <w:tcW w:w="30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181-365 Days</w:t>
            </w: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365 Days</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60" w:type="dxa"/>
            <w:vAlign w:val="bottom"/>
            <w:tcBorders>
              <w:top w:val="single" w:sz="8" w:color="auto"/>
            </w:tcBorders>
            <w:gridSpan w:val="7"/>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(Amounts in Thousands, Except Percentages)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Illinois governmental based programs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$40,727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1,418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state, local and other governmental programs</w:t>
            </w:r>
          </w:p>
        </w:tc>
        <w:tc>
          <w:tcPr>
            <w:tcW w:w="2180" w:type="dxa"/>
            <w:vAlign w:val="bottom"/>
            <w:gridSpan w:val="3"/>
          </w:tcPr>
          <w:p>
            <w:pPr>
              <w:jc w:val="right"/>
              <w:ind w:right="540"/>
              <w:spacing w:after="0"/>
              <w:rPr>
                <w:sz w:val="20"/>
                <w:szCs w:val="20"/>
                <w:color w:val="auto"/>
              </w:rPr>
            </w:pPr>
            <w:r>
              <w:rPr>
                <w:rFonts w:ascii="Arial" w:cs="Arial" w:eastAsia="Arial" w:hAnsi="Arial"/>
                <w:sz w:val="18"/>
                <w:szCs w:val="18"/>
                <w:color w:val="auto"/>
              </w:rPr>
              <w:t>14,039</w:t>
            </w:r>
          </w:p>
        </w:tc>
        <w:tc>
          <w:tcPr>
            <w:tcW w:w="700" w:type="dxa"/>
            <w:vAlign w:val="bottom"/>
          </w:tcPr>
          <w:p>
            <w:pPr>
              <w:jc w:val="right"/>
              <w:spacing w:after="0"/>
              <w:rPr>
                <w:sz w:val="20"/>
                <w:szCs w:val="20"/>
                <w:color w:val="auto"/>
              </w:rPr>
            </w:pPr>
            <w:r>
              <w:rPr>
                <w:rFonts w:ascii="Arial" w:cs="Arial" w:eastAsia="Arial" w:hAnsi="Arial"/>
                <w:sz w:val="18"/>
                <w:szCs w:val="18"/>
                <w:color w:val="auto"/>
              </w:rPr>
              <w:t>3,341</w:t>
            </w:r>
          </w:p>
        </w:tc>
        <w:tc>
          <w:tcPr>
            <w:tcW w:w="26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2,848</w:t>
            </w:r>
          </w:p>
        </w:tc>
        <w:tc>
          <w:tcPr>
            <w:tcW w:w="520" w:type="dxa"/>
            <w:vAlign w:val="bottom"/>
          </w:tcPr>
          <w:p>
            <w:pPr>
              <w:jc w:val="right"/>
              <w:spacing w:after="0"/>
              <w:rPr>
                <w:sz w:val="20"/>
                <w:szCs w:val="20"/>
                <w:color w:val="auto"/>
              </w:rPr>
            </w:pPr>
            <w:r>
              <w:rPr>
                <w:rFonts w:ascii="Arial" w:cs="Arial" w:eastAsia="Arial" w:hAnsi="Arial"/>
                <w:sz w:val="18"/>
                <w:szCs w:val="18"/>
                <w:color w:val="auto"/>
              </w:rPr>
              <w:t>2,679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Managed care organizations</w:t>
            </w:r>
          </w:p>
        </w:tc>
        <w:tc>
          <w:tcPr>
            <w:tcW w:w="2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20,786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2,117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Private pay and commercial insurance</w:t>
            </w:r>
          </w:p>
        </w:tc>
        <w:tc>
          <w:tcPr>
            <w:tcW w:w="10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2,439</w:t>
            </w:r>
          </w:p>
        </w:tc>
        <w:tc>
          <w:tcPr>
            <w:tcW w:w="70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265</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77,991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32,449</w:t>
            </w:r>
          </w:p>
        </w:tc>
        <w:tc>
          <w:tcPr>
            <w:tcW w:w="2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6,648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124,362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Aging % of total</w:t>
            </w:r>
          </w:p>
        </w:tc>
        <w:tc>
          <w:tcPr>
            <w:tcW w:w="1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62.8%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1620" w:type="dxa"/>
            <w:vAlign w:val="bottom"/>
            <w:gridSpan w:val="3"/>
          </w:tcPr>
          <w:p>
            <w:pPr>
              <w:jc w:val="right"/>
              <w:ind w:right="400"/>
              <w:spacing w:after="0"/>
              <w:rPr>
                <w:sz w:val="20"/>
                <w:szCs w:val="20"/>
                <w:color w:val="auto"/>
              </w:rPr>
            </w:pPr>
            <w:r>
              <w:rPr>
                <w:rFonts w:ascii="Arial" w:cs="Arial" w:eastAsia="Arial" w:hAnsi="Arial"/>
                <w:sz w:val="18"/>
                <w:szCs w:val="18"/>
                <w:color w:val="auto"/>
              </w:rPr>
              <w:t>5.3%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Reserve as % of gross accounts receivable</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calculate our days sales outstanding (“DSO”) by taking the accounts receivable outstanding net of the allowance for doubtful accounts divided by the total net service revenues for the last quarter, multiplied by the number of days in that quarter. Our DSOs were 103 days and 104 days at March 31, 2017 and December 31, 2016, respectively. The DSOs for our largest payor, the Illinois Department on Aging, at March 31, 2017 and December 31, 2016 were 148 days and 152 days, respectively. We may not receive payments on a consistent basis in the near term and our DSOs and the DSO for the Illinois Department on Aging may increase depending on the actions of the Illinois General Assembly and the Governor related to the fiscal year 2017 budget. The increase in the reserve as a percentage of gross accounts receivable to 6.6% as of March 31, 2017 from 5.9% as of December 31, 2016 is attributable to additional reserves needed for managed care organizations and acquisition transitions.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did not have any off-balance sheet guarantees or arrangements with unconsolidated entities.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Condensed Consolidated Financial Statements (Unaudited) prepared in accordance with accounting principles generally accepted in the United States.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majority of our revenues for the three months ended March 31, 2017 and 2016 are derived from Medicaid and Medicaid waiver programs under agreements with various state and local authorities. These agreements provide for a service term from one year to an indefinite term. Services are provided based on authorized hours, determined by the relevant state or local agency, at an hourly rate specified in the agreement or fixed by legislation and recognized in net service revenues as services are provided. Services to other payors, such as managed care organizations and commercial insurance or private clients, are provided at negotiated hourly rates and recognized in net service revenues as services are provided. We provide for appropriate allowances for uncollectible amounts at the time the services are rendered.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paid for our services primarily by state and local agencies under Medicaid or Medicaid waiver programs, managed care organizations, commercial insurance companies and private consumers. While our accounts receivable are uncollateralized, our credit risk is somewhat limited due to the significance of governmental payors to our results of operations. Laws and regulations governing the governmental programs in which we participate are complex and subject to interpretation. Amounts collected may be different than amounts billed due to client eligibility issues, insufficient or incomplete documentation, services at levels other than authorized and other reasons unrelated to credit risk.</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income statement caption, interest income. We did not receive any prompt payment interest for the three months ended March 31, 2017 and 2016.</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establish our allowance for doubtful accounts to the extent it is probable that a portion or all of a particular account will not be collected. We establish our provision for doubtful accounts primarily by analyzing historical trends and the aging of receivables. In our evaluation, we consider other factors including: delays in payment trends in individual states due to budget or funding issues; billing conversions related to acquisitions or internal systems; resubmission of bills with required documentation and disputes with specific payors. An allowance for doubtful accounts is maintained at a level that our management believes is sufficient to cover potential losses. However, actual collections could differ from our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Our carrying value of goodwill is the residual of the purchase price over the fair value of the net assets acquired from various acquisitions including the acquisition of Addus HealthCare, Inc. (“Addus HealthCare”).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2016,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2016. No impairment charges were recorded for the three months ended March 31, 2017 or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review our long-lived assets and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2016 or three months ended March 31, 2017 or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Assets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indefinite-lived assets that are not subject to amortization expense such as licenses and in certain states certificates of need to conduct specific operations within geographic markets. Our management has concluded that these assets have indefinite lives, as management has determined that there are no legal, regulatory, contractual, economic or other factors that would limit the useful life of these intangible assets and we intend to renew the licenses indefinitely. The licenses and certificates of need are tested annually for impairment. No impairment charges were recorded for the year ended December 31, 2016 or three months ended March 31, 2017 or 2016.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 xml:space="preserve">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in the cost of services caption in the condensed consolidated statement of income. Under the agreement pursuant to which we acquired Addus HealthCare, claims under our workers’ compensation insurance program that related to December 31, 2005 or earlier were the responsibility of the selling shareholders in the acquisition, subject to certain limitations. The responsibility of the selling shareholders for these claims was terminated on December 29, 2014. In August 2010, the FASB issued Accounting Standards Update No 2010-24, Health Care Entities (Topic 954), </w:t>
      </w:r>
      <w:r>
        <w:rPr>
          <w:rFonts w:ascii="Arial" w:cs="Arial" w:eastAsia="Arial" w:hAnsi="Arial"/>
          <w:sz w:val="15"/>
          <w:szCs w:val="15"/>
          <w:i w:val="1"/>
          <w:iCs w:val="1"/>
          <w:color w:val="auto"/>
        </w:rPr>
        <w:t>“Presentation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Insurance Claims and Related Insurance Recoveries” </w:t>
      </w:r>
      <w:r>
        <w:rPr>
          <w:rFonts w:ascii="Arial" w:cs="Arial" w:eastAsia="Arial" w:hAnsi="Arial"/>
          <w:sz w:val="15"/>
          <w:szCs w:val="15"/>
          <w:color w:val="auto"/>
        </w:rPr>
        <w:t>(“ASU 2010-24”), which clarifies that companies should not net insurance recoveries against a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claim liability. Additionally, the amount of the claim liability should be determined without consideration of insurance recoveries. As of March 31, 2017 and</w:t>
      </w:r>
    </w:p>
    <w:p>
      <w:pPr>
        <w:sectPr>
          <w:pgSz w:w="11900" w:h="16838" w:orient="portrait"/>
          <w:cols w:equalWidth="0" w:num="1">
            <w:col w:w="11420"/>
          </w:cols>
          <w:pgMar w:left="240" w:top="459" w:right="239" w:bottom="0" w:gutter="0" w:footer="0" w:header="0"/>
        </w:sectPr>
      </w:pPr>
    </w:p>
    <w:bookmarkStart w:id="30" w:name="page31"/>
    <w:bookmarkEnd w:id="30"/>
    <w:p>
      <w:pPr>
        <w:ind w:right="200"/>
        <w:spacing w:after="0" w:line="259" w:lineRule="auto"/>
        <w:rPr>
          <w:sz w:val="20"/>
          <w:szCs w:val="20"/>
          <w:color w:val="auto"/>
        </w:rPr>
      </w:pPr>
      <w:r>
        <w:rPr>
          <w:rFonts w:ascii="Arial" w:cs="Arial" w:eastAsia="Arial" w:hAnsi="Arial"/>
          <w:sz w:val="18"/>
          <w:szCs w:val="18"/>
          <w:color w:val="auto"/>
        </w:rPr>
        <w:t>December 31, 2016, we recorded $0.6 million and $0.7 million in workers’ compensation insurance recovery receivables and a corresponding increase in workers’ compensation liability. The workers’ compensation insurance recovery receivable is included in our prepaid expenses and other current assets on the balance sheet.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three months ended March 31, 2017 and 2016, we did not receive any prompt payment interest.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account for income taxes under the provisions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currently has one active stock incentive plan, the 2009 Stock Incentive Plan, as amended and restated (the “2009 Plan”), that provides for stock-based employee compensation. The Company accounts for stock-based compensation in accordance with ASC Topic 718, “Stock Compensation.” Compensation expense is recognized on a straight-line basis under the 2009 Plan over the vesting period of the equity awards based on the grant date fair value of the options and restricted stock awards. From October 28, 2009 to December 31, 2016, the Company utilized the Enhanced Hull-White Trinomial Model to value the Company’s options. Beginning January 1, 2017, the Company began utilizing the Black-Scholes Option Pricing Model to value the Company’s options, as the Company believes it is a more widely accepted and understood valuation model. The determination of the fair value of stock-based payments utilizing the Black-Scholes Model and the Enhanced Hull-White Trinomial Model is affected by the Company’s stock price and a number of assumptions, including expected volatility, risk-free interest rate, expected term, expected dividends yield, expected forfeiture rate, expected turn-over rate and the expected exercise multiple.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(Topic 606),” </w:t>
      </w:r>
      <w:r>
        <w:rPr>
          <w:rFonts w:ascii="Arial" w:cs="Arial" w:eastAsia="Arial" w:hAnsi="Arial"/>
          <w:sz w:val="15"/>
          <w:szCs w:val="15"/>
          <w:color w:val="auto"/>
        </w:rPr>
        <w:t>which requires an entity to recognize the amount of revenue to which it expects to be entitled for the transfer of promised goods or</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customers. The ASU will replace most existing revenue recognition guidance in GAAP and will be effective for us as of January 1, 2018. The standard permits the use of either the retrospective or modified retrospective (cumulative effect) transition method and we have not yet selected which transition method we will apply. Our evaluation of ASU 2014-09 is not complete. The FASB has issued and may issue in the future, interpretative guidance, which may cause our evaluation to change. We have completed an initial review to determine the impact ASU 2014-09 and its subsequent updates through December 31, 2016 will have on our Consolidated Financial Statements or financial statement disclosures upon adoption. Based on our preliminary review, we believe that the timing and measurement of revenue for our customers will be similar to our current revenue recognition. However, this view is preliminary and could change based on the detailed analysis associated with the conversion and implementation phases of our ASU 2014-09 project. We will complete our assessment during 2017.</w:t>
      </w:r>
    </w:p>
    <w:p>
      <w:pPr>
        <w:spacing w:after="0" w:line="10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We will be required to recognize and measure leases at the beginning of the earliest period presented using a modified retrospective approach. Upon initial evaluation, we believe that the new standard will have a material impact on our Consolidated Balance Sheets but it will not affect our liquidity. We are continuing to evaluate other potential impacts to our financial statements and accounting systems including whether we will need to secure new software to account for the change in accounting for leases.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(Topic 326) Credit Losses.”</w:t>
      </w:r>
      <w:r>
        <w:rPr>
          <w:rFonts w:ascii="Arial" w:cs="Arial" w:eastAsia="Arial" w:hAnsi="Arial"/>
          <w:sz w:val="18"/>
          <w:szCs w:val="18"/>
          <w:color w:val="auto"/>
        </w:rPr>
        <w:t xml:space="preserve"> ASU 2016-13 changes the impairment model for most financial assets and certain other instruments. Under the new standard, entities holding 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ASU 2016-15 is effective for fiscal years beginning after December 15, 2017, and interim periods within those fiscal years, and will require adoption on a retrospective basis unless impracticable. If impracticable we would be required to apply the amendments prospectively as of the earliest date possible. We are currently evaluating the impact that ASU 2016-15 will have on our statement of financial position or financial statement disclosures.</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We are currently evaluating the provisions of ASU 2017-04 to determine how our goodwill impairment testing will be impacted and whether we may elect to adopt ASU 2017-04 prior to the stated effective date.</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exposed to market risk associated with changes in interest rates on our variable rate long-term debt. As of March 31, 2017, we had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borrowings of approximately $23.8 million on our credit facility, all of which was subject to variable interest rates. If the variable rates on this debt were 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points higher than the rate applicable to the borrowing during the three month period ended March 31, 2017, our net income would have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$0.1 million, or $0.01 per diluted share. We do not currently have any derivative or hedging arrangements, or other known exposures, to changes in interest rates.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of March 31, 2017.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w:t>
      </w:r>
    </w:p>
    <w:p>
      <w:pPr>
        <w:sectPr>
          <w:pgSz w:w="11900" w:h="16838" w:orient="portrait"/>
          <w:cols w:equalWidth="0" w:num="1">
            <w:col w:w="11400"/>
          </w:cols>
          <w:pgMar w:left="240" w:top="459" w:right="259" w:bottom="0"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March 31, 2017.</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131"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continue to integrate certain legacy South Shore processes into our established internal control environment. This integration is expected to be finalized in the third quarter of 2017.</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Except as mentioned above, there were no changes in our internal control over financial reporting identified in connection with the evaluation required by Rule 13a-15(d) and 15d-15(d) of the Exchange Act that occurred during the three months ended March 31, 2017 that has materially affected, or is reasonably likely to materially affect, our internal control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20, 2016, we were served with a lawsuit that was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Our reply in further support of the motion to dismiss was filed on August 23,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10, 2017, we filed a motion to dismiss the Second Amended Complaint, which has not yet been ruled on by the court. We intend to continue to defend the litigation vigorously and believe the case will not have a material adverse effect on our business, financial condition or results of operations.</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May 4, 2016, Addus HealthCare, together with 59 other social service and healthcare providers in the State of Illinois, filed an action in the Circuit Court of Cook County, Illinois against certain individuals in their official capacities as agents of the Illinois Department of Human Services, the Illinois Department on Aging, the Illinois Department of Public Health, the Illinois Department of HealthCare and Family Services, the Illinois Criminal Justice Information Authority, the Illinois Department of Corrections and the Illinois Department of Central Management Services, including the Governor of Illinois. On July 20, 2016, a third amended complaint was filed by the plaintiffs, who now comprise 97 similarly situated providers and provider organizations. In the action, the plaintiffs, including Addus HealthCare, allege to have entered into contracts with the various defendants based in part on the Governor’s proposed budget, which provided for funding for the services to be provided by plaintiffs thereunder. The Governor subsequently vetoed all of the relevant appropriations bills on June 25, 2015, and again vetoed an appropriations bill that included funding for the contracts on June 10, 2016. While the defendant officer and agency heads have continued to enforce such contracts, since August 1, 2016, we received an aggregate of approximately $65.4 million in payments from the State of Illinois from the stopgap budget enacted on June 30, 2016. In those actions, plaintiffs alleged the defendant officers and agency heads acted beyond the scope of their legal authority in entering into and enforcing contracts with no intent to perform under such contracts by failing to pay amounts due thereunder when due. The action also alleged that the Governor of Illinois’ veto of appropriations for such contracts violated the Illinois Constitution. Plaintiffs sought injunctive relief to require payment of overdue bills to prevent irreparable harm, including imperiling the State’s infrastructure for delivery of human services. On August 31, 2016, the Court denied plaintiffs’ petitions for declaratory and injunctive relief and dismissed the actions with prejudice. Plaintiffs timely filed a notice of appeal on September 30, 2016.</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2016.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and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45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May 8, 2017, we entered into a new credit facility and credit agreement (the “Credit Agreement”) with certain lenders and Capital One, National Association, as a lender and swing lender and as agent for all lenders. This credit facility totals $250.0 million, replaces our previous senior secured credit facility totaling $125.0 million, and terminates our Second Amended and Restated Credit and Guaranty Agreement, dated as of November 10, 2015 with certain lenders and Fifth Third Bank as agent. The new credit facility includes a $125.0 million revolving loan, a $45.0 million term loan and an $80.0 million delayed draw term loan. The maturity of the new credit facility is five years, although the delayed draw term loan is only available until November 8, 2018. Under the terms of an accordion feature of the Credit Agreement, $100.0 million is also available for incremental term loans. Fundings under the delayed draw term loans and the incremental term loans are limited to financing or refinancing Permitted Acquisitions (as defined in the Credit Agreement).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Addus HealthCare is the borrower, with the Company and substantially all of the subsidiaries of the Company as guarantors under the credit facility. The credit facility is secured by a first priority security interest in all of the Company’s and the other credit parties’ current and future tangible and intangible assets, including the shares of stock of the borrower and subsidiaries.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availability of additional draws under the revolving credit portion of our credit facility is conditioned, among other things, upon (after giving effect to such draws), the ratio of Consolidated Total Indebtedness (as defined in the Credit Agreement), less subordinated indebtedness, to Consolidated Adjusted EBITDA (as defined in the Credit Agreement) not exceeding 4.25:1.00.</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Interest on our credit facility may be payable at (x) the sum of (i) an applicable margin ranging from 1.50% to 2.25% based on the applicable senior leverage ratio (provided that the applicable margin will be 1.50% through approximately October 31, 2017)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(provided that the applicable margin will be 2.50% through approximately October 31, 2017) plus (ii) the offered rate per annum for the applicable interest period that appears on Reuters Screen LIBOR01 Page. Swing loans may not be LIBOR loans.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pay a fee ranging from 0.25% to 0.50% based on the applicable leverage ratio times the unused portion of the revolving portion of the credit facility (provided that the fee will be 0.25% through approximately October 31, 2017).</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Credit Agreement contains customary affirmative covenants regarding, among other things, the maintenance of records, compliance with laws, maintenance of permits, maintenance of insurance and property and payment of taxes.</w:t>
      </w:r>
    </w:p>
    <w:p>
      <w:pPr>
        <w:spacing w:after="0" w:line="132"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Credit Agreement also contains certain customary financial covenants and negative covenants that, among other things, include a requirement to maintain a minimum fixed charge coverage ratio, a requirement to stay below a maximum senior leverage ratio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$5.0 million in any year absent of an event of default, plus limited exceptions for tax and administrative distributions), a restriction on the ability to consummate acquisitions in amounts exceeding $60.0 million individually and $80.0 million in the aggregate each year (in each case, without the consent of the lenders), restrictions on mergers, dispositions of assets, and affiliate transactions, and restrictions on fundamental changes and lines of business.</w:t>
      </w:r>
    </w:p>
    <w:p>
      <w:pPr>
        <w:spacing w:after="0" w:line="118"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Credit Agreement is attached hereto as Exhibit 10.3 and is incorporated herein by reference. The foregoing summary of the Credit Agreement does not purport to be a complete statement of the parties’ rights and obligations under the Credit Agreement, and is qualified in its entirety by reference to Exhibit 10.3.</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ind w:left="580" w:right="420" w:hanging="580"/>
        <w:spacing w:after="0" w:line="268"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the Company dated as of October 27, 2009 (filed on November 20, 2009 as Exhibit 3.1 to the Company’s Quarterly Report on Form 10-Q (File No. 001-34504) and incorporated by reference herein)</w:t>
      </w:r>
    </w:p>
    <w:p>
      <w:pPr>
        <w:spacing w:after="0" w:line="78" w:lineRule="exact"/>
        <w:rPr>
          <w:sz w:val="20"/>
          <w:szCs w:val="20"/>
          <w:color w:val="auto"/>
        </w:rPr>
      </w:pPr>
    </w:p>
    <w:p>
      <w:pPr>
        <w:ind w:left="580" w:right="320" w:hanging="580"/>
        <w:spacing w:after="0" w:line="332"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as amended by the First Amendment to the Amended and Restated Bylaws (filed on May 9, 2013 as Exhibit 3.2 to the Company’s Quarterly Report on Form 10-Q (File No. 001-34504) and incorporated by reference herein)</w:t>
      </w:r>
    </w:p>
    <w:p>
      <w:pPr>
        <w:spacing w:after="0" w:line="31"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Common Stock Certificate (filed on October 2, 2009 as Exhibit 4.1 to Amendment No. 4 to the Company’s Registration Statement on Form S-1 (File No. 333-160634) and incorporated by reference herein)</w:t>
      </w:r>
    </w:p>
    <w:p>
      <w:pPr>
        <w:spacing w:after="0" w:line="78" w:lineRule="exact"/>
        <w:rPr>
          <w:sz w:val="20"/>
          <w:szCs w:val="20"/>
          <w:color w:val="auto"/>
        </w:rPr>
      </w:pPr>
    </w:p>
    <w:p>
      <w:pPr>
        <w:ind w:left="580" w:right="300" w:hanging="580"/>
        <w:spacing w:after="0" w:line="256"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Registration Rights Agreement, dated September 19, 2006, by and among Addus HomeCare Corporation, Eos Capital Partners III, L.P., Eos Partners SBIC III, L.P., Freeport Loan Fund LLC, W. Andrew Wright, III, Addus Term Trust, W. Andrew Wright Grantor Retained Annuity Trust, Mark S. Heaney, James A. Wright and Courtney E. Panzer (filed on July 17, 2009 as Exhibit 4.2 to Addus HomeCare Corporation’s Registration Statement on Form S-1 (File No. 333-160634) and incorporated by reference herein)</w:t>
      </w:r>
    </w:p>
    <w:p>
      <w:pPr>
        <w:spacing w:after="0" w:line="8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dated January 16, 2017, by and between Addus HealthCare, Inc. and W. Bradley Bickham (filed on January 4, 2017 as Exhibit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 to Addus HomeCare Corporation’s Current Report on Form 8-K (File No. 001-34504) and incorporated by reference herein)+</w:t>
      </w:r>
    </w:p>
    <w:p>
      <w:pPr>
        <w:spacing w:after="0" w:line="111"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10.2</w:t>
        <w:tab/>
        <w:t>Separation Agreement and General Release, dated as of February 13, 2017, by and between Addus HomeCare Corporation and Maxine Hochhauser (filed on January 18, 2017 as Exhibit 10.1 to Addus HomeCare Corporation’s Current Report on Form 8-K (File No. 001-34504) and incorporated by reference herein)+</w:t>
      </w:r>
    </w:p>
    <w:p>
      <w:pPr>
        <w:spacing w:after="0" w:line="86" w:lineRule="exact"/>
        <w:rPr>
          <w:sz w:val="20"/>
          <w:szCs w:val="20"/>
          <w:color w:val="auto"/>
        </w:rPr>
      </w:pPr>
    </w:p>
    <w:p>
      <w:pPr>
        <w:ind w:left="580" w:right="220" w:hanging="580"/>
        <w:spacing w:after="0" w:line="268" w:lineRule="auto"/>
        <w:tabs>
          <w:tab w:leader="none" w:pos="560" w:val="left"/>
        </w:tabs>
        <w:rPr>
          <w:sz w:val="20"/>
          <w:szCs w:val="20"/>
          <w:color w:val="auto"/>
        </w:rPr>
      </w:pPr>
      <w:r>
        <w:rPr>
          <w:rFonts w:ascii="Arial" w:cs="Arial" w:eastAsia="Arial" w:hAnsi="Arial"/>
          <w:sz w:val="18"/>
          <w:szCs w:val="18"/>
          <w:color w:val="auto"/>
        </w:rPr>
        <w:t>10.3</w:t>
        <w:tab/>
        <w:t>Credit Agreement, dated as of May 8, 2017, by and among Addus Healthcare, Inc., as the Borrower, the other parties from time to time a party thereto, and Capital One, N.A., as a Lender and Swing Lender and as Agent for all Lenders*</w:t>
      </w:r>
    </w:p>
    <w:p>
      <w:pPr>
        <w:spacing w:after="0" w:line="78" w:lineRule="exact"/>
        <w:rPr>
          <w:sz w:val="20"/>
          <w:szCs w:val="20"/>
          <w:color w:val="auto"/>
        </w:rPr>
      </w:pPr>
    </w:p>
    <w:p>
      <w:pPr>
        <w:ind w:left="580" w:right="260" w:hanging="580"/>
        <w:spacing w:after="0" w:line="268" w:lineRule="auto"/>
        <w:tabs>
          <w:tab w:leader="none" w:pos="560" w:val="left"/>
        </w:tabs>
        <w:rPr>
          <w:sz w:val="20"/>
          <w:szCs w:val="20"/>
          <w:color w:val="auto"/>
        </w:rPr>
      </w:pPr>
      <w:r>
        <w:rPr>
          <w:rFonts w:ascii="Arial" w:cs="Arial" w:eastAsia="Arial" w:hAnsi="Arial"/>
          <w:sz w:val="18"/>
          <w:szCs w:val="18"/>
          <w:color w:val="auto"/>
        </w:rPr>
        <w:t>31.1</w:t>
        <w:tab/>
        <w:t>Certification of Chief Executive Officer Pursuant to Rule 13a-14(a) of the Securities Exchange Act of 1934 as Adopted Pursuant to Section 302 of the Sarbanes-Oxley Act of 2002*</w:t>
      </w:r>
    </w:p>
    <w:p>
      <w:pPr>
        <w:spacing w:after="0" w:line="78" w:lineRule="exact"/>
        <w:rPr>
          <w:sz w:val="20"/>
          <w:szCs w:val="20"/>
          <w:color w:val="auto"/>
        </w:rPr>
      </w:pPr>
    </w:p>
    <w:p>
      <w:pPr>
        <w:ind w:left="580" w:right="300" w:hanging="580"/>
        <w:spacing w:after="0" w:line="268" w:lineRule="auto"/>
        <w:tabs>
          <w:tab w:leader="none" w:pos="560" w:val="left"/>
        </w:tabs>
        <w:rPr>
          <w:sz w:val="20"/>
          <w:szCs w:val="20"/>
          <w:color w:val="auto"/>
        </w:rPr>
      </w:pPr>
      <w:r>
        <w:rPr>
          <w:rFonts w:ascii="Arial" w:cs="Arial" w:eastAsia="Arial" w:hAnsi="Arial"/>
          <w:sz w:val="18"/>
          <w:szCs w:val="18"/>
          <w:color w:val="auto"/>
        </w:rPr>
        <w:t>31.2</w:t>
        <w:tab/>
        <w:t>Certification of Chief Financial Officer Pursuant to Rule 13a-14(a) of the Securities Exchange Act of 1934 as Adopted Pursuant to Section 302 of the Sarbanes-Oxley Act of 2002*</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580" w:right="60" w:hanging="572"/>
        <w:spacing w:after="0" w:line="256"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Addus HomeCare Corporation for the quarter ended March 31, 2017, filed on May 9, 2017 formatted in XBRL: (i) Condensed Consolidated Balance Sheets, (ii) Condensed Consolidated Statements of Income, (iii) Condensed Consolidated Statements of Stockholders’ Equity, (iv) Condensed Consolidated Statements of Cash Flows, and (v) the Notes to Condensed Consolidated Financial Statements.*</w:t>
      </w:r>
    </w:p>
    <w:p>
      <w:pPr>
        <w:spacing w:after="0" w:line="18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700"/>
        <w:spacing w:after="0"/>
        <w:rPr>
          <w:sz w:val="20"/>
          <w:szCs w:val="20"/>
          <w:color w:val="auto"/>
        </w:rPr>
      </w:pPr>
      <w:r>
        <w:rPr>
          <w:rFonts w:ascii="Arial" w:cs="Arial" w:eastAsia="Arial" w:hAnsi="Arial"/>
          <w:sz w:val="18"/>
          <w:szCs w:val="18"/>
          <w:b w:val="1"/>
          <w:bCs w:val="1"/>
          <w:i w:val="1"/>
          <w:iCs w:val="1"/>
          <w:color w:val="auto"/>
        </w:rPr>
        <w:t>ADDUS HOMECARE CORPORATION</w:t>
      </w:r>
    </w:p>
    <w:p>
      <w:pPr>
        <w:spacing w:after="0" w:line="225" w:lineRule="exact"/>
        <w:rPr>
          <w:sz w:val="20"/>
          <w:szCs w:val="20"/>
          <w:color w:val="auto"/>
        </w:rPr>
      </w:pPr>
    </w:p>
    <w:p>
      <w:pPr>
        <w:spacing w:after="0"/>
        <w:tabs>
          <w:tab w:leader="none" w:pos="5100" w:val="left"/>
          <w:tab w:leader="none" w:pos="760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764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18"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R. Dirk Allison</w:t>
      </w:r>
    </w:p>
    <w:p>
      <w:pPr>
        <w:spacing w:after="0" w:line="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(As Principal Executive Officer)</w:t>
      </w:r>
    </w:p>
    <w:p>
      <w:pPr>
        <w:spacing w:after="0" w:line="232" w:lineRule="exact"/>
        <w:rPr>
          <w:sz w:val="20"/>
          <w:szCs w:val="20"/>
          <w:color w:val="auto"/>
        </w:rPr>
      </w:pPr>
    </w:p>
    <w:p>
      <w:pPr>
        <w:spacing w:after="0"/>
        <w:tabs>
          <w:tab w:leader="none" w:pos="5100" w:val="left"/>
          <w:tab w:leader="none" w:pos="782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10795</wp:posOffset>
            </wp:positionV>
            <wp:extent cx="3764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118"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Brian Poff</w:t>
      </w:r>
    </w:p>
    <w:p>
      <w:pPr>
        <w:spacing w:after="0" w:line="21"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500"/>
        <w:spacing w:after="0"/>
        <w:rPr>
          <w:sz w:val="20"/>
          <w:szCs w:val="20"/>
          <w:color w:val="auto"/>
        </w:rPr>
      </w:pPr>
      <w:r>
        <w:rPr>
          <w:rFonts w:ascii="Arial" w:cs="Arial" w:eastAsia="Arial" w:hAnsi="Arial"/>
          <w:sz w:val="18"/>
          <w:szCs w:val="18"/>
          <w:b w:val="1"/>
          <w:bCs w:val="1"/>
          <w:color w:val="auto"/>
        </w:rPr>
        <w:t>(As Principal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10.3</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$250,000,000 CREDIT FACILITY</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CREDIT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May 8,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ADDUS HEALTHCARE,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the Borrower,</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OTHER PERSONS PARTY HERETO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DESIGNATED FROM TIME TO TIME AS CREDIT PARTIES,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 itself, as a Lender and Swing Lender and as Agent for all Lenders,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Documentation Agent,</w:t>
      </w:r>
    </w:p>
    <w:p>
      <w:pPr>
        <w:spacing w:after="0" w:line="207" w:lineRule="exact"/>
        <w:rPr>
          <w:sz w:val="20"/>
          <w:szCs w:val="20"/>
          <w:color w:val="auto"/>
        </w:rPr>
      </w:pPr>
    </w:p>
    <w:p>
      <w:pPr>
        <w:jc w:val="center"/>
        <w:ind w:left="1000" w:right="2180"/>
        <w:spacing w:after="0" w:line="266" w:lineRule="auto"/>
        <w:rPr>
          <w:sz w:val="20"/>
          <w:szCs w:val="20"/>
          <w:color w:val="auto"/>
        </w:rPr>
      </w:pPr>
      <w:r>
        <w:rPr>
          <w:rFonts w:ascii="Arial" w:cs="Arial" w:eastAsia="Arial" w:hAnsi="Arial"/>
          <w:sz w:val="18"/>
          <w:szCs w:val="18"/>
          <w:b w:val="1"/>
          <w:bCs w:val="1"/>
          <w:color w:val="auto"/>
        </w:rPr>
        <w:t>BANK OF THE WEST, COMPASS BANK, FIFTH THIRD BANK and JPMORGAN CHASE BANK, N.A., as Co-Syndication Agents,</w:t>
      </w:r>
    </w:p>
    <w:p>
      <w:pPr>
        <w:spacing w:after="0" w:line="17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OTHER FINANCIAL INSTITUTIONS PARTY HERETO,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CAPITAL ONE, NATIONAL ASSOCIATION, BANK OF THE WEST, COMPASS BANK,</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FIFTH THIRD BANK, JPMORGAN CHASE BANK, N.A. 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SUNTRUST ROBINSON HUMPHREY,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Joint Lead Arrangers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168910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211455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400050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7660" w:type="dxa"/>
            <w:vAlign w:val="bottom"/>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1.1</w:t>
            </w:r>
          </w:p>
        </w:tc>
        <w:tc>
          <w:tcPr>
            <w:tcW w:w="766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1.2</w:t>
            </w:r>
          </w:p>
        </w:tc>
        <w:tc>
          <w:tcPr>
            <w:tcW w:w="7660" w:type="dxa"/>
            <w:vAlign w:val="bottom"/>
          </w:tcPr>
          <w:p>
            <w:pPr>
              <w:ind w:left="220"/>
              <w:spacing w:after="0"/>
              <w:rPr>
                <w:sz w:val="20"/>
                <w:szCs w:val="20"/>
                <w:color w:val="auto"/>
              </w:rPr>
            </w:pPr>
            <w:r>
              <w:rPr>
                <w:rFonts w:ascii="Arial" w:cs="Arial" w:eastAsia="Arial" w:hAnsi="Arial"/>
                <w:sz w:val="18"/>
                <w:szCs w:val="18"/>
                <w:color w:val="auto"/>
              </w:rPr>
              <w:t>Other Interpretive Provisions</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1.3</w:t>
            </w:r>
          </w:p>
        </w:tc>
        <w:tc>
          <w:tcPr>
            <w:tcW w:w="7660" w:type="dxa"/>
            <w:vAlign w:val="bottom"/>
          </w:tcPr>
          <w:p>
            <w:pPr>
              <w:ind w:left="220"/>
              <w:spacing w:after="0"/>
              <w:rPr>
                <w:sz w:val="20"/>
                <w:szCs w:val="20"/>
                <w:color w:val="auto"/>
              </w:rPr>
            </w:pPr>
            <w:r>
              <w:rPr>
                <w:rFonts w:ascii="Arial" w:cs="Arial" w:eastAsia="Arial" w:hAnsi="Arial"/>
                <w:sz w:val="18"/>
                <w:szCs w:val="18"/>
                <w:color w:val="auto"/>
              </w:rPr>
              <w:t>Accounting Terms and Principles</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1.4</w:t>
            </w:r>
          </w:p>
        </w:tc>
        <w:tc>
          <w:tcPr>
            <w:tcW w:w="76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1.5</w:t>
            </w:r>
          </w:p>
        </w:tc>
        <w:tc>
          <w:tcPr>
            <w:tcW w:w="7660" w:type="dxa"/>
            <w:vAlign w:val="bottom"/>
          </w:tcPr>
          <w:p>
            <w:pPr>
              <w:ind w:left="220"/>
              <w:spacing w:after="0"/>
              <w:rPr>
                <w:sz w:val="20"/>
                <w:szCs w:val="20"/>
                <w:color w:val="auto"/>
              </w:rPr>
            </w:pPr>
            <w:r>
              <w:rPr>
                <w:rFonts w:ascii="Arial" w:cs="Arial" w:eastAsia="Arial" w:hAnsi="Arial"/>
                <w:sz w:val="18"/>
                <w:szCs w:val="18"/>
                <w:color w:val="auto"/>
              </w:rPr>
              <w:t>Limited Condition Acquisitions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2.1</w:t>
            </w:r>
          </w:p>
        </w:tc>
        <w:tc>
          <w:tcPr>
            <w:tcW w:w="7660" w:type="dxa"/>
            <w:vAlign w:val="bottom"/>
          </w:tcPr>
          <w:p>
            <w:pPr>
              <w:ind w:left="220"/>
              <w:spacing w:after="0"/>
              <w:rPr>
                <w:sz w:val="20"/>
                <w:szCs w:val="20"/>
                <w:color w:val="auto"/>
              </w:rPr>
            </w:pPr>
            <w:r>
              <w:rPr>
                <w:rFonts w:ascii="Arial" w:cs="Arial" w:eastAsia="Arial" w:hAnsi="Arial"/>
                <w:sz w:val="18"/>
                <w:szCs w:val="18"/>
                <w:color w:val="auto"/>
              </w:rPr>
              <w:t>Amounts and Terms of Commitments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2.2</w:t>
            </w:r>
          </w:p>
        </w:tc>
        <w:tc>
          <w:tcPr>
            <w:tcW w:w="7660" w:type="dxa"/>
            <w:vAlign w:val="bottom"/>
          </w:tcPr>
          <w:p>
            <w:pPr>
              <w:ind w:left="220"/>
              <w:spacing w:after="0"/>
              <w:rPr>
                <w:sz w:val="20"/>
                <w:szCs w:val="20"/>
                <w:color w:val="auto"/>
              </w:rPr>
            </w:pPr>
            <w:r>
              <w:rPr>
                <w:rFonts w:ascii="Arial" w:cs="Arial" w:eastAsia="Arial" w:hAnsi="Arial"/>
                <w:sz w:val="18"/>
                <w:szCs w:val="18"/>
                <w:color w:val="auto"/>
              </w:rPr>
              <w:t>Evidence of Loans; Notes</w:t>
            </w:r>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2.3</w:t>
            </w:r>
          </w:p>
        </w:tc>
        <w:tc>
          <w:tcPr>
            <w:tcW w:w="7660" w:type="dxa"/>
            <w:vAlign w:val="bottom"/>
          </w:tcPr>
          <w:p>
            <w:pPr>
              <w:ind w:left="220"/>
              <w:spacing w:after="0"/>
              <w:rPr>
                <w:sz w:val="20"/>
                <w:szCs w:val="20"/>
                <w:color w:val="auto"/>
              </w:rPr>
            </w:pPr>
            <w:r>
              <w:rPr>
                <w:rFonts w:ascii="Arial" w:cs="Arial" w:eastAsia="Arial" w:hAnsi="Arial"/>
                <w:sz w:val="18"/>
                <w:szCs w:val="18"/>
                <w:color w:val="auto"/>
              </w:rPr>
              <w:t>Interest</w:t>
            </w:r>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2.4</w:t>
            </w:r>
          </w:p>
        </w:tc>
        <w:tc>
          <w:tcPr>
            <w:tcW w:w="7660" w:type="dxa"/>
            <w:vAlign w:val="bottom"/>
          </w:tcPr>
          <w:p>
            <w:pPr>
              <w:ind w:left="220"/>
              <w:spacing w:after="0"/>
              <w:rPr>
                <w:sz w:val="20"/>
                <w:szCs w:val="20"/>
                <w:color w:val="auto"/>
              </w:rPr>
            </w:pPr>
            <w:r>
              <w:rPr>
                <w:rFonts w:ascii="Arial" w:cs="Arial" w:eastAsia="Arial" w:hAnsi="Arial"/>
                <w:sz w:val="18"/>
                <w:szCs w:val="18"/>
                <w:color w:val="auto"/>
              </w:rPr>
              <w:t>Loan Accounts; Register</w:t>
            </w:r>
          </w:p>
        </w:tc>
        <w:tc>
          <w:tcPr>
            <w:tcW w:w="2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2.5</w:t>
            </w:r>
          </w:p>
        </w:tc>
        <w:tc>
          <w:tcPr>
            <w:tcW w:w="7660" w:type="dxa"/>
            <w:vAlign w:val="bottom"/>
          </w:tcPr>
          <w:p>
            <w:pPr>
              <w:ind w:left="220"/>
              <w:spacing w:after="0"/>
              <w:rPr>
                <w:sz w:val="20"/>
                <w:szCs w:val="20"/>
                <w:color w:val="auto"/>
              </w:rPr>
            </w:pPr>
            <w:r>
              <w:rPr>
                <w:rFonts w:ascii="Arial" w:cs="Arial" w:eastAsia="Arial" w:hAnsi="Arial"/>
                <w:sz w:val="18"/>
                <w:szCs w:val="18"/>
                <w:color w:val="auto"/>
              </w:rPr>
              <w:t>Procedure for Borrowing</w:t>
            </w:r>
          </w:p>
        </w:tc>
        <w:tc>
          <w:tcPr>
            <w:tcW w:w="2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2.6</w:t>
            </w:r>
          </w:p>
        </w:tc>
        <w:tc>
          <w:tcPr>
            <w:tcW w:w="7660" w:type="dxa"/>
            <w:vAlign w:val="bottom"/>
          </w:tcPr>
          <w:p>
            <w:pPr>
              <w:ind w:left="220"/>
              <w:spacing w:after="0"/>
              <w:rPr>
                <w:sz w:val="20"/>
                <w:szCs w:val="20"/>
                <w:color w:val="auto"/>
              </w:rPr>
            </w:pPr>
            <w:r>
              <w:rPr>
                <w:rFonts w:ascii="Arial" w:cs="Arial" w:eastAsia="Arial" w:hAnsi="Arial"/>
                <w:sz w:val="18"/>
                <w:szCs w:val="18"/>
                <w:color w:val="auto"/>
              </w:rPr>
              <w:t>Conversion and Continuation Elections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2.7</w:t>
            </w:r>
          </w:p>
        </w:tc>
        <w:tc>
          <w:tcPr>
            <w:tcW w:w="7660" w:type="dxa"/>
            <w:vAlign w:val="bottom"/>
          </w:tcPr>
          <w:p>
            <w:pPr>
              <w:ind w:left="220"/>
              <w:spacing w:after="0"/>
              <w:rPr>
                <w:sz w:val="20"/>
                <w:szCs w:val="20"/>
                <w:color w:val="auto"/>
              </w:rPr>
            </w:pPr>
            <w:r>
              <w:rPr>
                <w:rFonts w:ascii="Arial" w:cs="Arial" w:eastAsia="Arial" w:hAnsi="Arial"/>
                <w:sz w:val="18"/>
                <w:szCs w:val="18"/>
                <w:color w:val="auto"/>
              </w:rPr>
              <w:t>Optional Prepayments and Reductions in Revolving Loan Commitments</w:t>
            </w:r>
          </w:p>
        </w:tc>
        <w:tc>
          <w:tcPr>
            <w:tcW w:w="2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2.8</w:t>
            </w:r>
          </w:p>
        </w:tc>
        <w:tc>
          <w:tcPr>
            <w:tcW w:w="7660" w:type="dxa"/>
            <w:vAlign w:val="bottom"/>
          </w:tcPr>
          <w:p>
            <w:pPr>
              <w:ind w:left="220"/>
              <w:spacing w:after="0"/>
              <w:rPr>
                <w:sz w:val="20"/>
                <w:szCs w:val="20"/>
                <w:color w:val="auto"/>
              </w:rPr>
            </w:pPr>
            <w:r>
              <w:rPr>
                <w:rFonts w:ascii="Arial" w:cs="Arial" w:eastAsia="Arial" w:hAnsi="Arial"/>
                <w:sz w:val="18"/>
                <w:szCs w:val="18"/>
                <w:color w:val="auto"/>
              </w:rPr>
              <w:t>Mandatory Prepayments of Loans and Commitment Reductions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2.9</w:t>
            </w:r>
          </w:p>
        </w:tc>
        <w:tc>
          <w:tcPr>
            <w:tcW w:w="7660" w:type="dxa"/>
            <w:vAlign w:val="bottom"/>
          </w:tcPr>
          <w:p>
            <w:pPr>
              <w:ind w:left="220"/>
              <w:spacing w:after="0"/>
              <w:rPr>
                <w:sz w:val="20"/>
                <w:szCs w:val="20"/>
                <w:color w:val="auto"/>
              </w:rPr>
            </w:pPr>
            <w:r>
              <w:rPr>
                <w:rFonts w:ascii="Arial" w:cs="Arial" w:eastAsia="Arial" w:hAnsi="Arial"/>
                <w:sz w:val="18"/>
                <w:szCs w:val="18"/>
                <w:color w:val="auto"/>
              </w:rPr>
              <w:t>Fees</w:t>
            </w:r>
          </w:p>
        </w:tc>
        <w:tc>
          <w:tcPr>
            <w:tcW w:w="2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2.10</w:t>
            </w:r>
          </w:p>
        </w:tc>
        <w:tc>
          <w:tcPr>
            <w:tcW w:w="7660" w:type="dxa"/>
            <w:vAlign w:val="bottom"/>
          </w:tcPr>
          <w:p>
            <w:pPr>
              <w:ind w:left="220"/>
              <w:spacing w:after="0"/>
              <w:rPr>
                <w:sz w:val="20"/>
                <w:szCs w:val="20"/>
                <w:color w:val="auto"/>
              </w:rPr>
            </w:pPr>
            <w:r>
              <w:rPr>
                <w:rFonts w:ascii="Arial" w:cs="Arial" w:eastAsia="Arial" w:hAnsi="Arial"/>
                <w:sz w:val="18"/>
                <w:szCs w:val="18"/>
                <w:color w:val="auto"/>
              </w:rPr>
              <w:t>Payments by the Borrower</w:t>
            </w:r>
          </w:p>
        </w:tc>
        <w:tc>
          <w:tcPr>
            <w:tcW w:w="2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2.11</w:t>
            </w:r>
          </w:p>
        </w:tc>
        <w:tc>
          <w:tcPr>
            <w:tcW w:w="7660" w:type="dxa"/>
            <w:vAlign w:val="bottom"/>
          </w:tcPr>
          <w:p>
            <w:pPr>
              <w:ind w:left="220"/>
              <w:spacing w:after="0"/>
              <w:rPr>
                <w:sz w:val="20"/>
                <w:szCs w:val="20"/>
                <w:color w:val="auto"/>
              </w:rPr>
            </w:pPr>
            <w:r>
              <w:rPr>
                <w:rFonts w:ascii="Arial" w:cs="Arial" w:eastAsia="Arial" w:hAnsi="Arial"/>
                <w:sz w:val="18"/>
                <w:szCs w:val="18"/>
                <w:color w:val="auto"/>
              </w:rPr>
              <w:t>Payments by the Lenders to Agent; Settlement</w:t>
            </w:r>
          </w:p>
        </w:tc>
        <w:tc>
          <w:tcPr>
            <w:tcW w:w="2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2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3.1</w:t>
            </w:r>
          </w:p>
        </w:tc>
        <w:tc>
          <w:tcPr>
            <w:tcW w:w="7660" w:type="dxa"/>
            <w:vAlign w:val="bottom"/>
          </w:tcPr>
          <w:p>
            <w:pPr>
              <w:ind w:left="220"/>
              <w:spacing w:after="0"/>
              <w:rPr>
                <w:sz w:val="20"/>
                <w:szCs w:val="20"/>
                <w:color w:val="auto"/>
              </w:rPr>
            </w:pPr>
            <w:r>
              <w:rPr>
                <w:rFonts w:ascii="Arial" w:cs="Arial" w:eastAsia="Arial" w:hAnsi="Arial"/>
                <w:sz w:val="18"/>
                <w:szCs w:val="18"/>
                <w:color w:val="auto"/>
              </w:rPr>
              <w:t>Conditions of Initial Loans</w:t>
            </w:r>
          </w:p>
        </w:tc>
        <w:tc>
          <w:tcPr>
            <w:tcW w:w="2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3.2</w:t>
            </w:r>
          </w:p>
        </w:tc>
        <w:tc>
          <w:tcPr>
            <w:tcW w:w="7660" w:type="dxa"/>
            <w:vAlign w:val="bottom"/>
          </w:tcPr>
          <w:p>
            <w:pPr>
              <w:ind w:left="220"/>
              <w:spacing w:after="0"/>
              <w:rPr>
                <w:sz w:val="20"/>
                <w:szCs w:val="20"/>
                <w:color w:val="auto"/>
              </w:rPr>
            </w:pPr>
            <w:r>
              <w:rPr>
                <w:rFonts w:ascii="Arial" w:cs="Arial" w:eastAsia="Arial" w:hAnsi="Arial"/>
                <w:sz w:val="18"/>
                <w:szCs w:val="18"/>
                <w:color w:val="auto"/>
              </w:rPr>
              <w:t>Conditions to Certain Revolving Commitment Borrowings</w:t>
            </w:r>
          </w:p>
        </w:tc>
        <w:tc>
          <w:tcPr>
            <w:tcW w:w="2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3.3</w:t>
            </w:r>
          </w:p>
        </w:tc>
        <w:tc>
          <w:tcPr>
            <w:tcW w:w="7660" w:type="dxa"/>
            <w:vAlign w:val="bottom"/>
          </w:tcPr>
          <w:p>
            <w:pPr>
              <w:ind w:left="220"/>
              <w:spacing w:after="0"/>
              <w:rPr>
                <w:sz w:val="20"/>
                <w:szCs w:val="20"/>
                <w:color w:val="auto"/>
              </w:rPr>
            </w:pPr>
            <w:r>
              <w:rPr>
                <w:rFonts w:ascii="Arial" w:cs="Arial" w:eastAsia="Arial" w:hAnsi="Arial"/>
                <w:sz w:val="18"/>
                <w:szCs w:val="18"/>
                <w:color w:val="auto"/>
              </w:rPr>
              <w:t>Conditions to Term Loan Borrowings</w:t>
            </w:r>
          </w:p>
        </w:tc>
        <w:tc>
          <w:tcPr>
            <w:tcW w:w="2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4.1</w:t>
            </w:r>
          </w:p>
        </w:tc>
        <w:tc>
          <w:tcPr>
            <w:tcW w:w="7660" w:type="dxa"/>
            <w:vAlign w:val="bottom"/>
          </w:tcPr>
          <w:p>
            <w:pPr>
              <w:ind w:left="220"/>
              <w:spacing w:after="0"/>
              <w:rPr>
                <w:sz w:val="20"/>
                <w:szCs w:val="20"/>
                <w:color w:val="auto"/>
              </w:rPr>
            </w:pPr>
            <w:r>
              <w:rPr>
                <w:rFonts w:ascii="Arial" w:cs="Arial" w:eastAsia="Arial" w:hAnsi="Arial"/>
                <w:sz w:val="18"/>
                <w:szCs w:val="18"/>
                <w:color w:val="auto"/>
              </w:rPr>
              <w:t>Corporate Existence and Power</w:t>
            </w:r>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4.2</w:t>
            </w:r>
          </w:p>
        </w:tc>
        <w:tc>
          <w:tcPr>
            <w:tcW w:w="7660" w:type="dxa"/>
            <w:vAlign w:val="bottom"/>
          </w:tcPr>
          <w:p>
            <w:pPr>
              <w:ind w:left="220"/>
              <w:spacing w:after="0"/>
              <w:rPr>
                <w:sz w:val="20"/>
                <w:szCs w:val="20"/>
                <w:color w:val="auto"/>
              </w:rPr>
            </w:pPr>
            <w:r>
              <w:rPr>
                <w:rFonts w:ascii="Arial" w:cs="Arial" w:eastAsia="Arial" w:hAnsi="Arial"/>
                <w:sz w:val="18"/>
                <w:szCs w:val="18"/>
                <w:color w:val="auto"/>
              </w:rPr>
              <w:t>Corporate Authorization; No Contravention</w:t>
            </w:r>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4.3</w:t>
            </w:r>
          </w:p>
        </w:tc>
        <w:tc>
          <w:tcPr>
            <w:tcW w:w="7660" w:type="dxa"/>
            <w:vAlign w:val="bottom"/>
          </w:tcPr>
          <w:p>
            <w:pPr>
              <w:ind w:left="220"/>
              <w:spacing w:after="0"/>
              <w:rPr>
                <w:sz w:val="20"/>
                <w:szCs w:val="20"/>
                <w:color w:val="auto"/>
              </w:rPr>
            </w:pPr>
            <w:r>
              <w:rPr>
                <w:rFonts w:ascii="Arial" w:cs="Arial" w:eastAsia="Arial" w:hAnsi="Arial"/>
                <w:sz w:val="18"/>
                <w:szCs w:val="18"/>
                <w:color w:val="auto"/>
              </w:rPr>
              <w:t>Governmental Authorization</w:t>
            </w:r>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4.4</w:t>
            </w:r>
          </w:p>
        </w:tc>
        <w:tc>
          <w:tcPr>
            <w:tcW w:w="766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4.5</w:t>
            </w:r>
          </w:p>
        </w:tc>
        <w:tc>
          <w:tcPr>
            <w:tcW w:w="7660" w:type="dxa"/>
            <w:vAlign w:val="bottom"/>
          </w:tcPr>
          <w:p>
            <w:pPr>
              <w:ind w:left="220"/>
              <w:spacing w:after="0"/>
              <w:rPr>
                <w:sz w:val="20"/>
                <w:szCs w:val="20"/>
                <w:color w:val="auto"/>
              </w:rPr>
            </w:pPr>
            <w:r>
              <w:rPr>
                <w:rFonts w:ascii="Arial" w:cs="Arial" w:eastAsia="Arial" w:hAnsi="Arial"/>
                <w:sz w:val="18"/>
                <w:szCs w:val="18"/>
                <w:color w:val="auto"/>
              </w:rPr>
              <w:t>Litigation</w:t>
            </w: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4.6</w:t>
            </w:r>
          </w:p>
        </w:tc>
        <w:tc>
          <w:tcPr>
            <w:tcW w:w="7660" w:type="dxa"/>
            <w:vAlign w:val="bottom"/>
          </w:tcPr>
          <w:p>
            <w:pPr>
              <w:ind w:left="220"/>
              <w:spacing w:after="0"/>
              <w:rPr>
                <w:sz w:val="20"/>
                <w:szCs w:val="20"/>
                <w:color w:val="auto"/>
              </w:rPr>
            </w:pPr>
            <w:r>
              <w:rPr>
                <w:rFonts w:ascii="Arial" w:cs="Arial" w:eastAsia="Arial" w:hAnsi="Arial"/>
                <w:sz w:val="18"/>
                <w:szCs w:val="18"/>
                <w:color w:val="auto"/>
              </w:rPr>
              <w:t>No Default</w:t>
            </w: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4.7</w:t>
            </w:r>
          </w:p>
        </w:tc>
        <w:tc>
          <w:tcPr>
            <w:tcW w:w="7660" w:type="dxa"/>
            <w:vAlign w:val="bottom"/>
          </w:tcPr>
          <w:p>
            <w:pPr>
              <w:ind w:left="220"/>
              <w:spacing w:after="0"/>
              <w:rPr>
                <w:sz w:val="20"/>
                <w:szCs w:val="20"/>
                <w:color w:val="auto"/>
              </w:rPr>
            </w:pPr>
            <w:r>
              <w:rPr>
                <w:rFonts w:ascii="Arial" w:cs="Arial" w:eastAsia="Arial" w:hAnsi="Arial"/>
                <w:sz w:val="18"/>
                <w:szCs w:val="18"/>
                <w:color w:val="auto"/>
              </w:rPr>
              <w:t>ERISA Compliance</w:t>
            </w:r>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4.8</w:t>
            </w:r>
          </w:p>
        </w:tc>
        <w:tc>
          <w:tcPr>
            <w:tcW w:w="7660" w:type="dxa"/>
            <w:vAlign w:val="bottom"/>
          </w:tcPr>
          <w:p>
            <w:pPr>
              <w:ind w:left="220"/>
              <w:spacing w:after="0"/>
              <w:rPr>
                <w:sz w:val="20"/>
                <w:szCs w:val="20"/>
                <w:color w:val="auto"/>
              </w:rPr>
            </w:pPr>
            <w:r>
              <w:rPr>
                <w:rFonts w:ascii="Arial" w:cs="Arial" w:eastAsia="Arial" w:hAnsi="Arial"/>
                <w:sz w:val="18"/>
                <w:szCs w:val="18"/>
                <w:color w:val="auto"/>
              </w:rPr>
              <w:t>Use of Proceeds; Margin Regulations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4.9</w:t>
            </w:r>
          </w:p>
        </w:tc>
        <w:tc>
          <w:tcPr>
            <w:tcW w:w="7660" w:type="dxa"/>
            <w:vAlign w:val="bottom"/>
          </w:tcPr>
          <w:p>
            <w:pPr>
              <w:ind w:left="220"/>
              <w:spacing w:after="0"/>
              <w:rPr>
                <w:sz w:val="20"/>
                <w:szCs w:val="20"/>
                <w:color w:val="auto"/>
              </w:rPr>
            </w:pPr>
            <w:r>
              <w:rPr>
                <w:rFonts w:ascii="Arial" w:cs="Arial" w:eastAsia="Arial" w:hAnsi="Arial"/>
                <w:sz w:val="18"/>
                <w:szCs w:val="18"/>
                <w:color w:val="auto"/>
              </w:rPr>
              <w:t>Ownership of Property; Liens</w:t>
            </w: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4.10</w:t>
            </w:r>
          </w:p>
        </w:tc>
        <w:tc>
          <w:tcPr>
            <w:tcW w:w="7660" w:type="dxa"/>
            <w:vAlign w:val="bottom"/>
          </w:tcPr>
          <w:p>
            <w:pPr>
              <w:ind w:left="220"/>
              <w:spacing w:after="0"/>
              <w:rPr>
                <w:sz w:val="20"/>
                <w:szCs w:val="20"/>
                <w:color w:val="auto"/>
              </w:rPr>
            </w:pPr>
            <w:r>
              <w:rPr>
                <w:rFonts w:ascii="Arial" w:cs="Arial" w:eastAsia="Arial" w:hAnsi="Arial"/>
                <w:sz w:val="18"/>
                <w:szCs w:val="18"/>
                <w:color w:val="auto"/>
              </w:rPr>
              <w:t>Taxes</w:t>
            </w: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4.11</w:t>
            </w:r>
          </w:p>
        </w:tc>
        <w:tc>
          <w:tcPr>
            <w:tcW w:w="7660" w:type="dxa"/>
            <w:vAlign w:val="bottom"/>
          </w:tcPr>
          <w:p>
            <w:pPr>
              <w:ind w:left="220"/>
              <w:spacing w:after="0"/>
              <w:rPr>
                <w:sz w:val="20"/>
                <w:szCs w:val="20"/>
                <w:color w:val="auto"/>
              </w:rPr>
            </w:pPr>
            <w:r>
              <w:rPr>
                <w:rFonts w:ascii="Arial" w:cs="Arial" w:eastAsia="Arial" w:hAnsi="Arial"/>
                <w:sz w:val="18"/>
                <w:szCs w:val="18"/>
                <w:color w:val="auto"/>
              </w:rPr>
              <w:t>Financial Condition</w:t>
            </w:r>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4.12</w:t>
            </w:r>
          </w:p>
        </w:tc>
        <w:tc>
          <w:tcPr>
            <w:tcW w:w="766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4.13</w:t>
            </w:r>
          </w:p>
        </w:tc>
        <w:tc>
          <w:tcPr>
            <w:tcW w:w="7660" w:type="dxa"/>
            <w:vAlign w:val="bottom"/>
          </w:tcPr>
          <w:p>
            <w:pPr>
              <w:ind w:left="220"/>
              <w:spacing w:after="0"/>
              <w:rPr>
                <w:sz w:val="20"/>
                <w:szCs w:val="20"/>
                <w:color w:val="auto"/>
              </w:rPr>
            </w:pPr>
            <w:r>
              <w:rPr>
                <w:rFonts w:ascii="Arial" w:cs="Arial" w:eastAsia="Arial" w:hAnsi="Arial"/>
                <w:sz w:val="18"/>
                <w:szCs w:val="18"/>
                <w:color w:val="auto"/>
              </w:rPr>
              <w:t>Regulated Entities</w:t>
            </w:r>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4.14</w:t>
            </w:r>
          </w:p>
        </w:tc>
        <w:tc>
          <w:tcPr>
            <w:tcW w:w="7660" w:type="dxa"/>
            <w:vAlign w:val="bottom"/>
          </w:tcPr>
          <w:p>
            <w:pPr>
              <w:ind w:left="220"/>
              <w:spacing w:after="0"/>
              <w:rPr>
                <w:sz w:val="20"/>
                <w:szCs w:val="20"/>
                <w:color w:val="auto"/>
              </w:rPr>
            </w:pPr>
            <w:r>
              <w:rPr>
                <w:rFonts w:ascii="Arial" w:cs="Arial" w:eastAsia="Arial" w:hAnsi="Arial"/>
                <w:sz w:val="18"/>
                <w:szCs w:val="18"/>
                <w:color w:val="auto"/>
              </w:rPr>
              <w:t>Solvency</w:t>
            </w:r>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4.15</w:t>
            </w:r>
          </w:p>
        </w:tc>
        <w:tc>
          <w:tcPr>
            <w:tcW w:w="7660" w:type="dxa"/>
            <w:vAlign w:val="bottom"/>
          </w:tcPr>
          <w:p>
            <w:pPr>
              <w:ind w:left="220"/>
              <w:spacing w:after="0"/>
              <w:rPr>
                <w:sz w:val="20"/>
                <w:szCs w:val="20"/>
                <w:color w:val="auto"/>
              </w:rPr>
            </w:pPr>
            <w:r>
              <w:rPr>
                <w:rFonts w:ascii="Arial" w:cs="Arial" w:eastAsia="Arial" w:hAnsi="Arial"/>
                <w:sz w:val="18"/>
                <w:szCs w:val="18"/>
                <w:color w:val="auto"/>
              </w:rPr>
              <w:t>Labor Relations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4.16</w:t>
            </w:r>
          </w:p>
        </w:tc>
        <w:tc>
          <w:tcPr>
            <w:tcW w:w="766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4.17</w:t>
            </w:r>
          </w:p>
        </w:tc>
        <w:tc>
          <w:tcPr>
            <w:tcW w:w="7660" w:type="dxa"/>
            <w:vAlign w:val="bottom"/>
          </w:tcPr>
          <w:p>
            <w:pPr>
              <w:ind w:left="220"/>
              <w:spacing w:after="0"/>
              <w:rPr>
                <w:sz w:val="20"/>
                <w:szCs w:val="20"/>
                <w:color w:val="auto"/>
              </w:rPr>
            </w:pPr>
            <w:r>
              <w:rPr>
                <w:rFonts w:ascii="Arial" w:cs="Arial" w:eastAsia="Arial" w:hAnsi="Arial"/>
                <w:sz w:val="18"/>
                <w:szCs w:val="18"/>
                <w:color w:val="auto"/>
              </w:rPr>
              <w:t>Brokers’ Fees; Transaction Fees</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4.18</w:t>
            </w:r>
          </w:p>
        </w:tc>
        <w:tc>
          <w:tcPr>
            <w:tcW w:w="7660" w:type="dxa"/>
            <w:vAlign w:val="bottom"/>
          </w:tcPr>
          <w:p>
            <w:pPr>
              <w:ind w:left="220"/>
              <w:spacing w:after="0"/>
              <w:rPr>
                <w:sz w:val="20"/>
                <w:szCs w:val="20"/>
                <w:color w:val="auto"/>
              </w:rPr>
            </w:pPr>
            <w:r>
              <w:rPr>
                <w:rFonts w:ascii="Arial" w:cs="Arial" w:eastAsia="Arial" w:hAnsi="Arial"/>
                <w:sz w:val="18"/>
                <w:szCs w:val="18"/>
                <w:color w:val="auto"/>
              </w:rPr>
              <w:t>Ventures, Subsidiaries and Affiliates; Outstanding Stock</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4.19</w:t>
            </w:r>
          </w:p>
        </w:tc>
        <w:tc>
          <w:tcPr>
            <w:tcW w:w="7660" w:type="dxa"/>
            <w:vAlign w:val="bottom"/>
          </w:tcPr>
          <w:p>
            <w:pPr>
              <w:ind w:left="220"/>
              <w:spacing w:after="0"/>
              <w:rPr>
                <w:sz w:val="20"/>
                <w:szCs w:val="20"/>
                <w:color w:val="auto"/>
              </w:rPr>
            </w:pPr>
            <w:r>
              <w:rPr>
                <w:rFonts w:ascii="Arial" w:cs="Arial" w:eastAsia="Arial" w:hAnsi="Arial"/>
                <w:sz w:val="18"/>
                <w:szCs w:val="18"/>
                <w:color w:val="auto"/>
              </w:rPr>
              <w:t>Jurisdiction of Organization; Chief Executive Office</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4.20</w:t>
            </w:r>
          </w:p>
        </w:tc>
        <w:tc>
          <w:tcPr>
            <w:tcW w:w="7660" w:type="dxa"/>
            <w:vAlign w:val="bottom"/>
          </w:tcPr>
          <w:p>
            <w:pPr>
              <w:ind w:left="220"/>
              <w:spacing w:after="0"/>
              <w:rPr>
                <w:sz w:val="20"/>
                <w:szCs w:val="20"/>
                <w:color w:val="auto"/>
              </w:rPr>
            </w:pPr>
            <w:r>
              <w:rPr>
                <w:rFonts w:ascii="Arial" w:cs="Arial" w:eastAsia="Arial" w:hAnsi="Arial"/>
                <w:sz w:val="18"/>
                <w:szCs w:val="18"/>
                <w:color w:val="auto"/>
              </w:rPr>
              <w:t>Deposit Accounts and Other Accounts</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4.21</w:t>
            </w:r>
          </w:p>
        </w:tc>
        <w:tc>
          <w:tcPr>
            <w:tcW w:w="7660" w:type="dxa"/>
            <w:vAlign w:val="bottom"/>
          </w:tcPr>
          <w:p>
            <w:pPr>
              <w:ind w:left="220"/>
              <w:spacing w:after="0"/>
              <w:rPr>
                <w:sz w:val="20"/>
                <w:szCs w:val="20"/>
                <w:color w:val="auto"/>
              </w:rPr>
            </w:pPr>
            <w:r>
              <w:rPr>
                <w:rFonts w:ascii="Arial" w:cs="Arial" w:eastAsia="Arial" w:hAnsi="Arial"/>
                <w:sz w:val="18"/>
                <w:szCs w:val="18"/>
                <w:color w:val="auto"/>
              </w:rPr>
              <w:t>Full Disclosure</w:t>
            </w:r>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4.22</w:t>
            </w:r>
          </w:p>
        </w:tc>
        <w:tc>
          <w:tcPr>
            <w:tcW w:w="8240" w:type="dxa"/>
            <w:vAlign w:val="bottom"/>
          </w:tcPr>
          <w:p>
            <w:pPr>
              <w:ind w:left="220"/>
              <w:spacing w:after="0"/>
              <w:rPr>
                <w:sz w:val="20"/>
                <w:szCs w:val="20"/>
                <w:color w:val="auto"/>
              </w:rPr>
            </w:pPr>
            <w:r>
              <w:rPr>
                <w:rFonts w:ascii="Arial" w:cs="Arial" w:eastAsia="Arial" w:hAnsi="Arial"/>
                <w:sz w:val="18"/>
                <w:szCs w:val="18"/>
                <w:color w:val="auto"/>
              </w:rPr>
              <w:t>Regulatory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4.23</w:t>
            </w:r>
          </w:p>
        </w:tc>
        <w:tc>
          <w:tcPr>
            <w:tcW w:w="8240" w:type="dxa"/>
            <w:vAlign w:val="bottom"/>
          </w:tcPr>
          <w:p>
            <w:pPr>
              <w:ind w:left="220"/>
              <w:spacing w:after="0"/>
              <w:rPr>
                <w:sz w:val="20"/>
                <w:szCs w:val="20"/>
                <w:color w:val="auto"/>
              </w:rPr>
            </w:pPr>
            <w:r>
              <w:rPr>
                <w:rFonts w:ascii="Arial" w:cs="Arial" w:eastAsia="Arial" w:hAnsi="Arial"/>
                <w:sz w:val="18"/>
                <w:szCs w:val="18"/>
                <w:color w:val="auto"/>
              </w:rPr>
              <w:t>Foreign Assets Control Regulations; Anti-Money Laundering; Anti-Corruption Practices</w:t>
            </w:r>
          </w:p>
        </w:tc>
        <w:tc>
          <w:tcPr>
            <w:tcW w:w="1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4.24</w:t>
            </w:r>
          </w:p>
        </w:tc>
        <w:tc>
          <w:tcPr>
            <w:tcW w:w="8240" w:type="dxa"/>
            <w:vAlign w:val="bottom"/>
          </w:tcPr>
          <w:p>
            <w:pPr>
              <w:ind w:left="220"/>
              <w:spacing w:after="0"/>
              <w:rPr>
                <w:sz w:val="20"/>
                <w:szCs w:val="20"/>
                <w:color w:val="auto"/>
              </w:rPr>
            </w:pPr>
            <w:r>
              <w:rPr>
                <w:rFonts w:ascii="Arial" w:cs="Arial" w:eastAsia="Arial" w:hAnsi="Arial"/>
                <w:sz w:val="18"/>
                <w:szCs w:val="18"/>
                <w:color w:val="auto"/>
              </w:rPr>
              <w:t>Subordinated Debt</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5.1</w:t>
            </w:r>
          </w:p>
        </w:tc>
        <w:tc>
          <w:tcPr>
            <w:tcW w:w="8240" w:type="dxa"/>
            <w:vAlign w:val="bottom"/>
          </w:tcPr>
          <w:p>
            <w:pPr>
              <w:ind w:left="22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5.2</w:t>
            </w:r>
          </w:p>
        </w:tc>
        <w:tc>
          <w:tcPr>
            <w:tcW w:w="8240" w:type="dxa"/>
            <w:vAlign w:val="bottom"/>
          </w:tcPr>
          <w:p>
            <w:pPr>
              <w:ind w:left="220"/>
              <w:spacing w:after="0"/>
              <w:rPr>
                <w:sz w:val="20"/>
                <w:szCs w:val="20"/>
                <w:color w:val="auto"/>
              </w:rPr>
            </w:pPr>
            <w:r>
              <w:rPr>
                <w:rFonts w:ascii="Arial" w:cs="Arial" w:eastAsia="Arial" w:hAnsi="Arial"/>
                <w:sz w:val="18"/>
                <w:szCs w:val="18"/>
                <w:color w:val="auto"/>
              </w:rPr>
              <w:t>Certificates; Other Information</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5.3</w:t>
            </w:r>
          </w:p>
        </w:tc>
        <w:tc>
          <w:tcPr>
            <w:tcW w:w="8240" w:type="dxa"/>
            <w:vAlign w:val="bottom"/>
          </w:tcPr>
          <w:p>
            <w:pPr>
              <w:ind w:left="22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5.4</w:t>
            </w:r>
          </w:p>
        </w:tc>
        <w:tc>
          <w:tcPr>
            <w:tcW w:w="8240" w:type="dxa"/>
            <w:vAlign w:val="bottom"/>
          </w:tcPr>
          <w:p>
            <w:pPr>
              <w:ind w:left="220"/>
              <w:spacing w:after="0"/>
              <w:rPr>
                <w:sz w:val="20"/>
                <w:szCs w:val="20"/>
                <w:color w:val="auto"/>
              </w:rPr>
            </w:pPr>
            <w:r>
              <w:rPr>
                <w:rFonts w:ascii="Arial" w:cs="Arial" w:eastAsia="Arial" w:hAnsi="Arial"/>
                <w:sz w:val="18"/>
                <w:szCs w:val="18"/>
                <w:color w:val="auto"/>
              </w:rPr>
              <w:t>Preservation of Corporate Existence, Etc.</w:t>
            </w:r>
          </w:p>
        </w:tc>
        <w:tc>
          <w:tcPr>
            <w:tcW w:w="1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5.5</w:t>
            </w:r>
          </w:p>
        </w:tc>
        <w:tc>
          <w:tcPr>
            <w:tcW w:w="8240" w:type="dxa"/>
            <w:vAlign w:val="bottom"/>
          </w:tcPr>
          <w:p>
            <w:pPr>
              <w:ind w:left="220"/>
              <w:spacing w:after="0"/>
              <w:rPr>
                <w:sz w:val="20"/>
                <w:szCs w:val="20"/>
                <w:color w:val="auto"/>
              </w:rPr>
            </w:pPr>
            <w:r>
              <w:rPr>
                <w:rFonts w:ascii="Arial" w:cs="Arial" w:eastAsia="Arial" w:hAnsi="Arial"/>
                <w:sz w:val="18"/>
                <w:szCs w:val="18"/>
                <w:color w:val="auto"/>
              </w:rPr>
              <w:t>Maintenance of Property</w:t>
            </w:r>
          </w:p>
        </w:tc>
        <w:tc>
          <w:tcPr>
            <w:tcW w:w="1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5.6</w:t>
            </w:r>
          </w:p>
        </w:tc>
        <w:tc>
          <w:tcPr>
            <w:tcW w:w="824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5.7</w:t>
            </w:r>
          </w:p>
        </w:tc>
        <w:tc>
          <w:tcPr>
            <w:tcW w:w="8240" w:type="dxa"/>
            <w:vAlign w:val="bottom"/>
          </w:tcPr>
          <w:p>
            <w:pPr>
              <w:ind w:left="220"/>
              <w:spacing w:after="0"/>
              <w:rPr>
                <w:sz w:val="20"/>
                <w:szCs w:val="20"/>
                <w:color w:val="auto"/>
              </w:rPr>
            </w:pPr>
            <w:r>
              <w:rPr>
                <w:rFonts w:ascii="Arial" w:cs="Arial" w:eastAsia="Arial" w:hAnsi="Arial"/>
                <w:sz w:val="18"/>
                <w:szCs w:val="18"/>
                <w:color w:val="auto"/>
              </w:rPr>
              <w:t>Payment of Tax and Certain Secured Obligations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5.8</w:t>
            </w:r>
          </w:p>
        </w:tc>
        <w:tc>
          <w:tcPr>
            <w:tcW w:w="8240" w:type="dxa"/>
            <w:vAlign w:val="bottom"/>
          </w:tcPr>
          <w:p>
            <w:pPr>
              <w:ind w:left="220"/>
              <w:spacing w:after="0"/>
              <w:rPr>
                <w:sz w:val="20"/>
                <w:szCs w:val="20"/>
                <w:color w:val="auto"/>
              </w:rPr>
            </w:pPr>
            <w:r>
              <w:rPr>
                <w:rFonts w:ascii="Arial" w:cs="Arial" w:eastAsia="Arial" w:hAnsi="Arial"/>
                <w:sz w:val="18"/>
                <w:szCs w:val="18"/>
                <w:color w:val="auto"/>
              </w:rPr>
              <w:t>Compliance with Laws</w:t>
            </w:r>
          </w:p>
        </w:tc>
        <w:tc>
          <w:tcPr>
            <w:tcW w:w="1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5.9</w:t>
            </w:r>
          </w:p>
        </w:tc>
        <w:tc>
          <w:tcPr>
            <w:tcW w:w="8240" w:type="dxa"/>
            <w:vAlign w:val="bottom"/>
          </w:tcPr>
          <w:p>
            <w:pPr>
              <w:ind w:left="220"/>
              <w:spacing w:after="0"/>
              <w:rPr>
                <w:sz w:val="20"/>
                <w:szCs w:val="20"/>
                <w:color w:val="auto"/>
              </w:rPr>
            </w:pPr>
            <w:r>
              <w:rPr>
                <w:rFonts w:ascii="Arial" w:cs="Arial" w:eastAsia="Arial" w:hAnsi="Arial"/>
                <w:sz w:val="18"/>
                <w:szCs w:val="18"/>
                <w:color w:val="auto"/>
              </w:rPr>
              <w:t>Inspection of Property and Books and Records</w:t>
            </w:r>
          </w:p>
        </w:tc>
        <w:tc>
          <w:tcPr>
            <w:tcW w:w="1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5.10</w:t>
            </w:r>
          </w:p>
        </w:tc>
        <w:tc>
          <w:tcPr>
            <w:tcW w:w="8240" w:type="dxa"/>
            <w:vAlign w:val="bottom"/>
          </w:tcPr>
          <w:p>
            <w:pPr>
              <w:ind w:left="220"/>
              <w:spacing w:after="0"/>
              <w:rPr>
                <w:sz w:val="20"/>
                <w:szCs w:val="20"/>
                <w:color w:val="auto"/>
              </w:rPr>
            </w:pPr>
            <w:r>
              <w:rPr>
                <w:rFonts w:ascii="Arial" w:cs="Arial" w:eastAsia="Arial" w:hAnsi="Arial"/>
                <w:sz w:val="18"/>
                <w:szCs w:val="18"/>
                <w:color w:val="auto"/>
              </w:rPr>
              <w:t>Use of Proceeds</w:t>
            </w:r>
          </w:p>
        </w:tc>
        <w:tc>
          <w:tcPr>
            <w:tcW w:w="18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5.11</w:t>
            </w:r>
          </w:p>
        </w:tc>
        <w:tc>
          <w:tcPr>
            <w:tcW w:w="8240" w:type="dxa"/>
            <w:vAlign w:val="bottom"/>
          </w:tcPr>
          <w:p>
            <w:pPr>
              <w:ind w:left="220"/>
              <w:spacing w:after="0"/>
              <w:rPr>
                <w:sz w:val="20"/>
                <w:szCs w:val="20"/>
                <w:color w:val="auto"/>
              </w:rPr>
            </w:pPr>
            <w:r>
              <w:rPr>
                <w:rFonts w:ascii="Arial" w:cs="Arial" w:eastAsia="Arial" w:hAnsi="Arial"/>
                <w:sz w:val="18"/>
                <w:szCs w:val="18"/>
                <w:color w:val="auto"/>
              </w:rPr>
              <w:t>Cash Management Systems</w:t>
            </w:r>
          </w:p>
        </w:tc>
        <w:tc>
          <w:tcPr>
            <w:tcW w:w="1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5.12</w:t>
            </w:r>
          </w:p>
        </w:tc>
        <w:tc>
          <w:tcPr>
            <w:tcW w:w="8240" w:type="dxa"/>
            <w:vAlign w:val="bottom"/>
          </w:tcPr>
          <w:p>
            <w:pPr>
              <w:ind w:left="220"/>
              <w:spacing w:after="0"/>
              <w:rPr>
                <w:sz w:val="20"/>
                <w:szCs w:val="20"/>
                <w:color w:val="auto"/>
              </w:rPr>
            </w:pPr>
            <w:r>
              <w:rPr>
                <w:rFonts w:ascii="Arial" w:cs="Arial" w:eastAsia="Arial" w:hAnsi="Arial"/>
                <w:sz w:val="18"/>
                <w:szCs w:val="18"/>
                <w:color w:val="auto"/>
              </w:rPr>
              <w:t>Landlord Agreements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5.13</w:t>
            </w:r>
          </w:p>
        </w:tc>
        <w:tc>
          <w:tcPr>
            <w:tcW w:w="8240" w:type="dxa"/>
            <w:vAlign w:val="bottom"/>
          </w:tcPr>
          <w:p>
            <w:pPr>
              <w:ind w:left="220"/>
              <w:spacing w:after="0"/>
              <w:rPr>
                <w:sz w:val="20"/>
                <w:szCs w:val="20"/>
                <w:color w:val="auto"/>
              </w:rPr>
            </w:pPr>
            <w:r>
              <w:rPr>
                <w:rFonts w:ascii="Arial" w:cs="Arial" w:eastAsia="Arial" w:hAnsi="Arial"/>
                <w:sz w:val="18"/>
                <w:szCs w:val="18"/>
                <w:color w:val="auto"/>
              </w:rPr>
              <w:t>Further Assurances</w:t>
            </w:r>
          </w:p>
        </w:tc>
        <w:tc>
          <w:tcPr>
            <w:tcW w:w="18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5.14</w:t>
            </w:r>
          </w:p>
        </w:tc>
        <w:tc>
          <w:tcPr>
            <w:tcW w:w="8240" w:type="dxa"/>
            <w:vAlign w:val="bottom"/>
          </w:tcPr>
          <w:p>
            <w:pPr>
              <w:ind w:left="220"/>
              <w:spacing w:after="0"/>
              <w:rPr>
                <w:sz w:val="20"/>
                <w:szCs w:val="20"/>
                <w:color w:val="auto"/>
              </w:rPr>
            </w:pPr>
            <w:r>
              <w:rPr>
                <w:rFonts w:ascii="Arial" w:cs="Arial" w:eastAsia="Arial" w:hAnsi="Arial"/>
                <w:sz w:val="18"/>
                <w:szCs w:val="18"/>
                <w:color w:val="auto"/>
              </w:rPr>
              <w:t>Environmental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5.15</w:t>
            </w:r>
          </w:p>
        </w:tc>
        <w:tc>
          <w:tcPr>
            <w:tcW w:w="8240" w:type="dxa"/>
            <w:vAlign w:val="bottom"/>
          </w:tcPr>
          <w:p>
            <w:pPr>
              <w:ind w:left="220"/>
              <w:spacing w:after="0"/>
              <w:rPr>
                <w:sz w:val="20"/>
                <w:szCs w:val="20"/>
                <w:color w:val="auto"/>
              </w:rPr>
            </w:pPr>
            <w:r>
              <w:rPr>
                <w:rFonts w:ascii="Arial" w:cs="Arial" w:eastAsia="Arial" w:hAnsi="Arial"/>
                <w:sz w:val="18"/>
                <w:szCs w:val="18"/>
                <w:color w:val="auto"/>
              </w:rPr>
              <w:t>Regulatory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5.16</w:t>
            </w:r>
          </w:p>
        </w:tc>
        <w:tc>
          <w:tcPr>
            <w:tcW w:w="8240" w:type="dxa"/>
            <w:vAlign w:val="bottom"/>
          </w:tcPr>
          <w:p>
            <w:pPr>
              <w:ind w:left="220"/>
              <w:spacing w:after="0"/>
              <w:rPr>
                <w:sz w:val="20"/>
                <w:szCs w:val="20"/>
                <w:color w:val="auto"/>
              </w:rPr>
            </w:pPr>
            <w:r>
              <w:rPr>
                <w:rFonts w:ascii="Arial" w:cs="Arial" w:eastAsia="Arial" w:hAnsi="Arial"/>
                <w:sz w:val="18"/>
                <w:szCs w:val="18"/>
                <w:color w:val="auto"/>
              </w:rPr>
              <w:t>Unrestricted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5.17</w:t>
            </w:r>
          </w:p>
        </w:tc>
        <w:tc>
          <w:tcPr>
            <w:tcW w:w="8240" w:type="dxa"/>
            <w:vAlign w:val="bottom"/>
          </w:tcPr>
          <w:p>
            <w:pPr>
              <w:ind w:left="220"/>
              <w:spacing w:after="0"/>
              <w:rPr>
                <w:sz w:val="20"/>
                <w:szCs w:val="20"/>
                <w:color w:val="auto"/>
              </w:rPr>
            </w:pPr>
            <w:r>
              <w:rPr>
                <w:rFonts w:ascii="Arial" w:cs="Arial" w:eastAsia="Arial" w:hAnsi="Arial"/>
                <w:sz w:val="18"/>
                <w:szCs w:val="18"/>
                <w:color w:val="auto"/>
              </w:rPr>
              <w:t>Post-Closing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6.1</w:t>
            </w:r>
          </w:p>
        </w:tc>
        <w:tc>
          <w:tcPr>
            <w:tcW w:w="8240" w:type="dxa"/>
            <w:vAlign w:val="bottom"/>
          </w:tcPr>
          <w:p>
            <w:pPr>
              <w:ind w:left="220"/>
              <w:spacing w:after="0"/>
              <w:rPr>
                <w:sz w:val="20"/>
                <w:szCs w:val="20"/>
                <w:color w:val="auto"/>
              </w:rPr>
            </w:pPr>
            <w:r>
              <w:rPr>
                <w:rFonts w:ascii="Arial" w:cs="Arial" w:eastAsia="Arial" w:hAnsi="Arial"/>
                <w:sz w:val="18"/>
                <w:szCs w:val="18"/>
                <w:color w:val="auto"/>
              </w:rPr>
              <w:t>Limitation on Liens</w:t>
            </w:r>
          </w:p>
        </w:tc>
        <w:tc>
          <w:tcPr>
            <w:tcW w:w="1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6.2</w:t>
            </w:r>
          </w:p>
        </w:tc>
        <w:tc>
          <w:tcPr>
            <w:tcW w:w="8240" w:type="dxa"/>
            <w:vAlign w:val="bottom"/>
          </w:tcPr>
          <w:p>
            <w:pPr>
              <w:ind w:left="220"/>
              <w:spacing w:after="0"/>
              <w:rPr>
                <w:sz w:val="20"/>
                <w:szCs w:val="20"/>
                <w:color w:val="auto"/>
              </w:rPr>
            </w:pPr>
            <w:r>
              <w:rPr>
                <w:rFonts w:ascii="Arial" w:cs="Arial" w:eastAsia="Arial" w:hAnsi="Arial"/>
                <w:sz w:val="18"/>
                <w:szCs w:val="18"/>
                <w:color w:val="auto"/>
              </w:rPr>
              <w:t>Disposition of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6.3</w:t>
            </w:r>
          </w:p>
        </w:tc>
        <w:tc>
          <w:tcPr>
            <w:tcW w:w="8240" w:type="dxa"/>
            <w:vAlign w:val="bottom"/>
          </w:tcPr>
          <w:p>
            <w:pPr>
              <w:ind w:left="220"/>
              <w:spacing w:after="0"/>
              <w:rPr>
                <w:sz w:val="20"/>
                <w:szCs w:val="20"/>
                <w:color w:val="auto"/>
              </w:rPr>
            </w:pPr>
            <w:r>
              <w:rPr>
                <w:rFonts w:ascii="Arial" w:cs="Arial" w:eastAsia="Arial" w:hAnsi="Arial"/>
                <w:sz w:val="18"/>
                <w:szCs w:val="18"/>
                <w:color w:val="auto"/>
              </w:rPr>
              <w:t>Consolidations and Mergers</w:t>
            </w:r>
          </w:p>
        </w:tc>
        <w:tc>
          <w:tcPr>
            <w:tcW w:w="1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6.4</w:t>
            </w:r>
          </w:p>
        </w:tc>
        <w:tc>
          <w:tcPr>
            <w:tcW w:w="8240" w:type="dxa"/>
            <w:vAlign w:val="bottom"/>
          </w:tcPr>
          <w:p>
            <w:pPr>
              <w:ind w:left="220"/>
              <w:spacing w:after="0"/>
              <w:rPr>
                <w:sz w:val="20"/>
                <w:szCs w:val="20"/>
                <w:color w:val="auto"/>
              </w:rPr>
            </w:pPr>
            <w:r>
              <w:rPr>
                <w:rFonts w:ascii="Arial" w:cs="Arial" w:eastAsia="Arial" w:hAnsi="Arial"/>
                <w:sz w:val="18"/>
                <w:szCs w:val="18"/>
                <w:color w:val="auto"/>
              </w:rPr>
              <w:t>Loans and Investments</w:t>
            </w:r>
          </w:p>
        </w:tc>
        <w:tc>
          <w:tcPr>
            <w:tcW w:w="1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6.5</w:t>
            </w:r>
          </w:p>
        </w:tc>
        <w:tc>
          <w:tcPr>
            <w:tcW w:w="8240" w:type="dxa"/>
            <w:vAlign w:val="bottom"/>
          </w:tcPr>
          <w:p>
            <w:pPr>
              <w:ind w:left="220"/>
              <w:spacing w:after="0"/>
              <w:rPr>
                <w:sz w:val="20"/>
                <w:szCs w:val="20"/>
                <w:color w:val="auto"/>
              </w:rPr>
            </w:pPr>
            <w:r>
              <w:rPr>
                <w:rFonts w:ascii="Arial" w:cs="Arial" w:eastAsia="Arial" w:hAnsi="Arial"/>
                <w:sz w:val="18"/>
                <w:szCs w:val="18"/>
                <w:color w:val="auto"/>
              </w:rPr>
              <w:t>Limitation on Indebtedness</w:t>
            </w:r>
          </w:p>
        </w:tc>
        <w:tc>
          <w:tcPr>
            <w:tcW w:w="1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6.6</w:t>
            </w:r>
          </w:p>
        </w:tc>
        <w:tc>
          <w:tcPr>
            <w:tcW w:w="8240" w:type="dxa"/>
            <w:vAlign w:val="bottom"/>
          </w:tcPr>
          <w:p>
            <w:pPr>
              <w:ind w:left="22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6.7</w:t>
            </w:r>
          </w:p>
        </w:tc>
        <w:tc>
          <w:tcPr>
            <w:tcW w:w="8240" w:type="dxa"/>
            <w:vAlign w:val="bottom"/>
          </w:tcPr>
          <w:p>
            <w:pPr>
              <w:ind w:left="220"/>
              <w:spacing w:after="0"/>
              <w:rPr>
                <w:sz w:val="20"/>
                <w:szCs w:val="20"/>
                <w:color w:val="auto"/>
              </w:rPr>
            </w:pPr>
            <w:r>
              <w:rPr>
                <w:rFonts w:ascii="Arial" w:cs="Arial" w:eastAsia="Arial" w:hAnsi="Arial"/>
                <w:sz w:val="18"/>
                <w:szCs w:val="18"/>
                <w:color w:val="auto"/>
              </w:rPr>
              <w:t>Compliance with ERISA</w:t>
            </w:r>
          </w:p>
        </w:tc>
        <w:tc>
          <w:tcPr>
            <w:tcW w:w="1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6.8</w:t>
            </w:r>
          </w:p>
        </w:tc>
        <w:tc>
          <w:tcPr>
            <w:tcW w:w="8240" w:type="dxa"/>
            <w:vAlign w:val="bottom"/>
          </w:tcPr>
          <w:p>
            <w:pPr>
              <w:ind w:left="220"/>
              <w:spacing w:after="0"/>
              <w:rPr>
                <w:sz w:val="20"/>
                <w:szCs w:val="20"/>
                <w:color w:val="auto"/>
              </w:rPr>
            </w:pPr>
            <w:r>
              <w:rPr>
                <w:rFonts w:ascii="Arial" w:cs="Arial" w:eastAsia="Arial" w:hAnsi="Arial"/>
                <w:sz w:val="18"/>
                <w:szCs w:val="18"/>
                <w:color w:val="auto"/>
              </w:rPr>
              <w:t>Restricted Payments</w:t>
            </w:r>
          </w:p>
        </w:tc>
        <w:tc>
          <w:tcPr>
            <w:tcW w:w="1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6.9</w:t>
            </w:r>
          </w:p>
        </w:tc>
        <w:tc>
          <w:tcPr>
            <w:tcW w:w="8240" w:type="dxa"/>
            <w:vAlign w:val="bottom"/>
          </w:tcPr>
          <w:p>
            <w:pPr>
              <w:ind w:left="220"/>
              <w:spacing w:after="0"/>
              <w:rPr>
                <w:sz w:val="20"/>
                <w:szCs w:val="20"/>
                <w:color w:val="auto"/>
              </w:rPr>
            </w:pPr>
            <w:r>
              <w:rPr>
                <w:rFonts w:ascii="Arial" w:cs="Arial" w:eastAsia="Arial" w:hAnsi="Arial"/>
                <w:sz w:val="18"/>
                <w:szCs w:val="18"/>
                <w:color w:val="auto"/>
              </w:rPr>
              <w:t>Change in Business</w:t>
            </w:r>
          </w:p>
        </w:tc>
        <w:tc>
          <w:tcPr>
            <w:tcW w:w="1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6.10</w:t>
            </w:r>
          </w:p>
        </w:tc>
        <w:tc>
          <w:tcPr>
            <w:tcW w:w="8240" w:type="dxa"/>
            <w:vAlign w:val="bottom"/>
          </w:tcPr>
          <w:p>
            <w:pPr>
              <w:ind w:left="220"/>
              <w:spacing w:after="0"/>
              <w:rPr>
                <w:sz w:val="20"/>
                <w:szCs w:val="20"/>
                <w:color w:val="auto"/>
              </w:rPr>
            </w:pPr>
            <w:r>
              <w:rPr>
                <w:rFonts w:ascii="Arial" w:cs="Arial" w:eastAsia="Arial" w:hAnsi="Arial"/>
                <w:sz w:val="18"/>
                <w:szCs w:val="18"/>
                <w:color w:val="auto"/>
              </w:rPr>
              <w:t>Change in Structure</w:t>
            </w:r>
          </w:p>
        </w:tc>
        <w:tc>
          <w:tcPr>
            <w:tcW w:w="1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6.11</w:t>
            </w:r>
          </w:p>
        </w:tc>
        <w:tc>
          <w:tcPr>
            <w:tcW w:w="8240" w:type="dxa"/>
            <w:vAlign w:val="bottom"/>
          </w:tcPr>
          <w:p>
            <w:pPr>
              <w:ind w:left="220"/>
              <w:spacing w:after="0"/>
              <w:rPr>
                <w:sz w:val="20"/>
                <w:szCs w:val="20"/>
                <w:color w:val="auto"/>
              </w:rPr>
            </w:pPr>
            <w:r>
              <w:rPr>
                <w:rFonts w:ascii="Arial" w:cs="Arial" w:eastAsia="Arial" w:hAnsi="Arial"/>
                <w:sz w:val="18"/>
                <w:szCs w:val="18"/>
                <w:color w:val="auto"/>
              </w:rPr>
              <w:t>Changes in Accounting, Name and Jurisdiction of Organization</w:t>
            </w:r>
          </w:p>
        </w:tc>
        <w:tc>
          <w:tcPr>
            <w:tcW w:w="1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6.12</w:t>
            </w:r>
          </w:p>
        </w:tc>
        <w:tc>
          <w:tcPr>
            <w:tcW w:w="8240" w:type="dxa"/>
            <w:vAlign w:val="bottom"/>
          </w:tcPr>
          <w:p>
            <w:pPr>
              <w:ind w:left="220"/>
              <w:spacing w:after="0"/>
              <w:rPr>
                <w:sz w:val="20"/>
                <w:szCs w:val="20"/>
                <w:color w:val="auto"/>
              </w:rPr>
            </w:pPr>
            <w:r>
              <w:rPr>
                <w:rFonts w:ascii="Arial" w:cs="Arial" w:eastAsia="Arial" w:hAnsi="Arial"/>
                <w:sz w:val="18"/>
                <w:szCs w:val="18"/>
                <w:color w:val="auto"/>
              </w:rPr>
              <w:t>Limitation on Payments of Certain Indebtedness</w:t>
            </w:r>
          </w:p>
        </w:tc>
        <w:tc>
          <w:tcPr>
            <w:tcW w:w="1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6.13</w:t>
            </w:r>
          </w:p>
        </w:tc>
        <w:tc>
          <w:tcPr>
            <w:tcW w:w="8240" w:type="dxa"/>
            <w:vAlign w:val="bottom"/>
          </w:tcPr>
          <w:p>
            <w:pPr>
              <w:ind w:left="220"/>
              <w:spacing w:after="0"/>
              <w:rPr>
                <w:sz w:val="20"/>
                <w:szCs w:val="20"/>
                <w:color w:val="auto"/>
              </w:rPr>
            </w:pPr>
            <w:r>
              <w:rPr>
                <w:rFonts w:ascii="Arial" w:cs="Arial" w:eastAsia="Arial" w:hAnsi="Arial"/>
                <w:sz w:val="18"/>
                <w:szCs w:val="18"/>
                <w:color w:val="auto"/>
              </w:rPr>
              <w:t>Amendments to Certain Indebtedness</w:t>
            </w:r>
          </w:p>
        </w:tc>
        <w:tc>
          <w:tcPr>
            <w:tcW w:w="1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6.14</w:t>
            </w:r>
          </w:p>
        </w:tc>
        <w:tc>
          <w:tcPr>
            <w:tcW w:w="8240" w:type="dxa"/>
            <w:vAlign w:val="bottom"/>
          </w:tcPr>
          <w:p>
            <w:pPr>
              <w:ind w:left="220"/>
              <w:spacing w:after="0"/>
              <w:rPr>
                <w:sz w:val="20"/>
                <w:szCs w:val="20"/>
                <w:color w:val="auto"/>
              </w:rPr>
            </w:pPr>
            <w:r>
              <w:rPr>
                <w:rFonts w:ascii="Arial" w:cs="Arial" w:eastAsia="Arial" w:hAnsi="Arial"/>
                <w:sz w:val="18"/>
                <w:szCs w:val="18"/>
                <w:color w:val="auto"/>
              </w:rPr>
              <w:t>No Negative Pledges</w:t>
            </w:r>
          </w:p>
        </w:tc>
        <w:tc>
          <w:tcPr>
            <w:tcW w:w="1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6.15</w:t>
            </w:r>
          </w:p>
        </w:tc>
        <w:tc>
          <w:tcPr>
            <w:tcW w:w="8240" w:type="dxa"/>
            <w:vAlign w:val="bottom"/>
          </w:tcPr>
          <w:p>
            <w:pPr>
              <w:ind w:left="220"/>
              <w:spacing w:after="0"/>
              <w:rPr>
                <w:sz w:val="20"/>
                <w:szCs w:val="20"/>
                <w:color w:val="auto"/>
              </w:rPr>
            </w:pPr>
            <w:r>
              <w:rPr>
                <w:rFonts w:ascii="Arial" w:cs="Arial" w:eastAsia="Arial" w:hAnsi="Arial"/>
                <w:sz w:val="18"/>
                <w:szCs w:val="18"/>
                <w:color w:val="auto"/>
              </w:rPr>
              <w:t>OFAC; USA Patriot Act; Anti-Corruption Laws</w:t>
            </w:r>
          </w:p>
        </w:tc>
        <w:tc>
          <w:tcPr>
            <w:tcW w:w="1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320" w:type="dxa"/>
            <w:vAlign w:val="bottom"/>
          </w:tcPr>
          <w:p>
            <w:pPr>
              <w:ind w:left="760"/>
              <w:spacing w:after="0"/>
              <w:rPr>
                <w:sz w:val="20"/>
                <w:szCs w:val="20"/>
                <w:color w:val="auto"/>
              </w:rPr>
            </w:pPr>
            <w:r>
              <w:rPr>
                <w:rFonts w:ascii="Arial" w:cs="Arial" w:eastAsia="Arial" w:hAnsi="Arial"/>
                <w:sz w:val="18"/>
                <w:szCs w:val="18"/>
                <w:color w:val="auto"/>
              </w:rPr>
              <w:t>6.16</w:t>
            </w:r>
          </w:p>
        </w:tc>
        <w:tc>
          <w:tcPr>
            <w:tcW w:w="8240" w:type="dxa"/>
            <w:vAlign w:val="bottom"/>
          </w:tcPr>
          <w:p>
            <w:pPr>
              <w:ind w:left="220"/>
              <w:spacing w:after="0"/>
              <w:rPr>
                <w:sz w:val="20"/>
                <w:szCs w:val="20"/>
                <w:color w:val="auto"/>
              </w:rPr>
            </w:pPr>
            <w:r>
              <w:rPr>
                <w:rFonts w:ascii="Arial" w:cs="Arial" w:eastAsia="Arial" w:hAnsi="Arial"/>
                <w:sz w:val="18"/>
                <w:szCs w:val="18"/>
                <w:color w:val="auto"/>
              </w:rPr>
              <w:t>Sale-Leasebacks</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6.17</w:t>
            </w:r>
          </w:p>
        </w:tc>
        <w:tc>
          <w:tcPr>
            <w:tcW w:w="82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ARTICLE VII FINANCIAL COVENANTS</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320" w:type="dxa"/>
            <w:vAlign w:val="bottom"/>
          </w:tcPr>
          <w:p>
            <w:pPr>
              <w:ind w:left="760"/>
              <w:spacing w:after="0"/>
              <w:rPr>
                <w:sz w:val="20"/>
                <w:szCs w:val="20"/>
                <w:color w:val="auto"/>
              </w:rPr>
            </w:pPr>
            <w:r>
              <w:rPr>
                <w:rFonts w:ascii="Arial" w:cs="Arial" w:eastAsia="Arial" w:hAnsi="Arial"/>
                <w:sz w:val="18"/>
                <w:szCs w:val="18"/>
                <w:color w:val="auto"/>
              </w:rPr>
              <w:t>7.1</w:t>
            </w:r>
          </w:p>
        </w:tc>
        <w:tc>
          <w:tcPr>
            <w:tcW w:w="8240" w:type="dxa"/>
            <w:vAlign w:val="bottom"/>
          </w:tcPr>
          <w:p>
            <w:pPr>
              <w:ind w:left="220"/>
              <w:spacing w:after="0"/>
              <w:rPr>
                <w:sz w:val="20"/>
                <w:szCs w:val="20"/>
                <w:color w:val="auto"/>
              </w:rPr>
            </w:pPr>
            <w:r>
              <w:rPr>
                <w:rFonts w:ascii="Arial" w:cs="Arial" w:eastAsia="Arial" w:hAnsi="Arial"/>
                <w:sz w:val="18"/>
                <w:szCs w:val="18"/>
                <w:color w:val="auto"/>
              </w:rPr>
              <w:t>Senior Leverage Ratio</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320" w:type="dxa"/>
            <w:vAlign w:val="bottom"/>
          </w:tcPr>
          <w:p>
            <w:pPr>
              <w:ind w:left="760"/>
              <w:spacing w:after="0"/>
              <w:rPr>
                <w:sz w:val="20"/>
                <w:szCs w:val="20"/>
                <w:color w:val="auto"/>
              </w:rPr>
            </w:pPr>
            <w:r>
              <w:rPr>
                <w:rFonts w:ascii="Arial" w:cs="Arial" w:eastAsia="Arial" w:hAnsi="Arial"/>
                <w:sz w:val="18"/>
                <w:szCs w:val="18"/>
                <w:color w:val="auto"/>
              </w:rPr>
              <w:t>7.2</w:t>
            </w:r>
          </w:p>
        </w:tc>
        <w:tc>
          <w:tcPr>
            <w:tcW w:w="8240" w:type="dxa"/>
            <w:vAlign w:val="bottom"/>
          </w:tcPr>
          <w:p>
            <w:pPr>
              <w:ind w:left="220"/>
              <w:spacing w:after="0"/>
              <w:rPr>
                <w:sz w:val="20"/>
                <w:szCs w:val="20"/>
                <w:color w:val="auto"/>
              </w:rPr>
            </w:pPr>
            <w:r>
              <w:rPr>
                <w:rFonts w:ascii="Arial" w:cs="Arial" w:eastAsia="Arial" w:hAnsi="Arial"/>
                <w:sz w:val="18"/>
                <w:szCs w:val="18"/>
                <w:color w:val="auto"/>
              </w:rPr>
              <w:t>Fixed Charge Coverage Ratio</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ARTICLE VIII EVENTS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1320" w:type="dxa"/>
            <w:vAlign w:val="bottom"/>
          </w:tcPr>
          <w:p>
            <w:pPr>
              <w:ind w:left="760"/>
              <w:spacing w:after="0"/>
              <w:rPr>
                <w:sz w:val="20"/>
                <w:szCs w:val="20"/>
                <w:color w:val="auto"/>
              </w:rPr>
            </w:pPr>
            <w:r>
              <w:rPr>
                <w:rFonts w:ascii="Arial" w:cs="Arial" w:eastAsia="Arial" w:hAnsi="Arial"/>
                <w:sz w:val="18"/>
                <w:szCs w:val="18"/>
                <w:color w:val="auto"/>
              </w:rPr>
              <w:t>8.1</w:t>
            </w:r>
          </w:p>
        </w:tc>
        <w:tc>
          <w:tcPr>
            <w:tcW w:w="8240" w:type="dxa"/>
            <w:vAlign w:val="bottom"/>
          </w:tcPr>
          <w:p>
            <w:pPr>
              <w:ind w:left="220"/>
              <w:spacing w:after="0"/>
              <w:rPr>
                <w:sz w:val="20"/>
                <w:szCs w:val="20"/>
                <w:color w:val="auto"/>
              </w:rPr>
            </w:pPr>
            <w:r>
              <w:rPr>
                <w:rFonts w:ascii="Arial" w:cs="Arial" w:eastAsia="Arial" w:hAnsi="Arial"/>
                <w:sz w:val="18"/>
                <w:szCs w:val="18"/>
                <w:color w:val="auto"/>
              </w:rPr>
              <w:t>Event of Default</w:t>
            </w:r>
          </w:p>
        </w:tc>
        <w:tc>
          <w:tcPr>
            <w:tcW w:w="1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65"/>
        </w:trPr>
        <w:tc>
          <w:tcPr>
            <w:tcW w:w="1320" w:type="dxa"/>
            <w:vAlign w:val="bottom"/>
          </w:tcPr>
          <w:p>
            <w:pPr>
              <w:spacing w:after="0"/>
              <w:rPr>
                <w:sz w:val="24"/>
                <w:szCs w:val="24"/>
                <w:color w:val="auto"/>
              </w:rPr>
            </w:pPr>
          </w:p>
        </w:tc>
        <w:tc>
          <w:tcPr>
            <w:tcW w:w="8240" w:type="dxa"/>
            <w:vAlign w:val="bottom"/>
          </w:tcPr>
          <w:p>
            <w:pPr>
              <w:ind w:left="4340"/>
              <w:spacing w:after="0"/>
              <w:rPr>
                <w:sz w:val="20"/>
                <w:szCs w:val="20"/>
                <w:color w:val="auto"/>
              </w:rPr>
            </w:pPr>
            <w:r>
              <w:rPr>
                <w:rFonts w:ascii="Arial" w:cs="Arial" w:eastAsia="Arial" w:hAnsi="Arial"/>
                <w:sz w:val="18"/>
                <w:szCs w:val="18"/>
                <w:color w:val="auto"/>
              </w:rPr>
              <w:t>ii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74"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tbl>
      <w:tblPr>
        <w:tblLayout w:type="fixed"/>
        <w:tblInd w:w="0" w:type="dxa"/>
        <w:tblCellMar>
          <w:top w:w="0" w:type="dxa"/>
          <w:left w:w="0" w:type="dxa"/>
          <w:bottom w:w="0" w:type="dxa"/>
          <w:right w:w="0" w:type="dxa"/>
        </w:tblCellMar>
      </w:tblP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8.2</w:t>
            </w:r>
          </w:p>
        </w:tc>
        <w:tc>
          <w:tcPr>
            <w:tcW w:w="7560" w:type="dxa"/>
            <w:vAlign w:val="bottom"/>
          </w:tcPr>
          <w:p>
            <w:pPr>
              <w:ind w:left="220"/>
              <w:spacing w:after="0"/>
              <w:rPr>
                <w:sz w:val="20"/>
                <w:szCs w:val="20"/>
                <w:color w:val="auto"/>
              </w:rPr>
            </w:pPr>
            <w:r>
              <w:rPr>
                <w:rFonts w:ascii="Arial" w:cs="Arial" w:eastAsia="Arial" w:hAnsi="Arial"/>
                <w:sz w:val="18"/>
                <w:szCs w:val="18"/>
                <w:color w:val="auto"/>
              </w:rPr>
              <w:t>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8.3</w:t>
            </w:r>
          </w:p>
        </w:tc>
        <w:tc>
          <w:tcPr>
            <w:tcW w:w="7560" w:type="dxa"/>
            <w:vAlign w:val="bottom"/>
          </w:tcPr>
          <w:p>
            <w:pPr>
              <w:ind w:left="220"/>
              <w:spacing w:after="0"/>
              <w:rPr>
                <w:sz w:val="20"/>
                <w:szCs w:val="20"/>
                <w:color w:val="auto"/>
              </w:rPr>
            </w:pPr>
            <w:r>
              <w:rPr>
                <w:rFonts w:ascii="Arial" w:cs="Arial" w:eastAsia="Arial" w:hAnsi="Arial"/>
                <w:sz w:val="18"/>
                <w:szCs w:val="18"/>
                <w:color w:val="auto"/>
              </w:rPr>
              <w:t>Rights Not Exclusive</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1400" w:type="dxa"/>
            <w:vAlign w:val="bottom"/>
          </w:tcPr>
          <w:p>
            <w:pPr>
              <w:ind w:left="760"/>
              <w:spacing w:after="0"/>
              <w:rPr>
                <w:sz w:val="20"/>
                <w:szCs w:val="20"/>
                <w:color w:val="auto"/>
              </w:rPr>
            </w:pPr>
            <w:r>
              <w:rPr>
                <w:rFonts w:ascii="Arial" w:cs="Arial" w:eastAsia="Arial" w:hAnsi="Arial"/>
                <w:sz w:val="18"/>
                <w:szCs w:val="18"/>
                <w:color w:val="auto"/>
              </w:rPr>
              <w:t>8.4</w:t>
            </w:r>
          </w:p>
        </w:tc>
        <w:tc>
          <w:tcPr>
            <w:tcW w:w="7560" w:type="dxa"/>
            <w:vAlign w:val="bottom"/>
          </w:tcPr>
          <w:p>
            <w:pPr>
              <w:ind w:left="220"/>
              <w:spacing w:after="0"/>
              <w:rPr>
                <w:sz w:val="20"/>
                <w:szCs w:val="20"/>
                <w:color w:val="auto"/>
              </w:rPr>
            </w:pPr>
            <w:r>
              <w:rPr>
                <w:rFonts w:ascii="Arial" w:cs="Arial" w:eastAsia="Arial" w:hAnsi="Arial"/>
                <w:sz w:val="18"/>
                <w:szCs w:val="18"/>
                <w:color w:val="auto"/>
              </w:rPr>
              <w:t>Cash Collateral for Letters of Credit</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IX AGENT</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0"/>
        </w:trPr>
        <w:tc>
          <w:tcPr>
            <w:tcW w:w="1400" w:type="dxa"/>
            <w:vAlign w:val="bottom"/>
          </w:tcPr>
          <w:p>
            <w:pPr>
              <w:ind w:left="760"/>
              <w:spacing w:after="0"/>
              <w:rPr>
                <w:sz w:val="20"/>
                <w:szCs w:val="20"/>
                <w:color w:val="auto"/>
              </w:rPr>
            </w:pPr>
            <w:r>
              <w:rPr>
                <w:rFonts w:ascii="Arial" w:cs="Arial" w:eastAsia="Arial" w:hAnsi="Arial"/>
                <w:sz w:val="18"/>
                <w:szCs w:val="18"/>
                <w:color w:val="auto"/>
              </w:rPr>
              <w:t>9.1</w:t>
            </w:r>
          </w:p>
        </w:tc>
        <w:tc>
          <w:tcPr>
            <w:tcW w:w="7560" w:type="dxa"/>
            <w:vAlign w:val="bottom"/>
          </w:tcPr>
          <w:p>
            <w:pPr>
              <w:ind w:left="220"/>
              <w:spacing w:after="0"/>
              <w:rPr>
                <w:sz w:val="20"/>
                <w:szCs w:val="20"/>
                <w:color w:val="auto"/>
              </w:rPr>
            </w:pPr>
            <w:r>
              <w:rPr>
                <w:rFonts w:ascii="Arial" w:cs="Arial" w:eastAsia="Arial" w:hAnsi="Arial"/>
                <w:sz w:val="18"/>
                <w:szCs w:val="18"/>
                <w:color w:val="auto"/>
              </w:rPr>
              <w:t>Appointment and Duties</w:t>
            </w:r>
          </w:p>
        </w:tc>
        <w:tc>
          <w:tcPr>
            <w:tcW w:w="2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9.2</w:t>
            </w:r>
          </w:p>
        </w:tc>
        <w:tc>
          <w:tcPr>
            <w:tcW w:w="756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9.3</w:t>
            </w:r>
          </w:p>
        </w:tc>
        <w:tc>
          <w:tcPr>
            <w:tcW w:w="7560" w:type="dxa"/>
            <w:vAlign w:val="bottom"/>
          </w:tcPr>
          <w:p>
            <w:pPr>
              <w:ind w:left="220"/>
              <w:spacing w:after="0"/>
              <w:rPr>
                <w:sz w:val="20"/>
                <w:szCs w:val="20"/>
                <w:color w:val="auto"/>
              </w:rPr>
            </w:pPr>
            <w:r>
              <w:rPr>
                <w:rFonts w:ascii="Arial" w:cs="Arial" w:eastAsia="Arial" w:hAnsi="Arial"/>
                <w:sz w:val="18"/>
                <w:szCs w:val="18"/>
                <w:color w:val="auto"/>
              </w:rPr>
              <w:t>Use of Discretion</w:t>
            </w:r>
          </w:p>
        </w:tc>
        <w:tc>
          <w:tcPr>
            <w:tcW w:w="24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9.4</w:t>
            </w:r>
          </w:p>
        </w:tc>
        <w:tc>
          <w:tcPr>
            <w:tcW w:w="7560" w:type="dxa"/>
            <w:vAlign w:val="bottom"/>
          </w:tcPr>
          <w:p>
            <w:pPr>
              <w:ind w:left="220"/>
              <w:spacing w:after="0"/>
              <w:rPr>
                <w:sz w:val="20"/>
                <w:szCs w:val="20"/>
                <w:color w:val="auto"/>
              </w:rPr>
            </w:pPr>
            <w:r>
              <w:rPr>
                <w:rFonts w:ascii="Arial" w:cs="Arial" w:eastAsia="Arial" w:hAnsi="Arial"/>
                <w:sz w:val="18"/>
                <w:szCs w:val="18"/>
                <w:color w:val="auto"/>
              </w:rPr>
              <w:t>Delegation of Rights and Duties</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9.5</w:t>
            </w:r>
          </w:p>
        </w:tc>
        <w:tc>
          <w:tcPr>
            <w:tcW w:w="7560" w:type="dxa"/>
            <w:vAlign w:val="bottom"/>
          </w:tcPr>
          <w:p>
            <w:pPr>
              <w:ind w:left="220"/>
              <w:spacing w:after="0"/>
              <w:rPr>
                <w:sz w:val="20"/>
                <w:szCs w:val="20"/>
                <w:color w:val="auto"/>
              </w:rPr>
            </w:pPr>
            <w:r>
              <w:rPr>
                <w:rFonts w:ascii="Arial" w:cs="Arial" w:eastAsia="Arial" w:hAnsi="Arial"/>
                <w:sz w:val="18"/>
                <w:szCs w:val="18"/>
                <w:color w:val="auto"/>
              </w:rPr>
              <w:t>Reliance and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9.6</w:t>
            </w:r>
          </w:p>
        </w:tc>
        <w:tc>
          <w:tcPr>
            <w:tcW w:w="7560" w:type="dxa"/>
            <w:vAlign w:val="bottom"/>
          </w:tcPr>
          <w:p>
            <w:pPr>
              <w:ind w:left="220"/>
              <w:spacing w:after="0"/>
              <w:rPr>
                <w:sz w:val="20"/>
                <w:szCs w:val="20"/>
                <w:color w:val="auto"/>
              </w:rPr>
            </w:pPr>
            <w:r>
              <w:rPr>
                <w:rFonts w:ascii="Arial" w:cs="Arial" w:eastAsia="Arial" w:hAnsi="Arial"/>
                <w:sz w:val="18"/>
                <w:szCs w:val="18"/>
                <w:color w:val="auto"/>
              </w:rPr>
              <w:t>Agent Individually</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9.7</w:t>
            </w:r>
          </w:p>
        </w:tc>
        <w:tc>
          <w:tcPr>
            <w:tcW w:w="7560" w:type="dxa"/>
            <w:vAlign w:val="bottom"/>
          </w:tcPr>
          <w:p>
            <w:pPr>
              <w:ind w:left="220"/>
              <w:spacing w:after="0"/>
              <w:rPr>
                <w:sz w:val="20"/>
                <w:szCs w:val="20"/>
                <w:color w:val="auto"/>
              </w:rPr>
            </w:pPr>
            <w:r>
              <w:rPr>
                <w:rFonts w:ascii="Arial" w:cs="Arial" w:eastAsia="Arial" w:hAnsi="Arial"/>
                <w:sz w:val="18"/>
                <w:szCs w:val="18"/>
                <w:color w:val="auto"/>
              </w:rPr>
              <w:t>Lender Credit Decision</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9.8</w:t>
            </w:r>
          </w:p>
        </w:tc>
        <w:tc>
          <w:tcPr>
            <w:tcW w:w="7560" w:type="dxa"/>
            <w:vAlign w:val="bottom"/>
          </w:tcPr>
          <w:p>
            <w:pPr>
              <w:ind w:left="220"/>
              <w:spacing w:after="0"/>
              <w:rPr>
                <w:sz w:val="20"/>
                <w:szCs w:val="20"/>
                <w:color w:val="auto"/>
              </w:rPr>
            </w:pPr>
            <w:r>
              <w:rPr>
                <w:rFonts w:ascii="Arial" w:cs="Arial" w:eastAsia="Arial" w:hAnsi="Arial"/>
                <w:sz w:val="18"/>
                <w:szCs w:val="18"/>
                <w:color w:val="auto"/>
              </w:rPr>
              <w:t>Expenses; Indemnities; Withholding</w:t>
            </w:r>
          </w:p>
        </w:tc>
        <w:tc>
          <w:tcPr>
            <w:tcW w:w="24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9.9</w:t>
            </w:r>
          </w:p>
        </w:tc>
        <w:tc>
          <w:tcPr>
            <w:tcW w:w="7560" w:type="dxa"/>
            <w:vAlign w:val="bottom"/>
          </w:tcPr>
          <w:p>
            <w:pPr>
              <w:ind w:left="220"/>
              <w:spacing w:after="0"/>
              <w:rPr>
                <w:sz w:val="20"/>
                <w:szCs w:val="20"/>
                <w:color w:val="auto"/>
              </w:rPr>
            </w:pPr>
            <w:r>
              <w:rPr>
                <w:rFonts w:ascii="Arial" w:cs="Arial" w:eastAsia="Arial" w:hAnsi="Arial"/>
                <w:sz w:val="18"/>
                <w:szCs w:val="18"/>
                <w:color w:val="auto"/>
              </w:rPr>
              <w:t>Resignation of Agent or L/C Issuer</w:t>
            </w:r>
          </w:p>
        </w:tc>
        <w:tc>
          <w:tcPr>
            <w:tcW w:w="24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9.10</w:t>
            </w:r>
          </w:p>
        </w:tc>
        <w:tc>
          <w:tcPr>
            <w:tcW w:w="7560" w:type="dxa"/>
            <w:vAlign w:val="bottom"/>
          </w:tcPr>
          <w:p>
            <w:pPr>
              <w:ind w:left="220"/>
              <w:spacing w:after="0"/>
              <w:rPr>
                <w:sz w:val="20"/>
                <w:szCs w:val="20"/>
                <w:color w:val="auto"/>
              </w:rPr>
            </w:pPr>
            <w:r>
              <w:rPr>
                <w:rFonts w:ascii="Arial" w:cs="Arial" w:eastAsia="Arial" w:hAnsi="Arial"/>
                <w:sz w:val="18"/>
                <w:szCs w:val="18"/>
                <w:color w:val="auto"/>
              </w:rPr>
              <w:t>Release of Collateral or Guarantors</w:t>
            </w:r>
          </w:p>
        </w:tc>
        <w:tc>
          <w:tcPr>
            <w:tcW w:w="2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9.11</w:t>
            </w:r>
          </w:p>
        </w:tc>
        <w:tc>
          <w:tcPr>
            <w:tcW w:w="7560" w:type="dxa"/>
            <w:vAlign w:val="bottom"/>
          </w:tcPr>
          <w:p>
            <w:pPr>
              <w:ind w:left="220"/>
              <w:spacing w:after="0"/>
              <w:rPr>
                <w:sz w:val="20"/>
                <w:szCs w:val="20"/>
                <w:color w:val="auto"/>
              </w:rPr>
            </w:pPr>
            <w:r>
              <w:rPr>
                <w:rFonts w:ascii="Arial" w:cs="Arial" w:eastAsia="Arial" w:hAnsi="Arial"/>
                <w:sz w:val="18"/>
                <w:szCs w:val="18"/>
                <w:color w:val="auto"/>
              </w:rPr>
              <w:t>Additional Secured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9.12</w:t>
            </w:r>
          </w:p>
        </w:tc>
        <w:tc>
          <w:tcPr>
            <w:tcW w:w="7560" w:type="dxa"/>
            <w:vAlign w:val="bottom"/>
          </w:tcPr>
          <w:p>
            <w:pPr>
              <w:ind w:left="220"/>
              <w:spacing w:after="0"/>
              <w:rPr>
                <w:sz w:val="20"/>
                <w:szCs w:val="20"/>
                <w:color w:val="auto"/>
              </w:rPr>
            </w:pPr>
            <w:r>
              <w:rPr>
                <w:rFonts w:ascii="Arial" w:cs="Arial" w:eastAsia="Arial" w:hAnsi="Arial"/>
                <w:sz w:val="18"/>
                <w:szCs w:val="18"/>
                <w:color w:val="auto"/>
              </w:rPr>
              <w:t>Additional Titles</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400" w:type="dxa"/>
            <w:vAlign w:val="bottom"/>
          </w:tcPr>
          <w:p>
            <w:pPr>
              <w:ind w:left="760"/>
              <w:spacing w:after="0"/>
              <w:rPr>
                <w:sz w:val="20"/>
                <w:szCs w:val="20"/>
                <w:color w:val="auto"/>
              </w:rPr>
            </w:pPr>
            <w:r>
              <w:rPr>
                <w:rFonts w:ascii="Arial" w:cs="Arial" w:eastAsia="Arial" w:hAnsi="Arial"/>
                <w:sz w:val="18"/>
                <w:szCs w:val="18"/>
                <w:color w:val="auto"/>
              </w:rPr>
              <w:t>9.13</w:t>
            </w:r>
          </w:p>
        </w:tc>
        <w:tc>
          <w:tcPr>
            <w:tcW w:w="7560" w:type="dxa"/>
            <w:vAlign w:val="bottom"/>
          </w:tcPr>
          <w:p>
            <w:pPr>
              <w:ind w:left="220"/>
              <w:spacing w:after="0"/>
              <w:rPr>
                <w:sz w:val="20"/>
                <w:szCs w:val="20"/>
                <w:color w:val="auto"/>
              </w:rPr>
            </w:pPr>
            <w:r>
              <w:rPr>
                <w:rFonts w:ascii="Arial" w:cs="Arial" w:eastAsia="Arial" w:hAnsi="Arial"/>
                <w:sz w:val="18"/>
                <w:szCs w:val="18"/>
                <w:color w:val="auto"/>
              </w:rPr>
              <w:t>Credit Bid</w:t>
            </w:r>
          </w:p>
        </w:tc>
        <w:tc>
          <w:tcPr>
            <w:tcW w:w="24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0"/>
        </w:trPr>
        <w:tc>
          <w:tcPr>
            <w:tcW w:w="1400" w:type="dxa"/>
            <w:vAlign w:val="bottom"/>
          </w:tcPr>
          <w:p>
            <w:pPr>
              <w:ind w:left="760"/>
              <w:spacing w:after="0"/>
              <w:rPr>
                <w:sz w:val="20"/>
                <w:szCs w:val="20"/>
                <w:color w:val="auto"/>
              </w:rPr>
            </w:pPr>
            <w:r>
              <w:rPr>
                <w:rFonts w:ascii="Arial" w:cs="Arial" w:eastAsia="Arial" w:hAnsi="Arial"/>
                <w:sz w:val="18"/>
                <w:szCs w:val="18"/>
                <w:color w:val="auto"/>
              </w:rPr>
              <w:t>10.1</w:t>
            </w:r>
          </w:p>
        </w:tc>
        <w:tc>
          <w:tcPr>
            <w:tcW w:w="7560" w:type="dxa"/>
            <w:vAlign w:val="bottom"/>
          </w:tcPr>
          <w:p>
            <w:pPr>
              <w:ind w:left="220"/>
              <w:spacing w:after="0"/>
              <w:rPr>
                <w:sz w:val="20"/>
                <w:szCs w:val="20"/>
                <w:color w:val="auto"/>
              </w:rPr>
            </w:pPr>
            <w:r>
              <w:rPr>
                <w:rFonts w:ascii="Arial" w:cs="Arial" w:eastAsia="Arial" w:hAnsi="Arial"/>
                <w:sz w:val="18"/>
                <w:szCs w:val="18"/>
                <w:color w:val="auto"/>
              </w:rPr>
              <w:t>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w:t>
            </w:r>
          </w:p>
        </w:tc>
        <w:tc>
          <w:tcPr>
            <w:tcW w:w="7560" w:type="dxa"/>
            <w:vAlign w:val="bottom"/>
          </w:tcPr>
          <w:p>
            <w:pPr>
              <w:ind w:left="22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10.3</w:t>
            </w:r>
          </w:p>
        </w:tc>
        <w:tc>
          <w:tcPr>
            <w:tcW w:w="7560" w:type="dxa"/>
            <w:vAlign w:val="bottom"/>
          </w:tcPr>
          <w:p>
            <w:pPr>
              <w:ind w:left="220"/>
              <w:spacing w:after="0"/>
              <w:rPr>
                <w:sz w:val="20"/>
                <w:szCs w:val="20"/>
                <w:color w:val="auto"/>
              </w:rPr>
            </w:pPr>
            <w:r>
              <w:rPr>
                <w:rFonts w:ascii="Arial" w:cs="Arial" w:eastAsia="Arial" w:hAnsi="Arial"/>
                <w:sz w:val="18"/>
                <w:szCs w:val="18"/>
                <w:color w:val="auto"/>
              </w:rPr>
              <w:t>Electronic Transmissions</w:t>
            </w:r>
          </w:p>
        </w:tc>
        <w:tc>
          <w:tcPr>
            <w:tcW w:w="2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10.4</w:t>
            </w:r>
          </w:p>
        </w:tc>
        <w:tc>
          <w:tcPr>
            <w:tcW w:w="7560" w:type="dxa"/>
            <w:vAlign w:val="bottom"/>
          </w:tcPr>
          <w:p>
            <w:pPr>
              <w:ind w:left="220"/>
              <w:spacing w:after="0"/>
              <w:rPr>
                <w:sz w:val="20"/>
                <w:szCs w:val="20"/>
                <w:color w:val="auto"/>
              </w:rPr>
            </w:pPr>
            <w:r>
              <w:rPr>
                <w:rFonts w:ascii="Arial" w:cs="Arial" w:eastAsia="Arial" w:hAnsi="Arial"/>
                <w:sz w:val="18"/>
                <w:szCs w:val="18"/>
                <w:color w:val="auto"/>
              </w:rPr>
              <w:t>No Waiver; Cumulative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10.5</w:t>
            </w:r>
          </w:p>
        </w:tc>
        <w:tc>
          <w:tcPr>
            <w:tcW w:w="7560" w:type="dxa"/>
            <w:vAlign w:val="bottom"/>
          </w:tcPr>
          <w:p>
            <w:pPr>
              <w:ind w:left="220"/>
              <w:spacing w:after="0"/>
              <w:rPr>
                <w:sz w:val="20"/>
                <w:szCs w:val="20"/>
                <w:color w:val="auto"/>
              </w:rPr>
            </w:pPr>
            <w:r>
              <w:rPr>
                <w:rFonts w:ascii="Arial" w:cs="Arial" w:eastAsia="Arial" w:hAnsi="Arial"/>
                <w:sz w:val="18"/>
                <w:szCs w:val="18"/>
                <w:color w:val="auto"/>
              </w:rPr>
              <w:t>Costs and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10.6</w:t>
            </w:r>
          </w:p>
        </w:tc>
        <w:tc>
          <w:tcPr>
            <w:tcW w:w="7560" w:type="dxa"/>
            <w:vAlign w:val="bottom"/>
          </w:tcPr>
          <w:p>
            <w:pPr>
              <w:ind w:left="220"/>
              <w:spacing w:after="0"/>
              <w:rPr>
                <w:sz w:val="20"/>
                <w:szCs w:val="20"/>
                <w:color w:val="auto"/>
              </w:rPr>
            </w:pPr>
            <w:r>
              <w:rPr>
                <w:rFonts w:ascii="Arial" w:cs="Arial" w:eastAsia="Arial" w:hAnsi="Arial"/>
                <w:sz w:val="18"/>
                <w:szCs w:val="18"/>
                <w:color w:val="auto"/>
              </w:rPr>
              <w:t>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10.7</w:t>
            </w:r>
          </w:p>
        </w:tc>
        <w:tc>
          <w:tcPr>
            <w:tcW w:w="7560" w:type="dxa"/>
            <w:vAlign w:val="bottom"/>
          </w:tcPr>
          <w:p>
            <w:pPr>
              <w:ind w:left="220"/>
              <w:spacing w:after="0"/>
              <w:rPr>
                <w:sz w:val="20"/>
                <w:szCs w:val="20"/>
                <w:color w:val="auto"/>
              </w:rPr>
            </w:pPr>
            <w:r>
              <w:rPr>
                <w:rFonts w:ascii="Arial" w:cs="Arial" w:eastAsia="Arial" w:hAnsi="Arial"/>
                <w:sz w:val="18"/>
                <w:szCs w:val="18"/>
                <w:color w:val="auto"/>
              </w:rPr>
              <w:t>Marshaling; Payments Set Aside</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10.8</w:t>
            </w:r>
          </w:p>
        </w:tc>
        <w:tc>
          <w:tcPr>
            <w:tcW w:w="7560" w:type="dxa"/>
            <w:vAlign w:val="bottom"/>
          </w:tcPr>
          <w:p>
            <w:pPr>
              <w:ind w:left="220"/>
              <w:spacing w:after="0"/>
              <w:rPr>
                <w:sz w:val="20"/>
                <w:szCs w:val="20"/>
                <w:color w:val="auto"/>
              </w:rPr>
            </w:pPr>
            <w:r>
              <w:rPr>
                <w:rFonts w:ascii="Arial" w:cs="Arial" w:eastAsia="Arial" w:hAnsi="Arial"/>
                <w:sz w:val="18"/>
                <w:szCs w:val="18"/>
                <w:color w:val="auto"/>
              </w:rPr>
              <w:t>Successors and Assigns</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10.9</w:t>
            </w:r>
          </w:p>
        </w:tc>
        <w:tc>
          <w:tcPr>
            <w:tcW w:w="7560" w:type="dxa"/>
            <w:vAlign w:val="bottom"/>
          </w:tcPr>
          <w:p>
            <w:pPr>
              <w:ind w:left="220"/>
              <w:spacing w:after="0"/>
              <w:rPr>
                <w:sz w:val="20"/>
                <w:szCs w:val="20"/>
                <w:color w:val="auto"/>
              </w:rPr>
            </w:pPr>
            <w:r>
              <w:rPr>
                <w:rFonts w:ascii="Arial" w:cs="Arial" w:eastAsia="Arial" w:hAnsi="Arial"/>
                <w:sz w:val="18"/>
                <w:szCs w:val="18"/>
                <w:color w:val="auto"/>
              </w:rPr>
              <w:t>Binding Effect; Assignments and Participations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10.10</w:t>
            </w:r>
          </w:p>
        </w:tc>
        <w:tc>
          <w:tcPr>
            <w:tcW w:w="7560" w:type="dxa"/>
            <w:vAlign w:val="bottom"/>
          </w:tcPr>
          <w:p>
            <w:pPr>
              <w:ind w:left="220"/>
              <w:spacing w:after="0"/>
              <w:rPr>
                <w:sz w:val="20"/>
                <w:szCs w:val="20"/>
                <w:color w:val="auto"/>
              </w:rPr>
            </w:pPr>
            <w:r>
              <w:rPr>
                <w:rFonts w:ascii="Arial" w:cs="Arial" w:eastAsia="Arial" w:hAnsi="Arial"/>
                <w:sz w:val="18"/>
                <w:szCs w:val="18"/>
                <w:color w:val="auto"/>
              </w:rPr>
              <w:t>Non-Public Information; 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10.11</w:t>
            </w:r>
          </w:p>
        </w:tc>
        <w:tc>
          <w:tcPr>
            <w:tcW w:w="7560" w:type="dxa"/>
            <w:vAlign w:val="bottom"/>
          </w:tcPr>
          <w:p>
            <w:pPr>
              <w:ind w:left="220"/>
              <w:spacing w:after="0"/>
              <w:rPr>
                <w:sz w:val="20"/>
                <w:szCs w:val="20"/>
                <w:color w:val="auto"/>
              </w:rPr>
            </w:pPr>
            <w:r>
              <w:rPr>
                <w:rFonts w:ascii="Arial" w:cs="Arial" w:eastAsia="Arial" w:hAnsi="Arial"/>
                <w:sz w:val="18"/>
                <w:szCs w:val="18"/>
                <w:color w:val="auto"/>
              </w:rPr>
              <w:t>Set-off; Sharing of Payments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10.12</w:t>
            </w:r>
          </w:p>
        </w:tc>
        <w:tc>
          <w:tcPr>
            <w:tcW w:w="7560" w:type="dxa"/>
            <w:vAlign w:val="bottom"/>
          </w:tcPr>
          <w:p>
            <w:pPr>
              <w:ind w:left="220"/>
              <w:spacing w:after="0"/>
              <w:rPr>
                <w:sz w:val="20"/>
                <w:szCs w:val="20"/>
                <w:color w:val="auto"/>
              </w:rPr>
            </w:pPr>
            <w:r>
              <w:rPr>
                <w:rFonts w:ascii="Arial" w:cs="Arial" w:eastAsia="Arial" w:hAnsi="Arial"/>
                <w:sz w:val="18"/>
                <w:szCs w:val="18"/>
                <w:color w:val="auto"/>
              </w:rPr>
              <w:t>Counterparts; Facsimile Signature</w:t>
            </w:r>
          </w:p>
        </w:tc>
        <w:tc>
          <w:tcPr>
            <w:tcW w:w="2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10.13</w:t>
            </w:r>
          </w:p>
        </w:tc>
        <w:tc>
          <w:tcPr>
            <w:tcW w:w="7560" w:type="dxa"/>
            <w:vAlign w:val="bottom"/>
          </w:tcPr>
          <w:p>
            <w:pPr>
              <w:ind w:left="220"/>
              <w:spacing w:after="0"/>
              <w:rPr>
                <w:sz w:val="20"/>
                <w:szCs w:val="20"/>
                <w:color w:val="auto"/>
              </w:rPr>
            </w:pPr>
            <w:r>
              <w:rPr>
                <w:rFonts w:ascii="Arial" w:cs="Arial" w:eastAsia="Arial" w:hAnsi="Arial"/>
                <w:sz w:val="18"/>
                <w:szCs w:val="18"/>
                <w:color w:val="auto"/>
              </w:rPr>
              <w:t>Severability; Captions; Independence of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10.14</w:t>
            </w:r>
          </w:p>
        </w:tc>
        <w:tc>
          <w:tcPr>
            <w:tcW w:w="756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10.15</w:t>
            </w:r>
          </w:p>
        </w:tc>
        <w:tc>
          <w:tcPr>
            <w:tcW w:w="7560" w:type="dxa"/>
            <w:vAlign w:val="bottom"/>
          </w:tcPr>
          <w:p>
            <w:pPr>
              <w:ind w:left="220"/>
              <w:spacing w:after="0"/>
              <w:rPr>
                <w:sz w:val="20"/>
                <w:szCs w:val="20"/>
                <w:color w:val="auto"/>
              </w:rPr>
            </w:pPr>
            <w:r>
              <w:rPr>
                <w:rFonts w:ascii="Arial" w:cs="Arial" w:eastAsia="Arial" w:hAnsi="Arial"/>
                <w:sz w:val="18"/>
                <w:szCs w:val="18"/>
                <w:color w:val="auto"/>
              </w:rPr>
              <w:t>No Third Parties Benefited</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10.16</w:t>
            </w:r>
          </w:p>
        </w:tc>
        <w:tc>
          <w:tcPr>
            <w:tcW w:w="7560" w:type="dxa"/>
            <w:vAlign w:val="bottom"/>
          </w:tcPr>
          <w:p>
            <w:pPr>
              <w:ind w:left="220"/>
              <w:spacing w:after="0"/>
              <w:rPr>
                <w:sz w:val="20"/>
                <w:szCs w:val="20"/>
                <w:color w:val="auto"/>
              </w:rPr>
            </w:pPr>
            <w:r>
              <w:rPr>
                <w:rFonts w:ascii="Arial" w:cs="Arial" w:eastAsia="Arial" w:hAnsi="Arial"/>
                <w:sz w:val="18"/>
                <w:szCs w:val="18"/>
                <w:color w:val="auto"/>
              </w:rPr>
              <w:t>Governing Law and Jurisdiction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10.17</w:t>
            </w:r>
          </w:p>
        </w:tc>
        <w:tc>
          <w:tcPr>
            <w:tcW w:w="7560" w:type="dxa"/>
            <w:vAlign w:val="bottom"/>
          </w:tcPr>
          <w:p>
            <w:pPr>
              <w:ind w:left="220"/>
              <w:spacing w:after="0"/>
              <w:rPr>
                <w:sz w:val="20"/>
                <w:szCs w:val="20"/>
                <w:color w:val="auto"/>
              </w:rPr>
            </w:pPr>
            <w:r>
              <w:rPr>
                <w:rFonts w:ascii="Arial" w:cs="Arial" w:eastAsia="Arial" w:hAnsi="Arial"/>
                <w:sz w:val="18"/>
                <w:szCs w:val="18"/>
                <w:color w:val="auto"/>
              </w:rPr>
              <w:t>Waiver of Jury Trial</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10.18</w:t>
            </w:r>
          </w:p>
        </w:tc>
        <w:tc>
          <w:tcPr>
            <w:tcW w:w="7560" w:type="dxa"/>
            <w:vAlign w:val="bottom"/>
          </w:tcPr>
          <w:p>
            <w:pPr>
              <w:ind w:left="220"/>
              <w:spacing w:after="0"/>
              <w:rPr>
                <w:sz w:val="20"/>
                <w:szCs w:val="20"/>
                <w:color w:val="auto"/>
              </w:rPr>
            </w:pPr>
            <w:r>
              <w:rPr>
                <w:rFonts w:ascii="Arial" w:cs="Arial" w:eastAsia="Arial" w:hAnsi="Arial"/>
                <w:sz w:val="18"/>
                <w:szCs w:val="18"/>
                <w:color w:val="auto"/>
              </w:rPr>
              <w:t>Entire Agreement; Release; Survival</w:t>
            </w:r>
          </w:p>
        </w:tc>
        <w:tc>
          <w:tcPr>
            <w:tcW w:w="24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10.19</w:t>
            </w:r>
          </w:p>
        </w:tc>
        <w:tc>
          <w:tcPr>
            <w:tcW w:w="7560" w:type="dxa"/>
            <w:vAlign w:val="bottom"/>
          </w:tcPr>
          <w:p>
            <w:pPr>
              <w:ind w:left="220"/>
              <w:spacing w:after="0"/>
              <w:rPr>
                <w:sz w:val="20"/>
                <w:szCs w:val="20"/>
                <w:color w:val="auto"/>
              </w:rPr>
            </w:pPr>
            <w:r>
              <w:rPr>
                <w:rFonts w:ascii="Arial" w:cs="Arial" w:eastAsia="Arial" w:hAnsi="Arial"/>
                <w:sz w:val="18"/>
                <w:szCs w:val="18"/>
                <w:color w:val="auto"/>
              </w:rPr>
              <w:t>USA Patriot Act</w:t>
            </w:r>
          </w:p>
        </w:tc>
        <w:tc>
          <w:tcPr>
            <w:tcW w:w="2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10.20</w:t>
            </w:r>
          </w:p>
        </w:tc>
        <w:tc>
          <w:tcPr>
            <w:tcW w:w="7560" w:type="dxa"/>
            <w:vAlign w:val="bottom"/>
          </w:tcPr>
          <w:p>
            <w:pPr>
              <w:ind w:left="220"/>
              <w:spacing w:after="0"/>
              <w:rPr>
                <w:sz w:val="20"/>
                <w:szCs w:val="20"/>
                <w:color w:val="auto"/>
              </w:rPr>
            </w:pPr>
            <w:r>
              <w:rPr>
                <w:rFonts w:ascii="Arial" w:cs="Arial" w:eastAsia="Arial" w:hAnsi="Arial"/>
                <w:sz w:val="18"/>
                <w:szCs w:val="18"/>
                <w:color w:val="auto"/>
              </w:rPr>
              <w:t>Replacement of Lender</w:t>
            </w:r>
          </w:p>
        </w:tc>
        <w:tc>
          <w:tcPr>
            <w:tcW w:w="24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10.21</w:t>
            </w:r>
          </w:p>
        </w:tc>
        <w:tc>
          <w:tcPr>
            <w:tcW w:w="7560" w:type="dxa"/>
            <w:vAlign w:val="bottom"/>
          </w:tcPr>
          <w:p>
            <w:pPr>
              <w:ind w:left="220"/>
              <w:spacing w:after="0"/>
              <w:rPr>
                <w:sz w:val="20"/>
                <w:szCs w:val="20"/>
                <w:color w:val="auto"/>
              </w:rPr>
            </w:pPr>
            <w:r>
              <w:rPr>
                <w:rFonts w:ascii="Arial" w:cs="Arial" w:eastAsia="Arial" w:hAnsi="Arial"/>
                <w:sz w:val="18"/>
                <w:szCs w:val="18"/>
                <w:color w:val="auto"/>
              </w:rPr>
              <w:t>Joint and Several</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10.22</w:t>
            </w:r>
          </w:p>
        </w:tc>
        <w:tc>
          <w:tcPr>
            <w:tcW w:w="7560" w:type="dxa"/>
            <w:vAlign w:val="bottom"/>
          </w:tcPr>
          <w:p>
            <w:pPr>
              <w:ind w:left="220"/>
              <w:spacing w:after="0"/>
              <w:rPr>
                <w:sz w:val="20"/>
                <w:szCs w:val="20"/>
                <w:color w:val="auto"/>
              </w:rPr>
            </w:pPr>
            <w:r>
              <w:rPr>
                <w:rFonts w:ascii="Arial" w:cs="Arial" w:eastAsia="Arial" w:hAnsi="Arial"/>
                <w:sz w:val="18"/>
                <w:szCs w:val="18"/>
                <w:color w:val="auto"/>
              </w:rPr>
              <w:t>Creditor-Debtor Relationship</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10.23</w:t>
            </w:r>
          </w:p>
        </w:tc>
        <w:tc>
          <w:tcPr>
            <w:tcW w:w="7560" w:type="dxa"/>
            <w:vAlign w:val="bottom"/>
          </w:tcPr>
          <w:p>
            <w:pPr>
              <w:ind w:left="220"/>
              <w:spacing w:after="0"/>
              <w:rPr>
                <w:sz w:val="20"/>
                <w:szCs w:val="20"/>
                <w:color w:val="auto"/>
              </w:rPr>
            </w:pPr>
            <w:r>
              <w:rPr>
                <w:rFonts w:ascii="Arial" w:cs="Arial" w:eastAsia="Arial" w:hAnsi="Arial"/>
                <w:sz w:val="18"/>
                <w:szCs w:val="18"/>
                <w:color w:val="auto"/>
              </w:rPr>
              <w:t>Keepwell</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10.24</w:t>
            </w:r>
          </w:p>
        </w:tc>
        <w:tc>
          <w:tcPr>
            <w:tcW w:w="7560" w:type="dxa"/>
            <w:vAlign w:val="bottom"/>
          </w:tcPr>
          <w:p>
            <w:pPr>
              <w:ind w:left="220"/>
              <w:spacing w:after="0"/>
              <w:rPr>
                <w:sz w:val="20"/>
                <w:szCs w:val="20"/>
                <w:color w:val="auto"/>
              </w:rPr>
            </w:pPr>
            <w:r>
              <w:rPr>
                <w:rFonts w:ascii="Arial" w:cs="Arial" w:eastAsia="Arial" w:hAnsi="Arial"/>
                <w:sz w:val="18"/>
                <w:szCs w:val="18"/>
                <w:color w:val="auto"/>
              </w:rPr>
              <w:t>Secured Swap Providers and Secured Cash Management Banks</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1400" w:type="dxa"/>
            <w:vAlign w:val="bottom"/>
          </w:tcPr>
          <w:p>
            <w:pPr>
              <w:ind w:left="760"/>
              <w:spacing w:after="0"/>
              <w:rPr>
                <w:sz w:val="20"/>
                <w:szCs w:val="20"/>
                <w:color w:val="auto"/>
              </w:rPr>
            </w:pPr>
            <w:r>
              <w:rPr>
                <w:rFonts w:ascii="Arial" w:cs="Arial" w:eastAsia="Arial" w:hAnsi="Arial"/>
                <w:sz w:val="18"/>
                <w:szCs w:val="18"/>
                <w:color w:val="auto"/>
              </w:rPr>
              <w:t>10.25</w:t>
            </w:r>
          </w:p>
        </w:tc>
        <w:tc>
          <w:tcPr>
            <w:tcW w:w="756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960" w:type="dxa"/>
            <w:vAlign w:val="bottom"/>
            <w:gridSpan w:val="2"/>
          </w:tcPr>
          <w:p>
            <w:pPr>
              <w:spacing w:after="0"/>
              <w:rPr>
                <w:sz w:val="20"/>
                <w:szCs w:val="20"/>
                <w:color w:val="auto"/>
              </w:rPr>
            </w:pPr>
            <w:r>
              <w:rPr>
                <w:rFonts w:ascii="Arial" w:cs="Arial" w:eastAsia="Arial" w:hAnsi="Arial"/>
                <w:sz w:val="18"/>
                <w:szCs w:val="18"/>
                <w:color w:val="auto"/>
              </w:rPr>
              <w:t>ARTICLE XI TAXES, YIELD PROTECTION AND ILLEGALITY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10"/>
        </w:trPr>
        <w:tc>
          <w:tcPr>
            <w:tcW w:w="1400" w:type="dxa"/>
            <w:vAlign w:val="bottom"/>
          </w:tcPr>
          <w:p>
            <w:pPr>
              <w:ind w:left="760"/>
              <w:spacing w:after="0"/>
              <w:rPr>
                <w:sz w:val="20"/>
                <w:szCs w:val="20"/>
                <w:color w:val="auto"/>
              </w:rPr>
            </w:pPr>
            <w:r>
              <w:rPr>
                <w:rFonts w:ascii="Arial" w:cs="Arial" w:eastAsia="Arial" w:hAnsi="Arial"/>
                <w:sz w:val="18"/>
                <w:szCs w:val="18"/>
                <w:color w:val="auto"/>
              </w:rPr>
              <w:t>11.1</w:t>
            </w:r>
          </w:p>
        </w:tc>
        <w:tc>
          <w:tcPr>
            <w:tcW w:w="7560" w:type="dxa"/>
            <w:vAlign w:val="bottom"/>
          </w:tcPr>
          <w:p>
            <w:pPr>
              <w:ind w:left="220"/>
              <w:spacing w:after="0"/>
              <w:rPr>
                <w:sz w:val="20"/>
                <w:szCs w:val="20"/>
                <w:color w:val="auto"/>
              </w:rPr>
            </w:pPr>
            <w:r>
              <w:rPr>
                <w:rFonts w:ascii="Arial" w:cs="Arial" w:eastAsia="Arial" w:hAnsi="Arial"/>
                <w:sz w:val="18"/>
                <w:szCs w:val="18"/>
                <w:color w:val="auto"/>
              </w:rPr>
              <w:t>Taxes</w:t>
            </w:r>
          </w:p>
        </w:tc>
        <w:tc>
          <w:tcPr>
            <w:tcW w:w="24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400" w:type="dxa"/>
            <w:vAlign w:val="bottom"/>
          </w:tcPr>
          <w:p>
            <w:pPr>
              <w:ind w:left="760"/>
              <w:spacing w:after="0"/>
              <w:rPr>
                <w:sz w:val="20"/>
                <w:szCs w:val="20"/>
                <w:color w:val="auto"/>
              </w:rPr>
            </w:pPr>
            <w:r>
              <w:rPr>
                <w:rFonts w:ascii="Arial" w:cs="Arial" w:eastAsia="Arial" w:hAnsi="Arial"/>
                <w:sz w:val="18"/>
                <w:szCs w:val="18"/>
                <w:color w:val="auto"/>
              </w:rPr>
              <w:t>11.2</w:t>
            </w:r>
          </w:p>
        </w:tc>
        <w:tc>
          <w:tcPr>
            <w:tcW w:w="7560" w:type="dxa"/>
            <w:vAlign w:val="bottom"/>
          </w:tcPr>
          <w:p>
            <w:pPr>
              <w:ind w:left="220"/>
              <w:spacing w:after="0"/>
              <w:rPr>
                <w:sz w:val="20"/>
                <w:szCs w:val="20"/>
                <w:color w:val="auto"/>
              </w:rPr>
            </w:pPr>
            <w:r>
              <w:rPr>
                <w:rFonts w:ascii="Arial" w:cs="Arial" w:eastAsia="Arial" w:hAnsi="Arial"/>
                <w:sz w:val="18"/>
                <w:szCs w:val="18"/>
                <w:color w:val="auto"/>
              </w:rPr>
              <w:t>Illegality</w:t>
            </w:r>
          </w:p>
        </w:tc>
        <w:tc>
          <w:tcPr>
            <w:tcW w:w="24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1400" w:type="dxa"/>
            <w:vAlign w:val="bottom"/>
          </w:tcPr>
          <w:p>
            <w:pPr>
              <w:ind w:left="760"/>
              <w:spacing w:after="0"/>
              <w:rPr>
                <w:sz w:val="20"/>
                <w:szCs w:val="20"/>
                <w:color w:val="auto"/>
              </w:rPr>
            </w:pPr>
            <w:r>
              <w:rPr>
                <w:rFonts w:ascii="Arial" w:cs="Arial" w:eastAsia="Arial" w:hAnsi="Arial"/>
                <w:sz w:val="18"/>
                <w:szCs w:val="18"/>
                <w:color w:val="auto"/>
              </w:rPr>
              <w:t>11.3</w:t>
            </w:r>
          </w:p>
        </w:tc>
        <w:tc>
          <w:tcPr>
            <w:tcW w:w="7560" w:type="dxa"/>
            <w:vAlign w:val="bottom"/>
          </w:tcPr>
          <w:p>
            <w:pPr>
              <w:ind w:left="220"/>
              <w:spacing w:after="0"/>
              <w:rPr>
                <w:sz w:val="20"/>
                <w:szCs w:val="20"/>
                <w:color w:val="auto"/>
              </w:rPr>
            </w:pPr>
            <w:r>
              <w:rPr>
                <w:rFonts w:ascii="Arial" w:cs="Arial" w:eastAsia="Arial" w:hAnsi="Arial"/>
                <w:sz w:val="18"/>
                <w:szCs w:val="18"/>
                <w:color w:val="auto"/>
              </w:rPr>
              <w:t>Increased Costs and Reduction of Return</w:t>
            </w:r>
          </w:p>
        </w:tc>
        <w:tc>
          <w:tcPr>
            <w:tcW w:w="240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274"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320" w:type="dxa"/>
            <w:vAlign w:val="bottom"/>
          </w:tcPr>
          <w:p>
            <w:pPr>
              <w:ind w:left="780"/>
              <w:spacing w:after="0"/>
              <w:rPr>
                <w:sz w:val="20"/>
                <w:szCs w:val="20"/>
                <w:color w:val="auto"/>
              </w:rPr>
            </w:pPr>
            <w:r>
              <w:rPr>
                <w:rFonts w:ascii="Arial" w:cs="Arial" w:eastAsia="Arial" w:hAnsi="Arial"/>
                <w:sz w:val="18"/>
                <w:szCs w:val="18"/>
                <w:color w:val="auto"/>
              </w:rPr>
              <w:t>11.4</w:t>
            </w:r>
          </w:p>
        </w:tc>
        <w:tc>
          <w:tcPr>
            <w:tcW w:w="7360" w:type="dxa"/>
            <w:vAlign w:val="bottom"/>
          </w:tcPr>
          <w:p>
            <w:pPr>
              <w:ind w:left="240"/>
              <w:spacing w:after="0"/>
              <w:rPr>
                <w:sz w:val="20"/>
                <w:szCs w:val="20"/>
                <w:color w:val="auto"/>
              </w:rPr>
            </w:pPr>
            <w:r>
              <w:rPr>
                <w:rFonts w:ascii="Arial" w:cs="Arial" w:eastAsia="Arial" w:hAnsi="Arial"/>
                <w:sz w:val="18"/>
                <w:szCs w:val="18"/>
                <w:color w:val="auto"/>
              </w:rPr>
              <w:t>Funding Losses</w:t>
            </w: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ind w:left="780"/>
              <w:spacing w:after="0"/>
              <w:rPr>
                <w:sz w:val="20"/>
                <w:szCs w:val="20"/>
                <w:color w:val="auto"/>
              </w:rPr>
            </w:pPr>
            <w:r>
              <w:rPr>
                <w:rFonts w:ascii="Arial" w:cs="Arial" w:eastAsia="Arial" w:hAnsi="Arial"/>
                <w:sz w:val="18"/>
                <w:szCs w:val="18"/>
                <w:color w:val="auto"/>
              </w:rPr>
              <w:t>11.5</w:t>
            </w:r>
          </w:p>
        </w:tc>
        <w:tc>
          <w:tcPr>
            <w:tcW w:w="736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ind w:left="780"/>
              <w:spacing w:after="0"/>
              <w:rPr>
                <w:sz w:val="20"/>
                <w:szCs w:val="20"/>
                <w:color w:val="auto"/>
              </w:rPr>
            </w:pPr>
            <w:r>
              <w:rPr>
                <w:rFonts w:ascii="Arial" w:cs="Arial" w:eastAsia="Arial" w:hAnsi="Arial"/>
                <w:sz w:val="18"/>
                <w:szCs w:val="18"/>
                <w:color w:val="auto"/>
              </w:rPr>
              <w:t>11.6</w:t>
            </w:r>
          </w:p>
        </w:tc>
        <w:tc>
          <w:tcPr>
            <w:tcW w:w="7360" w:type="dxa"/>
            <w:vAlign w:val="bottom"/>
          </w:tcPr>
          <w:p>
            <w:pPr>
              <w:ind w:left="240"/>
              <w:spacing w:after="0"/>
              <w:rPr>
                <w:sz w:val="20"/>
                <w:szCs w:val="20"/>
                <w:color w:val="auto"/>
              </w:rPr>
            </w:pPr>
            <w:r>
              <w:rPr>
                <w:rFonts w:ascii="Arial" w:cs="Arial" w:eastAsia="Arial" w:hAnsi="Arial"/>
                <w:sz w:val="18"/>
                <w:szCs w:val="18"/>
                <w:color w:val="auto"/>
              </w:rPr>
              <w:t>Reserves on LIBOR Rate Loans</w:t>
            </w: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320" w:type="dxa"/>
            <w:vAlign w:val="bottom"/>
          </w:tcPr>
          <w:p>
            <w:pPr>
              <w:ind w:left="780"/>
              <w:spacing w:after="0"/>
              <w:rPr>
                <w:sz w:val="20"/>
                <w:szCs w:val="20"/>
                <w:color w:val="auto"/>
              </w:rPr>
            </w:pPr>
            <w:r>
              <w:rPr>
                <w:rFonts w:ascii="Arial" w:cs="Arial" w:eastAsia="Arial" w:hAnsi="Arial"/>
                <w:sz w:val="18"/>
                <w:szCs w:val="18"/>
                <w:color w:val="auto"/>
              </w:rPr>
              <w:t>11.7</w:t>
            </w:r>
          </w:p>
        </w:tc>
        <w:tc>
          <w:tcPr>
            <w:tcW w:w="7360" w:type="dxa"/>
            <w:vAlign w:val="bottom"/>
          </w:tcPr>
          <w:p>
            <w:pPr>
              <w:ind w:left="240"/>
              <w:spacing w:after="0"/>
              <w:rPr>
                <w:sz w:val="20"/>
                <w:szCs w:val="20"/>
                <w:color w:val="auto"/>
              </w:rPr>
            </w:pPr>
            <w:r>
              <w:rPr>
                <w:rFonts w:ascii="Arial" w:cs="Arial" w:eastAsia="Arial" w:hAnsi="Arial"/>
                <w:sz w:val="18"/>
                <w:szCs w:val="18"/>
                <w:color w:val="auto"/>
              </w:rPr>
              <w:t>Certificates of Lenders</w:t>
            </w:r>
          </w:p>
        </w:tc>
        <w:tc>
          <w:tcPr>
            <w:tcW w:w="26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1320" w:type="dxa"/>
            <w:vAlign w:val="bottom"/>
          </w:tcPr>
          <w:p>
            <w:pPr>
              <w:ind w:left="780"/>
              <w:spacing w:after="0"/>
              <w:rPr>
                <w:sz w:val="20"/>
                <w:szCs w:val="20"/>
                <w:color w:val="auto"/>
              </w:rPr>
            </w:pPr>
            <w:r>
              <w:rPr>
                <w:rFonts w:ascii="Arial" w:cs="Arial" w:eastAsia="Arial" w:hAnsi="Arial"/>
                <w:sz w:val="18"/>
                <w:szCs w:val="18"/>
                <w:color w:val="auto"/>
              </w:rPr>
              <w:t>11.8</w:t>
            </w:r>
          </w:p>
        </w:tc>
        <w:tc>
          <w:tcPr>
            <w:tcW w:w="7360" w:type="dxa"/>
            <w:vAlign w:val="bottom"/>
          </w:tcPr>
          <w:p>
            <w:pPr>
              <w:ind w:left="240"/>
              <w:spacing w:after="0"/>
              <w:rPr>
                <w:sz w:val="20"/>
                <w:szCs w:val="20"/>
                <w:color w:val="auto"/>
              </w:rPr>
            </w:pPr>
            <w:r>
              <w:rPr>
                <w:rFonts w:ascii="Arial" w:cs="Arial" w:eastAsia="Arial" w:hAnsi="Arial"/>
                <w:sz w:val="18"/>
                <w:szCs w:val="18"/>
                <w:color w:val="auto"/>
              </w:rPr>
              <w:t>Secured Cash Management Agreements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648"/>
        </w:trPr>
        <w:tc>
          <w:tcPr>
            <w:tcW w:w="1320" w:type="dxa"/>
            <w:vAlign w:val="bottom"/>
          </w:tcPr>
          <w:p>
            <w:pPr>
              <w:spacing w:after="0"/>
              <w:rPr>
                <w:sz w:val="24"/>
                <w:szCs w:val="24"/>
                <w:color w:val="auto"/>
              </w:rPr>
            </w:pPr>
          </w:p>
        </w:tc>
        <w:tc>
          <w:tcPr>
            <w:tcW w:w="7360" w:type="dxa"/>
            <w:vAlign w:val="bottom"/>
          </w:tcPr>
          <w:p>
            <w:pPr>
              <w:ind w:left="3840"/>
              <w:spacing w:after="0"/>
              <w:rPr>
                <w:sz w:val="20"/>
                <w:szCs w:val="20"/>
                <w:color w:val="auto"/>
              </w:rPr>
            </w:pPr>
            <w:r>
              <w:rPr>
                <w:rFonts w:ascii="Arial" w:cs="Arial" w:eastAsia="Arial" w:hAnsi="Arial"/>
                <w:sz w:val="18"/>
                <w:szCs w:val="18"/>
                <w:b w:val="1"/>
                <w:bCs w:val="1"/>
                <w:color w:val="auto"/>
              </w:rPr>
              <w:t>SCHEDULES</w:t>
            </w:r>
          </w:p>
        </w:tc>
        <w:tc>
          <w:tcPr>
            <w:tcW w:w="26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Schedule 1.1</w:t>
            </w:r>
          </w:p>
        </w:tc>
        <w:tc>
          <w:tcPr>
            <w:tcW w:w="7360" w:type="dxa"/>
            <w:vAlign w:val="bottom"/>
          </w:tcPr>
          <w:p>
            <w:pPr>
              <w:ind w:left="760"/>
              <w:spacing w:after="0"/>
              <w:rPr>
                <w:sz w:val="20"/>
                <w:szCs w:val="20"/>
                <w:color w:val="auto"/>
              </w:rPr>
            </w:pPr>
            <w:r>
              <w:rPr>
                <w:rFonts w:ascii="Arial" w:cs="Arial" w:eastAsia="Arial" w:hAnsi="Arial"/>
                <w:sz w:val="18"/>
                <w:szCs w:val="18"/>
                <w:color w:val="auto"/>
              </w:rPr>
              <w:t>Prior Indebtedness</w:t>
            </w:r>
          </w:p>
        </w:tc>
        <w:tc>
          <w:tcPr>
            <w:tcW w:w="268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1.2</w:t>
            </w:r>
          </w:p>
        </w:tc>
        <w:tc>
          <w:tcPr>
            <w:tcW w:w="7360" w:type="dxa"/>
            <w:vAlign w:val="bottom"/>
          </w:tcPr>
          <w:p>
            <w:pPr>
              <w:ind w:left="760"/>
              <w:spacing w:after="0"/>
              <w:rPr>
                <w:sz w:val="20"/>
                <w:szCs w:val="20"/>
                <w:color w:val="auto"/>
              </w:rPr>
            </w:pPr>
            <w:r>
              <w:rPr>
                <w:rFonts w:ascii="Arial" w:cs="Arial" w:eastAsia="Arial" w:hAnsi="Arial"/>
                <w:sz w:val="18"/>
                <w:szCs w:val="18"/>
                <w:color w:val="auto"/>
              </w:rPr>
              <w:t>Existing Letters of Credit</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2.1</w:t>
            </w:r>
          </w:p>
        </w:tc>
        <w:tc>
          <w:tcPr>
            <w:tcW w:w="7360" w:type="dxa"/>
            <w:vAlign w:val="bottom"/>
          </w:tcPr>
          <w:p>
            <w:pPr>
              <w:ind w:left="760"/>
              <w:spacing w:after="0"/>
              <w:rPr>
                <w:sz w:val="20"/>
                <w:szCs w:val="20"/>
                <w:color w:val="auto"/>
              </w:rPr>
            </w:pPr>
            <w:r>
              <w:rPr>
                <w:rFonts w:ascii="Arial" w:cs="Arial" w:eastAsia="Arial" w:hAnsi="Arial"/>
                <w:sz w:val="18"/>
                <w:szCs w:val="18"/>
                <w:color w:val="auto"/>
              </w:rPr>
              <w:t>Initial Commitments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4.5</w:t>
            </w:r>
          </w:p>
        </w:tc>
        <w:tc>
          <w:tcPr>
            <w:tcW w:w="7360" w:type="dxa"/>
            <w:vAlign w:val="bottom"/>
          </w:tcPr>
          <w:p>
            <w:pPr>
              <w:ind w:left="760"/>
              <w:spacing w:after="0"/>
              <w:rPr>
                <w:sz w:val="20"/>
                <w:szCs w:val="20"/>
                <w:color w:val="auto"/>
              </w:rPr>
            </w:pPr>
            <w:r>
              <w:rPr>
                <w:rFonts w:ascii="Arial" w:cs="Arial" w:eastAsia="Arial" w:hAnsi="Arial"/>
                <w:sz w:val="18"/>
                <w:szCs w:val="18"/>
                <w:color w:val="auto"/>
              </w:rPr>
              <w:t>Litigation</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4.7</w:t>
            </w:r>
          </w:p>
        </w:tc>
        <w:tc>
          <w:tcPr>
            <w:tcW w:w="7360" w:type="dxa"/>
            <w:vAlign w:val="bottom"/>
          </w:tcPr>
          <w:p>
            <w:pPr>
              <w:ind w:left="760"/>
              <w:spacing w:after="0"/>
              <w:rPr>
                <w:sz w:val="20"/>
                <w:szCs w:val="20"/>
                <w:color w:val="auto"/>
              </w:rPr>
            </w:pPr>
            <w:r>
              <w:rPr>
                <w:rFonts w:ascii="Arial" w:cs="Arial" w:eastAsia="Arial" w:hAnsi="Arial"/>
                <w:sz w:val="18"/>
                <w:szCs w:val="18"/>
                <w:color w:val="auto"/>
              </w:rPr>
              <w:t>ERISA</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4.8</w:t>
            </w:r>
          </w:p>
        </w:tc>
        <w:tc>
          <w:tcPr>
            <w:tcW w:w="7360" w:type="dxa"/>
            <w:vAlign w:val="bottom"/>
          </w:tcPr>
          <w:p>
            <w:pPr>
              <w:ind w:left="760"/>
              <w:spacing w:after="0"/>
              <w:rPr>
                <w:sz w:val="20"/>
                <w:szCs w:val="20"/>
                <w:color w:val="auto"/>
              </w:rPr>
            </w:pPr>
            <w:r>
              <w:rPr>
                <w:rFonts w:ascii="Arial" w:cs="Arial" w:eastAsia="Arial" w:hAnsi="Arial"/>
                <w:sz w:val="18"/>
                <w:szCs w:val="18"/>
                <w:color w:val="auto"/>
              </w:rPr>
              <w:t>Margin Stock</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4.9</w:t>
            </w:r>
          </w:p>
        </w:tc>
        <w:tc>
          <w:tcPr>
            <w:tcW w:w="7360" w:type="dxa"/>
            <w:vAlign w:val="bottom"/>
          </w:tcPr>
          <w:p>
            <w:pPr>
              <w:ind w:left="760"/>
              <w:spacing w:after="0"/>
              <w:rPr>
                <w:sz w:val="20"/>
                <w:szCs w:val="20"/>
                <w:color w:val="auto"/>
              </w:rPr>
            </w:pPr>
            <w:r>
              <w:rPr>
                <w:rFonts w:ascii="Arial" w:cs="Arial" w:eastAsia="Arial" w:hAnsi="Arial"/>
                <w:sz w:val="18"/>
                <w:szCs w:val="18"/>
                <w:color w:val="auto"/>
              </w:rPr>
              <w:t>Real Estate</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4.12</w:t>
            </w:r>
          </w:p>
        </w:tc>
        <w:tc>
          <w:tcPr>
            <w:tcW w:w="7360" w:type="dxa"/>
            <w:vAlign w:val="bottom"/>
          </w:tcPr>
          <w:p>
            <w:pPr>
              <w:ind w:left="760"/>
              <w:spacing w:after="0"/>
              <w:rPr>
                <w:sz w:val="20"/>
                <w:szCs w:val="20"/>
                <w:color w:val="auto"/>
              </w:rPr>
            </w:pPr>
            <w:r>
              <w:rPr>
                <w:rFonts w:ascii="Arial" w:cs="Arial" w:eastAsia="Arial" w:hAnsi="Arial"/>
                <w:sz w:val="18"/>
                <w:szCs w:val="18"/>
                <w:color w:val="auto"/>
              </w:rPr>
              <w:t>Environmental</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4.15</w:t>
            </w:r>
          </w:p>
        </w:tc>
        <w:tc>
          <w:tcPr>
            <w:tcW w:w="7360" w:type="dxa"/>
            <w:vAlign w:val="bottom"/>
          </w:tcPr>
          <w:p>
            <w:pPr>
              <w:ind w:left="760"/>
              <w:spacing w:after="0"/>
              <w:rPr>
                <w:sz w:val="20"/>
                <w:szCs w:val="20"/>
                <w:color w:val="auto"/>
              </w:rPr>
            </w:pPr>
            <w:r>
              <w:rPr>
                <w:rFonts w:ascii="Arial" w:cs="Arial" w:eastAsia="Arial" w:hAnsi="Arial"/>
                <w:sz w:val="18"/>
                <w:szCs w:val="18"/>
                <w:color w:val="auto"/>
              </w:rPr>
              <w:t>Labor Relations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4.17</w:t>
            </w:r>
          </w:p>
        </w:tc>
        <w:tc>
          <w:tcPr>
            <w:tcW w:w="7360" w:type="dxa"/>
            <w:vAlign w:val="bottom"/>
          </w:tcPr>
          <w:p>
            <w:pPr>
              <w:ind w:left="760"/>
              <w:spacing w:after="0"/>
              <w:rPr>
                <w:sz w:val="20"/>
                <w:szCs w:val="20"/>
                <w:color w:val="auto"/>
              </w:rPr>
            </w:pPr>
            <w:r>
              <w:rPr>
                <w:rFonts w:ascii="Arial" w:cs="Arial" w:eastAsia="Arial" w:hAnsi="Arial"/>
                <w:sz w:val="18"/>
                <w:szCs w:val="18"/>
                <w:color w:val="auto"/>
              </w:rPr>
              <w:t>Brokers’ and Transaction Fees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4.18</w:t>
            </w:r>
          </w:p>
        </w:tc>
        <w:tc>
          <w:tcPr>
            <w:tcW w:w="7360" w:type="dxa"/>
            <w:vAlign w:val="bottom"/>
          </w:tcPr>
          <w:p>
            <w:pPr>
              <w:ind w:left="760"/>
              <w:spacing w:after="0"/>
              <w:rPr>
                <w:sz w:val="20"/>
                <w:szCs w:val="20"/>
                <w:color w:val="auto"/>
              </w:rPr>
            </w:pPr>
            <w:r>
              <w:rPr>
                <w:rFonts w:ascii="Arial" w:cs="Arial" w:eastAsia="Arial" w:hAnsi="Arial"/>
                <w:sz w:val="18"/>
                <w:szCs w:val="18"/>
                <w:color w:val="auto"/>
              </w:rPr>
              <w:t>Ventures, Subsidiaries and Affiliates; Outstanding Stock</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4.19</w:t>
            </w:r>
          </w:p>
        </w:tc>
        <w:tc>
          <w:tcPr>
            <w:tcW w:w="7360" w:type="dxa"/>
            <w:vAlign w:val="bottom"/>
          </w:tcPr>
          <w:p>
            <w:pPr>
              <w:ind w:left="760"/>
              <w:spacing w:after="0"/>
              <w:rPr>
                <w:sz w:val="20"/>
                <w:szCs w:val="20"/>
                <w:color w:val="auto"/>
              </w:rPr>
            </w:pPr>
            <w:r>
              <w:rPr>
                <w:rFonts w:ascii="Arial" w:cs="Arial" w:eastAsia="Arial" w:hAnsi="Arial"/>
                <w:sz w:val="18"/>
                <w:szCs w:val="18"/>
                <w:color w:val="auto"/>
              </w:rPr>
              <w:t>Jurisdiction of Organization; Chief Executive Office</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4.20</w:t>
            </w:r>
          </w:p>
        </w:tc>
        <w:tc>
          <w:tcPr>
            <w:tcW w:w="7360" w:type="dxa"/>
            <w:vAlign w:val="bottom"/>
          </w:tcPr>
          <w:p>
            <w:pPr>
              <w:ind w:left="760"/>
              <w:spacing w:after="0"/>
              <w:rPr>
                <w:sz w:val="20"/>
                <w:szCs w:val="20"/>
                <w:color w:val="auto"/>
              </w:rPr>
            </w:pPr>
            <w:r>
              <w:rPr>
                <w:rFonts w:ascii="Arial" w:cs="Arial" w:eastAsia="Arial" w:hAnsi="Arial"/>
                <w:sz w:val="18"/>
                <w:szCs w:val="18"/>
                <w:color w:val="auto"/>
              </w:rPr>
              <w:t>Deposit Accounts and Other Accounts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4.22</w:t>
            </w:r>
          </w:p>
        </w:tc>
        <w:tc>
          <w:tcPr>
            <w:tcW w:w="7360" w:type="dxa"/>
            <w:vAlign w:val="bottom"/>
          </w:tcPr>
          <w:p>
            <w:pPr>
              <w:ind w:left="760"/>
              <w:spacing w:after="0"/>
              <w:rPr>
                <w:sz w:val="20"/>
                <w:szCs w:val="20"/>
                <w:color w:val="auto"/>
              </w:rPr>
            </w:pPr>
            <w:r>
              <w:rPr>
                <w:rFonts w:ascii="Arial" w:cs="Arial" w:eastAsia="Arial" w:hAnsi="Arial"/>
                <w:sz w:val="18"/>
                <w:szCs w:val="18"/>
                <w:color w:val="auto"/>
              </w:rPr>
              <w:t>Regulatory Matters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6.1</w:t>
            </w:r>
          </w:p>
        </w:tc>
        <w:tc>
          <w:tcPr>
            <w:tcW w:w="7360" w:type="dxa"/>
            <w:vAlign w:val="bottom"/>
          </w:tcPr>
          <w:p>
            <w:pPr>
              <w:ind w:left="760"/>
              <w:spacing w:after="0"/>
              <w:rPr>
                <w:sz w:val="20"/>
                <w:szCs w:val="20"/>
                <w:color w:val="auto"/>
              </w:rPr>
            </w:pPr>
            <w:r>
              <w:rPr>
                <w:rFonts w:ascii="Arial" w:cs="Arial" w:eastAsia="Arial" w:hAnsi="Arial"/>
                <w:sz w:val="18"/>
                <w:szCs w:val="18"/>
                <w:color w:val="auto"/>
              </w:rPr>
              <w:t>Liens</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Schedule 6.4</w:t>
            </w:r>
          </w:p>
        </w:tc>
        <w:tc>
          <w:tcPr>
            <w:tcW w:w="7360" w:type="dxa"/>
            <w:vAlign w:val="bottom"/>
          </w:tcPr>
          <w:p>
            <w:pPr>
              <w:ind w:left="760"/>
              <w:spacing w:after="0"/>
              <w:rPr>
                <w:sz w:val="20"/>
                <w:szCs w:val="20"/>
                <w:color w:val="auto"/>
              </w:rPr>
            </w:pPr>
            <w:r>
              <w:rPr>
                <w:rFonts w:ascii="Arial" w:cs="Arial" w:eastAsia="Arial" w:hAnsi="Arial"/>
                <w:sz w:val="18"/>
                <w:szCs w:val="18"/>
                <w:color w:val="auto"/>
              </w:rPr>
              <w:t>Investments</w:t>
            </w:r>
          </w:p>
        </w:tc>
        <w:tc>
          <w:tcPr>
            <w:tcW w:w="268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Schedule 6.5</w:t>
            </w:r>
          </w:p>
        </w:tc>
        <w:tc>
          <w:tcPr>
            <w:tcW w:w="7360" w:type="dxa"/>
            <w:vAlign w:val="bottom"/>
          </w:tcPr>
          <w:p>
            <w:pPr>
              <w:ind w:left="760"/>
              <w:spacing w:after="0"/>
              <w:rPr>
                <w:sz w:val="20"/>
                <w:szCs w:val="20"/>
                <w:color w:val="auto"/>
              </w:rPr>
            </w:pPr>
            <w:r>
              <w:rPr>
                <w:rFonts w:ascii="Arial" w:cs="Arial" w:eastAsia="Arial" w:hAnsi="Arial"/>
                <w:sz w:val="18"/>
                <w:szCs w:val="18"/>
                <w:color w:val="auto"/>
              </w:rPr>
              <w:t>Indebtedness</w:t>
            </w:r>
          </w:p>
        </w:tc>
        <w:tc>
          <w:tcPr>
            <w:tcW w:w="2680" w:type="dxa"/>
            <w:vAlign w:val="bottom"/>
          </w:tcPr>
          <w:p>
            <w:pPr>
              <w:spacing w:after="0"/>
              <w:rPr>
                <w:sz w:val="20"/>
                <w:szCs w:val="20"/>
                <w:color w:val="auto"/>
              </w:rPr>
            </w:pPr>
          </w:p>
        </w:tc>
      </w:tr>
      <w:tr>
        <w:trPr>
          <w:trHeight w:val="648"/>
        </w:trPr>
        <w:tc>
          <w:tcPr>
            <w:tcW w:w="1320" w:type="dxa"/>
            <w:vAlign w:val="bottom"/>
          </w:tcPr>
          <w:p>
            <w:pPr>
              <w:spacing w:after="0"/>
              <w:rPr>
                <w:sz w:val="24"/>
                <w:szCs w:val="24"/>
                <w:color w:val="auto"/>
              </w:rPr>
            </w:pPr>
          </w:p>
        </w:tc>
        <w:tc>
          <w:tcPr>
            <w:tcW w:w="7360" w:type="dxa"/>
            <w:vAlign w:val="bottom"/>
          </w:tcPr>
          <w:p>
            <w:pPr>
              <w:ind w:left="3960"/>
              <w:spacing w:after="0"/>
              <w:rPr>
                <w:sz w:val="20"/>
                <w:szCs w:val="20"/>
                <w:color w:val="auto"/>
              </w:rPr>
            </w:pPr>
            <w:r>
              <w:rPr>
                <w:rFonts w:ascii="Arial" w:cs="Arial" w:eastAsia="Arial" w:hAnsi="Arial"/>
                <w:sz w:val="18"/>
                <w:szCs w:val="18"/>
                <w:b w:val="1"/>
                <w:bCs w:val="1"/>
                <w:color w:val="auto"/>
              </w:rPr>
              <w:t>EXHIBITS</w:t>
            </w:r>
          </w:p>
        </w:tc>
        <w:tc>
          <w:tcPr>
            <w:tcW w:w="2680" w:type="dxa"/>
            <w:vAlign w:val="bottom"/>
          </w:tcPr>
          <w:p>
            <w:pPr>
              <w:spacing w:after="0"/>
              <w:rPr>
                <w:sz w:val="24"/>
                <w:szCs w:val="24"/>
                <w:color w:val="auto"/>
              </w:rPr>
            </w:pPr>
          </w:p>
        </w:tc>
      </w:tr>
      <w:tr>
        <w:trPr>
          <w:trHeight w:val="445"/>
        </w:trPr>
        <w:tc>
          <w:tcPr>
            <w:tcW w:w="1320" w:type="dxa"/>
            <w:vAlign w:val="bottom"/>
          </w:tcPr>
          <w:p>
            <w:pPr>
              <w:spacing w:after="0"/>
              <w:rPr>
                <w:sz w:val="20"/>
                <w:szCs w:val="20"/>
                <w:color w:val="auto"/>
              </w:rPr>
            </w:pPr>
            <w:r>
              <w:rPr>
                <w:rFonts w:ascii="Arial" w:cs="Arial" w:eastAsia="Arial" w:hAnsi="Arial"/>
                <w:sz w:val="18"/>
                <w:szCs w:val="18"/>
                <w:color w:val="auto"/>
              </w:rPr>
              <w:t>Exhibit 1.1(a)</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Assignment</w:t>
            </w:r>
          </w:p>
        </w:tc>
        <w:tc>
          <w:tcPr>
            <w:tcW w:w="268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1.1(b)</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Notice of Borrowing</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1.1(c)</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Note</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2.1(c)</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L/C Request</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2.1(d)</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Swing Loan Request</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2.6</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Notice of Conversion/Continuation</w:t>
            </w:r>
          </w:p>
        </w:tc>
        <w:tc>
          <w:tcPr>
            <w:tcW w:w="268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3.1</w:t>
            </w:r>
          </w:p>
        </w:tc>
        <w:tc>
          <w:tcPr>
            <w:tcW w:w="7360" w:type="dxa"/>
            <w:vAlign w:val="bottom"/>
          </w:tcPr>
          <w:p>
            <w:pPr>
              <w:ind w:left="760"/>
              <w:spacing w:after="0"/>
              <w:rPr>
                <w:sz w:val="20"/>
                <w:szCs w:val="20"/>
                <w:color w:val="auto"/>
              </w:rPr>
            </w:pPr>
            <w:r>
              <w:rPr>
                <w:rFonts w:ascii="Arial" w:cs="Arial" w:eastAsia="Arial" w:hAnsi="Arial"/>
                <w:sz w:val="18"/>
                <w:szCs w:val="18"/>
                <w:color w:val="auto"/>
              </w:rPr>
              <w:t>Closing Checklist</w:t>
            </w:r>
          </w:p>
        </w:tc>
        <w:tc>
          <w:tcPr>
            <w:tcW w:w="268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Exhibit 5.2(a)</w:t>
            </w:r>
          </w:p>
        </w:tc>
        <w:tc>
          <w:tcPr>
            <w:tcW w:w="7360" w:type="dxa"/>
            <w:vAlign w:val="bottom"/>
          </w:tcPr>
          <w:p>
            <w:pPr>
              <w:ind w:left="760"/>
              <w:spacing w:after="0"/>
              <w:rPr>
                <w:sz w:val="20"/>
                <w:szCs w:val="20"/>
                <w:color w:val="auto"/>
              </w:rPr>
            </w:pPr>
            <w:r>
              <w:rPr>
                <w:rFonts w:ascii="Arial" w:cs="Arial" w:eastAsia="Arial" w:hAnsi="Arial"/>
                <w:sz w:val="18"/>
                <w:szCs w:val="18"/>
                <w:color w:val="auto"/>
              </w:rPr>
              <w:t>Form of Compliance Certificate</w:t>
            </w:r>
          </w:p>
        </w:tc>
        <w:tc>
          <w:tcPr>
            <w:tcW w:w="26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AGREEMENT</w:t>
      </w:r>
    </w:p>
    <w:p>
      <w:pPr>
        <w:spacing w:after="0" w:line="22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This CREDIT AGREEMENT (including all exhibits and schedules hereto, as the same may be amended, modified and/or restated from time to time,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May 8, 2017, by and among Addus HealthCare, Inc., an Illinois corporation (the “</w:t>
      </w:r>
      <w:r>
        <w:rPr>
          <w:rFonts w:ascii="Arial" w:cs="Arial" w:eastAsia="Arial" w:hAnsi="Arial"/>
          <w:sz w:val="16"/>
          <w:szCs w:val="16"/>
          <w:b w:val="1"/>
          <w:bCs w:val="1"/>
          <w:color w:val="auto"/>
        </w:rPr>
        <w:t>Borrower</w:t>
      </w:r>
      <w:r>
        <w:rPr>
          <w:rFonts w:ascii="Arial" w:cs="Arial" w:eastAsia="Arial" w:hAnsi="Arial"/>
          <w:sz w:val="16"/>
          <w:szCs w:val="16"/>
          <w:color w:val="auto"/>
        </w:rPr>
        <w:t>”), Addus HomeCare Corporation, a Delaware corporation (“</w:t>
      </w:r>
      <w:r>
        <w:rPr>
          <w:rFonts w:ascii="Arial" w:cs="Arial" w:eastAsia="Arial" w:hAnsi="Arial"/>
          <w:sz w:val="16"/>
          <w:szCs w:val="16"/>
          <w:b w:val="1"/>
          <w:bCs w:val="1"/>
          <w:color w:val="auto"/>
        </w:rPr>
        <w:t>Holdings</w:t>
      </w:r>
      <w:r>
        <w:rPr>
          <w:rFonts w:ascii="Arial" w:cs="Arial" w:eastAsia="Arial" w:hAnsi="Arial"/>
          <w:sz w:val="16"/>
          <w:szCs w:val="16"/>
          <w:color w:val="auto"/>
        </w:rPr>
        <w:t>”), certain subsidiaries of the Borrower that are designated as a “</w:t>
      </w:r>
      <w:r>
        <w:rPr>
          <w:rFonts w:ascii="Arial" w:cs="Arial" w:eastAsia="Arial" w:hAnsi="Arial"/>
          <w:sz w:val="16"/>
          <w:szCs w:val="16"/>
          <w:b w:val="1"/>
          <w:bCs w:val="1"/>
          <w:color w:val="auto"/>
        </w:rPr>
        <w:t>Credit Party</w:t>
      </w:r>
      <w:r>
        <w:rPr>
          <w:rFonts w:ascii="Arial" w:cs="Arial" w:eastAsia="Arial" w:hAnsi="Arial"/>
          <w:sz w:val="16"/>
          <w:szCs w:val="16"/>
          <w:color w:val="auto"/>
        </w:rPr>
        <w:t>”, Capital One, National Association, a national banking corporation (in its individual capacity, “</w:t>
      </w:r>
      <w:r>
        <w:rPr>
          <w:rFonts w:ascii="Arial" w:cs="Arial" w:eastAsia="Arial" w:hAnsi="Arial"/>
          <w:sz w:val="16"/>
          <w:szCs w:val="16"/>
          <w:b w:val="1"/>
          <w:bCs w:val="1"/>
          <w:color w:val="auto"/>
        </w:rPr>
        <w:t>Capital One</w:t>
      </w:r>
      <w:r>
        <w:rPr>
          <w:rFonts w:ascii="Arial" w:cs="Arial" w:eastAsia="Arial" w:hAnsi="Arial"/>
          <w:sz w:val="16"/>
          <w:szCs w:val="16"/>
          <w:color w:val="auto"/>
        </w:rPr>
        <w:t>”) as Agent for the several financial institutions from time to time party to this Agreement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individually each a “</w:t>
      </w:r>
      <w:r>
        <w:rPr>
          <w:rFonts w:ascii="Arial" w:cs="Arial" w:eastAsia="Arial" w:hAnsi="Arial"/>
          <w:sz w:val="16"/>
          <w:szCs w:val="16"/>
          <w:b w:val="1"/>
          <w:bCs w:val="1"/>
          <w:color w:val="auto"/>
        </w:rPr>
        <w:t>Lender</w:t>
      </w:r>
      <w:r>
        <w:rPr>
          <w:rFonts w:ascii="Arial" w:cs="Arial" w:eastAsia="Arial" w:hAnsi="Arial"/>
          <w:sz w:val="16"/>
          <w:szCs w:val="16"/>
          <w:color w:val="auto"/>
        </w:rPr>
        <w:t>”) and for itself as a Lender (including as Swing Lender) and such Lenders.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WHEREAS, the Borrower has requested, and the Lenders have agreed to make available to the Borrower, a revolving credit facility (including a letter of credit subfacility) and a multi-draw term loan facility upon and subject to the terms and conditions set forth in this Agreement, the proceeds of which will be used in accordance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 and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Credit Parties desire to secure all of the Obligations by granting to Agent, for the benefit of the Secured Parties, a security interest in and lien upon substantially all of their Property, including the Stock of all Credit Parties (other than Holdings);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have the following meanings:</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fifty percent (50%) of the Stock of any Person or otherwise causing any Person to become a Subsidiary of the Borrower, or (c) a merger or consolidation or any other combination with another Person.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Consideration</w:t>
      </w:r>
      <w:r>
        <w:rPr>
          <w:rFonts w:ascii="Arial" w:cs="Arial" w:eastAsia="Arial" w:hAnsi="Arial"/>
          <w:sz w:val="18"/>
          <w:szCs w:val="18"/>
          <w:color w:val="auto"/>
        </w:rPr>
        <w:t>” has the meaning assigned to such term in the definition of Permitted Acquisition.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SPV/Participant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by contract or otherwise. Without limitation, any director, executive officer or beneficial owner of ten percent (10%) or more of the Stock (directly or indirectly) of a Person shall for the purposes of this Agreement, be deemed to be an Affiliate of such Person. Notwithstanding the foregoing, neither Agent nor any Lender shall be deemed an “Affiliate” of any Credit Party or of any Subsidiary of any Credit Party solely by reason of the provisions of the Loan Documents.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44" w:name="page45"/>
    <w:bookmarkEnd w:id="4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Agent</w:t>
      </w:r>
      <w:r>
        <w:rPr>
          <w:rFonts w:ascii="Arial" w:cs="Arial" w:eastAsia="Arial" w:hAnsi="Arial"/>
          <w:sz w:val="16"/>
          <w:szCs w:val="16"/>
          <w:color w:val="auto"/>
        </w:rPr>
        <w:t>” means Capital One, National Association in its capacity as administrative agent for the Lenders hereunder, and any successor administrative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Excess Funding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2.11(e)(iv)</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Revolving Loan Commitment</w:t>
      </w:r>
      <w:r>
        <w:rPr>
          <w:rFonts w:ascii="Arial" w:cs="Arial" w:eastAsia="Arial" w:hAnsi="Arial"/>
          <w:sz w:val="18"/>
          <w:szCs w:val="18"/>
          <w:color w:val="auto"/>
        </w:rPr>
        <w:t>” means the combined Revolving Loan Commitments of the Lenders, which shall initially be in the amount of $125,000,000, as such amount may be adjusted from time to time pursuant to this Agreement.</w:t>
      </w:r>
    </w:p>
    <w:p>
      <w:pPr>
        <w:spacing w:after="0" w:line="162"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Term Loan Commitment</w:t>
      </w:r>
      <w:r>
        <w:rPr>
          <w:rFonts w:ascii="Arial" w:cs="Arial" w:eastAsia="Arial" w:hAnsi="Arial"/>
          <w:sz w:val="18"/>
          <w:szCs w:val="18"/>
          <w:color w:val="auto"/>
        </w:rPr>
        <w:t>” means the combined Term Loan Commitments of the Lenders, which shall initially be in the amount of $125,000,000, as such amount may be adjusted from time to time pursuant to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w:t>
      </w:r>
    </w:p>
    <w:p>
      <w:pPr>
        <w:spacing w:after="0" w:line="225" w:lineRule="exact"/>
        <w:rPr>
          <w:sz w:val="20"/>
          <w:szCs w:val="20"/>
          <w:color w:val="auto"/>
        </w:rPr>
      </w:pPr>
    </w:p>
    <w:p>
      <w:pPr>
        <w:ind w:right="60" w:firstLine="464"/>
        <w:spacing w:after="0" w:line="281" w:lineRule="auto"/>
        <w:tabs>
          <w:tab w:leader="none" w:pos="7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 the period commencing on the Closing Date through the last day of the calendar month (the “</w:t>
      </w:r>
      <w:r>
        <w:rPr>
          <w:rFonts w:ascii="Arial" w:cs="Arial" w:eastAsia="Arial" w:hAnsi="Arial"/>
          <w:sz w:val="17"/>
          <w:szCs w:val="17"/>
          <w:b w:val="1"/>
          <w:bCs w:val="1"/>
          <w:color w:val="auto"/>
        </w:rPr>
        <w:t>First Grid Calculation Date</w:t>
      </w:r>
      <w:r>
        <w:rPr>
          <w:rFonts w:ascii="Arial" w:cs="Arial" w:eastAsia="Arial" w:hAnsi="Arial"/>
          <w:sz w:val="17"/>
          <w:szCs w:val="17"/>
          <w:color w:val="auto"/>
        </w:rPr>
        <w:t>”) during which financial statements for the fiscal month ending September 30, 2017 and a Compliance Certificate calculating the Senior Leverage Ratio have been delivered in accordance with the terms hereof: (i) if a Base Rate Loan, one and one-half percent (1.50%) per annum, (ii) if a LIBOR Rate Loan, two and one half percent (2.50%) per annum and (iii) with respect to the Unused Commitment Fee, one quarter of one percent (0.25%) per annum.</w:t>
      </w:r>
    </w:p>
    <w:p>
      <w:pPr>
        <w:spacing w:after="0" w:line="168" w:lineRule="exact"/>
        <w:rPr>
          <w:rFonts w:ascii="Arial" w:cs="Arial" w:eastAsia="Arial" w:hAnsi="Arial"/>
          <w:sz w:val="17"/>
          <w:szCs w:val="17"/>
          <w:color w:val="auto"/>
        </w:rPr>
      </w:pPr>
    </w:p>
    <w:p>
      <w:pPr>
        <w:ind w:right="60" w:firstLine="464"/>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thereafter, the Applicable Margin shall equal the applicable LIBOR Margin or Base Rate Margin in effect from time to time determined as set forth below based upon the applicable Senior Leverage Ratio then in effect pursuant to the appropriate column under the table below:</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Senior Leverage Ratio</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Unused Commitment</w:t>
            </w:r>
          </w:p>
        </w:tc>
        <w:tc>
          <w:tcPr>
            <w:tcW w:w="0" w:type="dxa"/>
            <w:vAlign w:val="bottom"/>
          </w:tcPr>
          <w:p>
            <w:pPr>
              <w:spacing w:after="0"/>
              <w:rPr>
                <w:sz w:val="1"/>
                <w:szCs w:val="1"/>
                <w:color w:val="auto"/>
              </w:rPr>
            </w:pPr>
          </w:p>
        </w:tc>
      </w:tr>
      <w:tr>
        <w:trPr>
          <w:trHeight w:val="154"/>
        </w:trPr>
        <w:tc>
          <w:tcPr>
            <w:tcW w:w="4740" w:type="dxa"/>
            <w:vAlign w:val="bottom"/>
            <w:gridSpan w:val="2"/>
            <w:vMerge w:val="continue"/>
          </w:tcPr>
          <w:p>
            <w:pPr>
              <w:spacing w:after="0"/>
              <w:rPr>
                <w:sz w:val="13"/>
                <w:szCs w:val="13"/>
                <w:color w:val="auto"/>
              </w:rPr>
            </w:pPr>
          </w:p>
        </w:tc>
        <w:tc>
          <w:tcPr>
            <w:tcW w:w="1620" w:type="dxa"/>
            <w:vAlign w:val="bottom"/>
            <w:gridSpan w:val="2"/>
          </w:tcPr>
          <w:p>
            <w:pPr>
              <w:jc w:val="right"/>
              <w:ind w:right="740"/>
              <w:spacing w:after="0" w:line="154" w:lineRule="exact"/>
              <w:rPr>
                <w:sz w:val="20"/>
                <w:szCs w:val="20"/>
                <w:color w:val="auto"/>
              </w:rPr>
            </w:pPr>
            <w:r>
              <w:rPr>
                <w:rFonts w:ascii="Arial" w:cs="Arial" w:eastAsia="Arial" w:hAnsi="Arial"/>
                <w:sz w:val="14"/>
                <w:szCs w:val="14"/>
                <w:color w:val="auto"/>
                <w:w w:val="96"/>
              </w:rPr>
              <w:t>LIBOR Margin</w:t>
            </w:r>
          </w:p>
        </w:tc>
        <w:tc>
          <w:tcPr>
            <w:tcW w:w="1780" w:type="dxa"/>
            <w:vAlign w:val="bottom"/>
            <w:gridSpan w:val="2"/>
          </w:tcPr>
          <w:p>
            <w:pPr>
              <w:jc w:val="right"/>
              <w:ind w:right="740"/>
              <w:spacing w:after="0" w:line="154" w:lineRule="exact"/>
              <w:rPr>
                <w:sz w:val="20"/>
                <w:szCs w:val="20"/>
                <w:color w:val="auto"/>
              </w:rPr>
            </w:pPr>
            <w:r>
              <w:rPr>
                <w:rFonts w:ascii="Arial" w:cs="Arial" w:eastAsia="Arial" w:hAnsi="Arial"/>
                <w:sz w:val="14"/>
                <w:szCs w:val="14"/>
                <w:color w:val="auto"/>
                <w:w w:val="90"/>
              </w:rPr>
              <w:t>Base Rate Margin</w:t>
            </w:r>
          </w:p>
        </w:tc>
        <w:tc>
          <w:tcPr>
            <w:tcW w:w="144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rPr>
              <w:t>Fee Percentage</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or equal to 3.00:1.00:</w:t>
            </w:r>
          </w:p>
        </w:tc>
        <w:tc>
          <w:tcPr>
            <w:tcW w:w="16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3.25%</w:t>
            </w:r>
          </w:p>
        </w:tc>
        <w:tc>
          <w:tcPr>
            <w:tcW w:w="178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2.25%</w:t>
            </w:r>
          </w:p>
        </w:tc>
        <w:tc>
          <w:tcPr>
            <w:tcW w:w="14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Greater than or equal to 2.50:1.00 and less than 3.00:1.00:</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3.00%</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2.00%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or equal to 2.00:1.00 and less than 2.50:1.00:</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w:t>
            </w: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Less than 2.00:1.00:</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2.50%</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Applicable Margin shall be adjusted from time to time on the Business Day immediately following the First Grid Calculation Date and thereafter upon delivery to Agent of the financial statements for the last fiscal month of each Fiscal Quarter required to be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hereof accompanied by a Compliance Certificate with a written calculation of the Senior Leverage Ratio. If such calculation indicates that the Applicable Margin shall increase or decrease, then on the first day of the calendar month following the date of delivery of such financial statements and a Compliance Certificate with such written calculation, the Applicable Margin shall be adjusted in accordance therewith;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 Event of Default shall have occurred, then, at Agent’s election (acting at the direction of the Required Lenders), effective as of the date on which such Event of Default occurs and continuing through the date as of which such Event of Default is waived, if any, the Applicable Margin shall equal the highest Applicable Margin specified in the pricing table set forth above. Notwithstanding anything herein to the contrary, (i) Swing Loans may not be LIBOR Rate Loans and (ii) Incremental Term Loans shall have the Applicable Margin set forth in the applicable Incremental Joinder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45" w:name="page46"/>
    <w:bookmarkEnd w:id="45"/>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event that any financial statement or Compliance Certificate delivered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is inaccurate, and such inaccuracy, if corrected, would have led to the imposition of a higher Applicable Margin for any period than the Applicable Margin applied for that period, then (i) the Borrower shall immediately deliver to Agent a corrected financial statement and a corrected Compliance Certificate for that period (the “</w:t>
      </w:r>
      <w:r>
        <w:rPr>
          <w:rFonts w:ascii="Arial" w:cs="Arial" w:eastAsia="Arial" w:hAnsi="Arial"/>
          <w:sz w:val="16"/>
          <w:szCs w:val="16"/>
          <w:b w:val="1"/>
          <w:bCs w:val="1"/>
          <w:color w:val="auto"/>
        </w:rPr>
        <w:t>Corrected Financials Date</w:t>
      </w:r>
      <w:r>
        <w:rPr>
          <w:rFonts w:ascii="Arial" w:cs="Arial" w:eastAsia="Arial" w:hAnsi="Arial"/>
          <w:sz w:val="16"/>
          <w:szCs w:val="16"/>
          <w:color w:val="auto"/>
        </w:rPr>
        <w:t xml:space="preserve">”), (ii) the Applicable Margin shall be determined based on the corrected Compliance Certificate for that period, and (iii) the Borrower shall immediately pay to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Margin for that period. This paragraph shall not limit the rights of Agent or the Lenders with respect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and Article VIII hereof, and shall survive the termination of this Agreement until the payment in full in cash of the aggregate outstanding principal balance of the Loans.</w:t>
      </w:r>
    </w:p>
    <w:p>
      <w:pPr>
        <w:spacing w:after="0" w:line="162"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with respect to any Lender, any Person (other than a natural Person or a holding company, investment vehicle or trust for, or owned and operated for the primary benefit of, a natural Person) that (a) (i) is or will be engaged in making, purchasing, holding or otherwise investing in commercial loans and similar extensions of credit in the Ordinary Course of Business or (ii) temporarily warehouses loans for any Lender or any Person described in clause (i) above and (b) is advised or managed by (i) such Lender, (ii) any Affiliate of such Lender or (iii) any Person (other than an individual) or any Affiliate of any Person (other than an individual) that administers or manages such Lender.</w:t>
      </w:r>
    </w:p>
    <w:p>
      <w:pPr>
        <w:spacing w:after="0" w:line="168"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means an assignment agreement entered into by a Lender, as assignor, and any Person, as assignee, in accordance with the terms herein substantially in the form of </w:t>
      </w:r>
      <w:r>
        <w:rPr>
          <w:rFonts w:ascii="Arial" w:cs="Arial" w:eastAsia="Arial" w:hAnsi="Arial"/>
          <w:sz w:val="18"/>
          <w:szCs w:val="18"/>
          <w:u w:val="single" w:color="auto"/>
          <w:color w:val="auto"/>
        </w:rPr>
        <w:t>Exhibit 1.1(a)</w:t>
      </w:r>
      <w:r>
        <w:rPr>
          <w:rFonts w:ascii="Arial" w:cs="Arial" w:eastAsia="Arial" w:hAnsi="Arial"/>
          <w:sz w:val="18"/>
          <w:szCs w:val="18"/>
          <w:color w:val="auto"/>
        </w:rPr>
        <w:t xml:space="preserve"> or any other form approved by Agent.</w:t>
      </w:r>
    </w:p>
    <w:p>
      <w:pPr>
        <w:spacing w:after="0" w:line="162"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Attorney Costs</w:t>
      </w:r>
      <w:r>
        <w:rPr>
          <w:rFonts w:ascii="Arial" w:cs="Arial" w:eastAsia="Arial" w:hAnsi="Arial"/>
          <w:sz w:val="18"/>
          <w:szCs w:val="18"/>
          <w:color w:val="auto"/>
        </w:rPr>
        <w:t>” means and includes all reasonable fees and disbursements of (a) one external counsel, (b) to the extent necessary, one local counsel in each relevant jurisdiction, (c) regulatory counsel if reasonably required and (d) solely in the event of a conflict of interest, one additional counsel (and, if necessary, one local counsel in each relevant jurisdiction and one regulatory counsel) to each group (which may be a single Person) of similarly situated affected Persons.</w:t>
      </w:r>
    </w:p>
    <w:p>
      <w:pPr>
        <w:spacing w:after="0" w:line="180"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Federal Bankruptcy Reform Act of 1978.</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w:t>
      </w:r>
      <w:r>
        <w:rPr>
          <w:rFonts w:ascii="Arial" w:cs="Arial" w:eastAsia="Arial" w:hAnsi="Arial"/>
          <w:sz w:val="17"/>
          <w:szCs w:val="17"/>
          <w:color w:val="auto"/>
        </w:rPr>
        <w:t xml:space="preserve">” means, for any day, a rate per annum equal to the highest of (a) the rate last quoted by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as the “Prime Rate” in the United States or, if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Agent) or any similar release by the Federal Reserve Board (as determined by Agent), (b) the sum of one half of one percent (0.50%) per annum and the Federal Funds Rate, and (c) the sum of (x) LIBOR calculated for each such day based on an Interest Period of one month determined two (2) Business Days prior to such day (but for the avoidance of doubt, not less than zero percent (0.00%) per annum), plus (y) 1.00%. Any change in the Base Rate due to a change in any of the foregoing shall be effective on the effective date of such change in the “bank prime loan” rate, the Federal Funds Rate or LIBOR for an Interest Period of one month, as applicable.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Base Rate Margin</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employee benefit plan as defined in Section 3(3) of ERISA (whether governed by the laws of the United States or otherwise) to which any Credit Party or any Subsidiary of a Credit Party incurs or otherwise has any Liabilities.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10.10(a)(i)</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borrowing hereunder consisting of Loans made to or for the benefit of the Borrower on the same day by the Lenders pursuant to Article I.</w:t>
      </w:r>
    </w:p>
    <w:p>
      <w:pPr>
        <w:spacing w:after="0" w:line="162"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that is not a Saturday, Sunday or a day on which banks are required or authorized to close in New York City and, when determined in connection with notices and determinations in respect of LIBOR or any LIBOR Rate Loan or any funding, conversion, continuation, Interest Period or payment of any LIBOR Rate Loan, that is also a day on which dealings in Dollar deposits are carried on in the London interbank market.</w:t>
      </w:r>
    </w:p>
    <w:p>
      <w:pPr>
        <w:spacing w:after="0" w:line="14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Adequacy Regulation</w:t>
      </w:r>
      <w:r>
        <w:rPr>
          <w:rFonts w:ascii="Arial" w:cs="Arial" w:eastAsia="Arial" w:hAnsi="Arial"/>
          <w:sz w:val="18"/>
          <w:szCs w:val="18"/>
          <w:color w:val="auto"/>
        </w:rPr>
        <w:t>” means any guideline, request or directive of any central bank or other Governmental Authority, or any other law, rule or regulation, whether or not having the force of law, in each case, regarding capital adequacy or liquidity of any Lender or of any corporation controlling a Lender.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 Limitation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Expenditures</w:t>
      </w:r>
      <w:r>
        <w:rPr>
          <w:rFonts w:ascii="Arial" w:cs="Arial" w:eastAsia="Arial" w:hAnsi="Arial"/>
          <w:sz w:val="17"/>
          <w:szCs w:val="17"/>
          <w:color w:val="auto"/>
        </w:rPr>
        <w:t>” means, for any period, all expenditures for such period that should be capitalized under GAAP, excluding (to the extent otherwise included), any such expenditures financed with (1) Net Proceeds from Dispositions, (2) cash proceeds from Stock issuances or capital contributions, (3) Net Proceeds from any Event of Loss to the extent such proceeds are actually applied to replace, repair or reconstruct the damaged Property or Property affected by the condemnation or taking in connection with such Event of Loss, or (4) cash proceeds of indemnity payments or third party reimbursements received by the Borrower or any of its Restricted Subsidiaries; Capital Expenditures shall also exclude that portion of the purchase price of a Target in a Permitted Acquisition or other Acquisition permitted hereunder that constitutes a capital expenditure under GAAP.</w:t>
      </w:r>
    </w:p>
    <w:p>
      <w:pPr>
        <w:spacing w:after="0" w:line="174"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with respect to any Person, any lease of, or other arrangement conveying the right to use, any Property by such Person as lessee that has been or should be accounted for as a capital lease on a balance sheet of such Person prepared in accordance with GAAP.</w:t>
      </w:r>
    </w:p>
    <w:p>
      <w:pPr>
        <w:spacing w:after="0" w:line="116" w:lineRule="exact"/>
        <w:rPr>
          <w:sz w:val="20"/>
          <w:szCs w:val="20"/>
          <w:color w:val="auto"/>
        </w:rPr>
      </w:pPr>
    </w:p>
    <w:p>
      <w:pPr>
        <w:jc w:val="both"/>
        <w:ind w:right="14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 Obligations</w:t>
      </w:r>
      <w:r>
        <w:rPr>
          <w:rFonts w:ascii="Arial" w:cs="Arial" w:eastAsia="Arial" w:hAnsi="Arial"/>
          <w:sz w:val="17"/>
          <w:szCs w:val="17"/>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GAAP.</w:t>
      </w:r>
    </w:p>
    <w:p>
      <w:pPr>
        <w:spacing w:after="0" w:line="158"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7" w:name="page48"/>
    <w:bookmarkEnd w:id="4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any Lender or (ii) any commercial bank that is</w:t>
      </w:r>
    </w:p>
    <w:p>
      <w:pPr>
        <w:spacing w:after="0" w:line="2" w:lineRule="exact"/>
        <w:rPr>
          <w:sz w:val="20"/>
          <w:szCs w:val="20"/>
          <w:color w:val="auto"/>
        </w:rPr>
      </w:pPr>
    </w:p>
    <w:p>
      <w:pPr>
        <w:ind w:right="100" w:firstLine="8"/>
        <w:spacing w:after="0" w:line="270" w:lineRule="auto"/>
        <w:tabs>
          <w:tab w:leader="none" w:pos="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organized under the laws of the United States, any state thereof or the District of Columbia, (B) “adequately capitalized” (as defined in the regulations of its primary federal banking regulators) and (C) has Tier 1 capital (as defined in such regulations) in excess of $250,000,000,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and (f) other short term liquid investments approved by Agent in writing; provided, however, that the maturities of all obligations specified in any of clauses (a), (b), (c) or (d) above shall not exceed 365 days.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One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means any agreement to provide one or more of the following types of services or facilities: (a) Automated Clearing House (ACH) transactions, (b) cash management services, including controlled disbursement services, treasury, depository, overdraft, credit or debit card, stored value card, electronic funds transfer services, and (c) foreign exchange facilities or other cash management arrangements in the Ordinary Course of Business. For the avoidance of doubt, Cash Management Agreements do not include Rate Contracts.</w:t>
      </w:r>
    </w:p>
    <w:p>
      <w:pPr>
        <w:spacing w:after="0" w:line="165"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CHAMPVA</w:t>
      </w:r>
      <w:r>
        <w:rPr>
          <w:rFonts w:ascii="Arial" w:cs="Arial" w:eastAsia="Arial" w:hAnsi="Arial"/>
          <w:sz w:val="18"/>
          <w:szCs w:val="18"/>
          <w:color w:val="auto"/>
        </w:rPr>
        <w:t>” means, collectively, the Civilian Health and Medical Program of the Department of Veterans Affairs, a program of medical benefits covering retirees and dependents of former members of the armed services administered by the United States Department of Veterans Affairs, and all laws, rules, regulations, manuals, orders, or requirements pertaining to such program.</w:t>
      </w:r>
    </w:p>
    <w:p>
      <w:pPr>
        <w:spacing w:after="0" w:line="17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the acquisition, directly or indirectly, by any Person or group (within the meaning of Section 13(d)(3) of the Securities Exchange Act of 1934, as amended) (other than any one or more funds created and controlled by, or under common control with, Eos Partners, L.P.) of beneficial ownership of more than 35% of the aggregate outstanding voting or economic power of the Stock of Holdings, (b) Holdings shall at any time cease to own, directly or indirectly, one hundred percent (100%) of the issued and outstanding Stock of the Borrower, or (c) except pursuant to a transaction permitted by this Agreement, the Borrower shall at any time cease to own, directly or indirectly, one hundred percent (100%) of the issued and outstanding Stock of any of its Restricted Subsidiaries.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w:t>
      </w:r>
      <w:r>
        <w:rPr>
          <w:rFonts w:ascii="Arial" w:cs="Arial" w:eastAsia="Arial" w:hAnsi="Arial"/>
          <w:sz w:val="17"/>
          <w:szCs w:val="17"/>
          <w:color w:val="auto"/>
        </w:rPr>
        <w:t>” (a) when used with respect to Lenders, refers to whether such Lenders have a Loan or Commitment with respect to a particular “class” (as described in clauses (b) or (c) of this definition) of Loans or Commitments, (b) when used with respect to Commitments, refers to whether such Commitments are Revolving Loan Commitments, Term Loan Commitments or Incremental Term Loan Commitments and (c) when used with respect to Loans or a Borrowing, refers to whether such Loans, or the Loans comprising such Borrowing, are Revolving Loans, Term Loans, or Incremental Term Loans</w:t>
      </w:r>
      <w:r>
        <w:rPr>
          <w:rFonts w:ascii="Arial" w:cs="Arial" w:eastAsia="Arial" w:hAnsi="Arial"/>
          <w:sz w:val="17"/>
          <w:szCs w:val="17"/>
          <w:b w:val="1"/>
          <w:bCs w:val="1"/>
          <w:color w:val="auto"/>
        </w:rPr>
        <w:t>,</w:t>
      </w:r>
      <w:r>
        <w:rPr>
          <w:rFonts w:ascii="Arial" w:cs="Arial" w:eastAsia="Arial" w:hAnsi="Arial"/>
          <w:sz w:val="17"/>
          <w:szCs w:val="17"/>
          <w:color w:val="auto"/>
        </w:rPr>
        <w:t xml:space="preserve"> in each case, under this Agreement as originally in effect or amended pursuant to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w:t>
      </w:r>
      <w:r>
        <w:rPr>
          <w:rFonts w:ascii="Arial" w:cs="Arial" w:eastAsia="Arial" w:hAnsi="Arial"/>
          <w:sz w:val="17"/>
          <w:szCs w:val="17"/>
          <w:color w:val="auto"/>
        </w:rPr>
        <w:t>), of which such Loans, Borrowing or Commitments shall be a part. Revolving Loan Commitments, Term Loan Commitments and Incremental Term Loan Commitments (and in each case, the Loans made pursuant to such Commitments) that have different terms and conditions shall be construed to be in different Classes. Notwithstanding the foregoing, Commitments (and in each case, the Loans made pursuant to such Commitments), including any Incremental Term Loan Commitments intended to be fungible with any existing Term Loan Commitments) that have identical terms and conditions shall be construed to be in the same Class.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Closing Date</w:t>
      </w:r>
      <w:r>
        <w:rPr>
          <w:rFonts w:ascii="Arial" w:cs="Arial" w:eastAsia="Arial" w:hAnsi="Arial"/>
          <w:sz w:val="18"/>
          <w:szCs w:val="18"/>
          <w:color w:val="auto"/>
        </w:rPr>
        <w:t>” means May 8, 2017.</w:t>
      </w:r>
    </w:p>
    <w:p>
      <w:pPr>
        <w:spacing w:after="0" w:line="225" w:lineRule="exact"/>
        <w:rPr>
          <w:sz w:val="20"/>
          <w:szCs w:val="20"/>
          <w:color w:val="auto"/>
        </w:rPr>
      </w:pPr>
    </w:p>
    <w:p>
      <w:pPr>
        <w:jc w:val="both"/>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w:t>
      </w:r>
      <w:r>
        <w:rPr>
          <w:rFonts w:ascii="Arial" w:cs="Arial" w:eastAsia="Arial" w:hAnsi="Arial"/>
          <w:sz w:val="18"/>
          <w:szCs w:val="18"/>
          <w:color w:val="auto"/>
        </w:rPr>
        <w:t>” means The Centers for Medicare and Medicaid Services, which administers the Medicare and Medicaid programs under the Department of Health and Human Services, and any successor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Property and interests in Property and proceeds thereof now owned or hereafter acquired by any Credit Party, and any other Person who has granted a Lien to Agent, in or upon which a Lien is granted, purported to be granted, or now or hereafter exists in favor of any Lender or Agent for the benefit of Agent, Lenders and other Secured Parties, under any Loan Document.</w:t>
      </w:r>
    </w:p>
    <w:p>
      <w:pPr>
        <w:spacing w:after="0" w:line="176"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Documents</w:t>
      </w:r>
      <w:r>
        <w:rPr>
          <w:rFonts w:ascii="Arial" w:cs="Arial" w:eastAsia="Arial" w:hAnsi="Arial"/>
          <w:sz w:val="16"/>
          <w:szCs w:val="16"/>
          <w:color w:val="auto"/>
        </w:rPr>
        <w:t>” means, collectively, the Guaranty and Security Agreement, any Mortgages, each Control Agreement and all other security agreements, guaranties and other similar agreements, and all amendments, restatements, modifications or supplements thereof or thereto, by or between any one or more of any Credit Party, any of their respective Subsidiaries or any other Person pledging or granting a lien on Collateral or guarantying the payment and performance of the Obligations, and any Lender or Agent for the benefit of Agent, the Lenders and other Secured Parties now or hereafter delivered to the Lenders or Agent pursuant to or in connection with the transactions contemplated hereby, and all financing statements (or comparable documents now or hereafter filed in accordance with the UCC or comparable law) against any such Person as debtor in favor of any Lender or Agent for the benefit of Agent, the Lenders and the other Secured Parties, as secured party, as any of the foregoing may be amended, restated and/or modified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for each Lender, its Revolving Loan Commitment or one of its Term Loan Commitments.</w:t>
      </w:r>
    </w:p>
    <w:p>
      <w:pPr>
        <w:spacing w:after="0" w:line="22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Commitment Percentage</w:t>
      </w:r>
      <w:r>
        <w:rPr>
          <w:rFonts w:ascii="Arial" w:cs="Arial" w:eastAsia="Arial" w:hAnsi="Arial"/>
          <w:sz w:val="16"/>
          <w:szCs w:val="16"/>
          <w:color w:val="auto"/>
        </w:rPr>
        <w:t>” means, (x) as to any Revolving Loan Commitment of any Lender, the percentage equivalent of such Lender’s Revolving Loan Commitment divided by the Aggregate Revolving Loan Commitment and (y) as to the Term Loans and Term Loan Commitments of any Lender, the percentage equivalent of all unfunded Term Loan Commitments and outstanding Term Loans of such Lender divided by the sum of the Aggregate Term Loan Commitment and all outstanding Term Loans; provided, further, that following acceleration of the Loans, such term means, as to any Lender, the percentage equivalent of the principal amount of the Loans held by such Lender, divided by the aggregate principal amount of the Loans held by all Lenders.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that is an operating company directly and primarily engaged in substantially similar business operations as the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Program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5.15(c)</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 Taxes.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w:t>
      </w:r>
      <w:r>
        <w:rPr>
          <w:rFonts w:ascii="Arial" w:cs="Arial" w:eastAsia="Arial" w:hAnsi="Arial"/>
          <w:sz w:val="18"/>
          <w:szCs w:val="18"/>
          <w:color w:val="auto"/>
        </w:rPr>
        <w:t>” means, for any period,</w:t>
      </w:r>
    </w:p>
    <w:p>
      <w:pPr>
        <w:spacing w:after="0" w:line="121"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Consolidated EBITDA,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with respect to Targets which are Restricted Subsidiaries and included within financial statements delivered pursuant to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for less than twelve (12) months,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49" w:name="page50"/>
    <w:bookmarkEnd w:id="49"/>
    <w:p>
      <w:pPr>
        <w:ind w:left="46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Consolidated Pro Forma EBITDA (which may be a negative number) allocated to each period prior to the acquisition thereof included in the trailing twelve (12) month period for which Consolidated Adjusted EBITDA is being calculated, </w:t>
      </w:r>
      <w:r>
        <w:rPr>
          <w:rFonts w:ascii="Arial" w:cs="Arial" w:eastAsia="Arial" w:hAnsi="Arial"/>
          <w:sz w:val="18"/>
          <w:szCs w:val="18"/>
          <w:u w:val="single" w:color="auto"/>
          <w:color w:val="auto"/>
        </w:rPr>
        <w:t>minus</w:t>
      </w:r>
    </w:p>
    <w:p>
      <w:pPr>
        <w:spacing w:after="0" w:line="62" w:lineRule="exact"/>
        <w:rPr>
          <w:sz w:val="20"/>
          <w:szCs w:val="20"/>
          <w:color w:val="auto"/>
        </w:rPr>
      </w:pPr>
    </w:p>
    <w:p>
      <w:pPr>
        <w:ind w:left="460" w:right="140" w:firstLine="443"/>
        <w:spacing w:after="0" w:line="264"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any Disposition consummated within such period, Consolidated EBITDA (which may be a negative number) attributable to the Restricted Subsidiary, profit centers, or other asset which is the subject of such Disposition from the beginning of such period until the date of consummation of such Disposition.</w:t>
      </w:r>
    </w:p>
    <w:p>
      <w:pPr>
        <w:spacing w:after="0" w:line="177" w:lineRule="exact"/>
        <w:rPr>
          <w:sz w:val="20"/>
          <w:szCs w:val="20"/>
          <w:color w:val="auto"/>
        </w:rPr>
      </w:pPr>
    </w:p>
    <w:p>
      <w:pPr>
        <w:ind w:right="3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for any period, net income (or loss) for such period of Holdings and its Restricted Subsidiaries determined on a consolidated basis in accordance with GAAP, without duplication of any item described below (and the term “duplication” shall include any cash reimbursement for any loss or expense or other item for which an add-back is provided below), to the extent taken into account in the calculation of net income (or loss) for such period:</w:t>
      </w:r>
    </w:p>
    <w:p>
      <w:pPr>
        <w:spacing w:after="0" w:line="76" w:lineRule="exact"/>
        <w:rPr>
          <w:sz w:val="20"/>
          <w:szCs w:val="20"/>
          <w:color w:val="auto"/>
        </w:rPr>
      </w:pPr>
    </w:p>
    <w:p>
      <w:pPr>
        <w:ind w:left="460" w:firstLine="443"/>
        <w:spacing w:after="0" w:line="257" w:lineRule="auto"/>
        <w:tabs>
          <w:tab w:leader="none" w:pos="11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the income (or plus the loss) of any Person (other than Holdings) which is not a Restricted Subsidiary of the Borrower or any of its Restricted Subsidiaries, except to the extent of the amount of dividends or other distributions actually paid to Holdings, the Borrower or any of its Restricted Subsidiaries in cash or Cash Equivalents by such Person but only if the payment of dividends or similar distributions by that Person was not at the time subject to the consent of a third party or prohibited by operation of the terms of its charter or of any agreement, instrument, judgment, decree, order, statute, rule or governmental regulation applicable to that Person,</w:t>
      </w:r>
    </w:p>
    <w:p>
      <w:pPr>
        <w:spacing w:after="0" w:line="80" w:lineRule="exact"/>
        <w:rPr>
          <w:rFonts w:ascii="Arial" w:cs="Arial" w:eastAsia="Arial" w:hAnsi="Arial"/>
          <w:sz w:val="18"/>
          <w:szCs w:val="18"/>
          <w:color w:val="auto"/>
        </w:rPr>
      </w:pPr>
    </w:p>
    <w:p>
      <w:pPr>
        <w:jc w:val="both"/>
        <w:ind w:left="460" w:right="80" w:firstLine="443"/>
        <w:spacing w:after="0" w:line="342" w:lineRule="auto"/>
        <w:tabs>
          <w:tab w:leader="none" w:pos="1153"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less the income (or plus the loss) of any Person accrued prior to the date it becomes a Restricted Subsidiary of Holdings or is merged into or consolidated with Holdings or any of its Restricted Subsidiaries or that Person’s assets are acquired by Holdings or any of its Restricted Subsidiaries,</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the proceeds of any insurance (other than business interruption insurance),</w:t>
      </w:r>
    </w:p>
    <w:p>
      <w:pPr>
        <w:spacing w:after="0" w:line="117" w:lineRule="exact"/>
        <w:rPr>
          <w:rFonts w:ascii="Arial" w:cs="Arial" w:eastAsia="Arial" w:hAnsi="Arial"/>
          <w:sz w:val="18"/>
          <w:szCs w:val="18"/>
          <w:color w:val="auto"/>
        </w:rPr>
      </w:pPr>
    </w:p>
    <w:p>
      <w:pPr>
        <w:ind w:left="460" w:right="580" w:firstLine="443"/>
        <w:spacing w:after="0" w:line="277" w:lineRule="auto"/>
        <w:tabs>
          <w:tab w:leader="none" w:pos="11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gains (or plus losses) from the sale, exchange, transfer or other disposition of Property not in the Ordinary Course of Business of Holdings and its Restricted Subsidiaries, and related tax effects in accordance with GAAP,</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any other extraordinary gains (or plus any other extraordinary losses) of Holdings and its Restricted Subsidiaries, and related tax effects in accordance with GAAP,</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income tax refunds received, in excess of income tax liabilities,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less income (or plus the loss) from the early extinguishment of Indebtedness, net of related tax effects,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plus, without duplication, to the extent already taken into account in the calculation of net income (or loss) for such period:</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Consolidated Net Interest Expense,</w:t>
      </w:r>
    </w:p>
    <w:p>
      <w:pPr>
        <w:spacing w:after="0" w:line="113" w:lineRule="exact"/>
        <w:rPr>
          <w:rFonts w:ascii="Arial" w:cs="Arial" w:eastAsia="Arial" w:hAnsi="Arial"/>
          <w:sz w:val="18"/>
          <w:szCs w:val="18"/>
          <w:color w:val="auto"/>
        </w:rPr>
      </w:pPr>
    </w:p>
    <w:p>
      <w:pPr>
        <w:ind w:left="1600" w:hanging="259"/>
        <w:spacing w:after="0"/>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Taxes on or measured by income (excluding income tax refunds)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920" w:right="560" w:firstLine="421"/>
        <w:spacing w:after="0" w:line="277" w:lineRule="auto"/>
        <w:tabs>
          <w:tab w:leader="none" w:pos="15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non-cash losses and non-cash reasonable and documented expenses (or minus non-cash income or gain), including non-cash adjustments resulting from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50" w:name="page51"/>
    <w:bookmarkEnd w:id="50"/>
    <w:p>
      <w:pPr>
        <w:ind w:left="920"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purchase accounting, non-cash compensation expense and other non-cash expenses arising from grants of stock appreciation rights, stock options or restricted stock, non-cash impairment of good will and other long term intangible assets, unrealized non-cash losses (or minus unrealized non-cash gains) under Rate Contracts, unrealized non-cash losses (or minus unrealized non-cash gains) in such period due solely to fluctuations in currency values, but excluding any non-cash loss or expense (a) that is an accrual of a reserve for a cash expenditure or payment to be made, or anticipated to be made, in a future period or (b) relating to a write-down, write off or reserve with respect to accounts receivable or Inventory,</w:t>
      </w:r>
    </w:p>
    <w:p>
      <w:pPr>
        <w:spacing w:after="0" w:line="85" w:lineRule="exact"/>
        <w:rPr>
          <w:sz w:val="20"/>
          <w:szCs w:val="20"/>
          <w:color w:val="auto"/>
        </w:rPr>
      </w:pPr>
    </w:p>
    <w:p>
      <w:pPr>
        <w:ind w:left="920" w:right="100" w:firstLine="421"/>
        <w:spacing w:after="0" w:line="277" w:lineRule="auto"/>
        <w:tabs>
          <w:tab w:leader="none" w:pos="1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reasonable and documented out-of-pocket expenses incurred in connection with the negotiation, execution and delivery on the Closing Date of the Loan Documents,</w:t>
      </w:r>
    </w:p>
    <w:p>
      <w:pPr>
        <w:spacing w:after="0" w:line="62" w:lineRule="exact"/>
        <w:rPr>
          <w:rFonts w:ascii="Arial" w:cs="Arial" w:eastAsia="Arial" w:hAnsi="Arial"/>
          <w:sz w:val="18"/>
          <w:szCs w:val="18"/>
          <w:color w:val="auto"/>
        </w:rPr>
      </w:pPr>
    </w:p>
    <w:p>
      <w:pPr>
        <w:ind w:left="920" w:right="100" w:firstLine="421"/>
        <w:spacing w:after="0" w:line="277" w:lineRule="auto"/>
        <w:tabs>
          <w:tab w:leader="none" w:pos="1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reasonable, documented out-of-pocket expenses incurred in connection with any amendments or waivers to this Agreement or the other Loan Documents to the extent such fees and expenses have been disclosed to Agent,</w:t>
      </w:r>
    </w:p>
    <w:p>
      <w:pPr>
        <w:spacing w:after="0" w:line="62" w:lineRule="exact"/>
        <w:rPr>
          <w:rFonts w:ascii="Arial" w:cs="Arial" w:eastAsia="Arial" w:hAnsi="Arial"/>
          <w:sz w:val="18"/>
          <w:szCs w:val="18"/>
          <w:color w:val="auto"/>
        </w:rPr>
      </w:pPr>
    </w:p>
    <w:p>
      <w:pPr>
        <w:ind w:left="920" w:firstLine="421"/>
        <w:spacing w:after="0" w:line="264" w:lineRule="auto"/>
        <w:tabs>
          <w:tab w:leader="none" w:pos="15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fees and expenses incurred in connection with any acquisition, investment, recapitalization, asset disposition, issuance or repayment of Indebtedness, issuance of Stock, refinancing transaction or amendment or other modification of any debt instrument, in each case permitted hereunder (including any such transaction undertaken but not completed), and</w:t>
      </w:r>
    </w:p>
    <w:p>
      <w:pPr>
        <w:spacing w:after="0" w:line="73" w:lineRule="exact"/>
        <w:rPr>
          <w:rFonts w:ascii="Arial" w:cs="Arial" w:eastAsia="Arial" w:hAnsi="Arial"/>
          <w:sz w:val="18"/>
          <w:szCs w:val="18"/>
          <w:color w:val="auto"/>
        </w:rPr>
      </w:pPr>
    </w:p>
    <w:p>
      <w:pPr>
        <w:ind w:left="920" w:right="80" w:firstLine="421"/>
        <w:spacing w:after="0" w:line="302" w:lineRule="auto"/>
        <w:tabs>
          <w:tab w:leader="none" w:pos="15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extraordinary or non-recurring reasonable, documented out-of-pocket expenses including severance costs, relocation costs, integration and facilities opening costs, signing costs, retention or completion bonuses and transition costs (“</w:t>
      </w:r>
      <w:r>
        <w:rPr>
          <w:rFonts w:ascii="Arial" w:cs="Arial" w:eastAsia="Arial" w:hAnsi="Arial"/>
          <w:sz w:val="16"/>
          <w:szCs w:val="16"/>
          <w:b w:val="1"/>
          <w:bCs w:val="1"/>
          <w:color w:val="auto"/>
        </w:rPr>
        <w:t>Non-Recurring Expenses</w:t>
      </w:r>
      <w:r>
        <w:rPr>
          <w:rFonts w:ascii="Arial" w:cs="Arial" w:eastAsia="Arial" w:hAnsi="Arial"/>
          <w:sz w:val="16"/>
          <w:szCs w:val="16"/>
          <w:color w:val="auto"/>
        </w:rPr>
        <w:t>”), in an aggregate amount, when taken together with all Pro Forma Acquisition Adjustments added back in the calculation of Consolidated EBITDA, not to exceed twenty-five percent (25%) of Consolidated EBITDA calculated before giving effect to the add-back pursuant to this clause (8).</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Fixed Charges</w:t>
      </w:r>
      <w:r>
        <w:rPr>
          <w:rFonts w:ascii="Arial" w:cs="Arial" w:eastAsia="Arial" w:hAnsi="Arial"/>
          <w:sz w:val="18"/>
          <w:szCs w:val="18"/>
          <w:color w:val="auto"/>
        </w:rPr>
        <w:t>” means for Holdings and its Restricted Subsidiaries, for such period, the sum of:</w:t>
      </w:r>
    </w:p>
    <w:p>
      <w:pPr>
        <w:spacing w:after="0" w:line="121" w:lineRule="exact"/>
        <w:rPr>
          <w:sz w:val="20"/>
          <w:szCs w:val="20"/>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Consolidated Net Interest Expense for such period,</w:t>
      </w:r>
    </w:p>
    <w:p>
      <w:pPr>
        <w:spacing w:after="0" w:line="117" w:lineRule="exact"/>
        <w:rPr>
          <w:rFonts w:ascii="Arial" w:cs="Arial" w:eastAsia="Arial" w:hAnsi="Arial"/>
          <w:sz w:val="18"/>
          <w:szCs w:val="18"/>
          <w:color w:val="auto"/>
        </w:rPr>
      </w:pPr>
    </w:p>
    <w:p>
      <w:pPr>
        <w:ind w:left="460" w:right="140" w:firstLine="443"/>
        <w:spacing w:after="0" w:line="277" w:lineRule="auto"/>
        <w:tabs>
          <w:tab w:leader="none" w:pos="11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Scheduled principal payments of Indebtedness during such period, reduced by prepayments of the Term Loans calculated as if voluntary and mandatory prepayments had been applied pro rata against all remaining scheduled installments; and</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Restricted Payments described in </w:t>
      </w:r>
      <w:r>
        <w:rPr>
          <w:rFonts w:ascii="Arial" w:cs="Arial" w:eastAsia="Arial" w:hAnsi="Arial"/>
          <w:sz w:val="18"/>
          <w:szCs w:val="18"/>
          <w:u w:val="single" w:color="auto"/>
          <w:color w:val="auto"/>
        </w:rPr>
        <w:t>Section 6.8(b)</w:t>
      </w:r>
      <w:r>
        <w:rPr>
          <w:rFonts w:ascii="Arial" w:cs="Arial" w:eastAsia="Arial" w:hAnsi="Arial"/>
          <w:sz w:val="18"/>
          <w:szCs w:val="18"/>
          <w:color w:val="auto"/>
        </w:rPr>
        <w:t xml:space="preserve"> paid in cash during such period.</w:t>
      </w:r>
    </w:p>
    <w:p>
      <w:pPr>
        <w:spacing w:after="0" w:line="221"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Funded Indebtedness</w:t>
      </w:r>
      <w:r>
        <w:rPr>
          <w:rFonts w:ascii="Arial" w:cs="Arial" w:eastAsia="Arial" w:hAnsi="Arial"/>
          <w:sz w:val="18"/>
          <w:szCs w:val="18"/>
          <w:color w:val="auto"/>
        </w:rPr>
        <w:t>” means, as of any date of measurement, the principal portion of all Indebtedness of Holdings and its Restricted Subsidiaries as of the date of measurement (other than Indebtedness of the type described in clauses (c) (but including any amounts thereunder that are drawn and not reimbursed), (k), (l) and (m) of the definition of Indebtedness, and clause (j) with respect to guaranties of Indebtedness of the type described in clauses (c), (k), (l) and (m) of the definition of Indebtedness).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Consolidated Net Interest Expense</w:t>
      </w:r>
      <w:r>
        <w:rPr>
          <w:rFonts w:ascii="Arial" w:cs="Arial" w:eastAsia="Arial" w:hAnsi="Arial"/>
          <w:sz w:val="18"/>
          <w:szCs w:val="18"/>
          <w:color w:val="auto"/>
        </w:rPr>
        <w:t>” means for Holdings and its Restricted Subsidiaries for any period:</w:t>
      </w:r>
    </w:p>
    <w:p>
      <w:pPr>
        <w:spacing w:after="0" w:line="229" w:lineRule="exact"/>
        <w:rPr>
          <w:sz w:val="20"/>
          <w:szCs w:val="20"/>
          <w:color w:val="auto"/>
        </w:rPr>
      </w:pPr>
    </w:p>
    <w:p>
      <w:pPr>
        <w:ind w:firstLine="464"/>
        <w:spacing w:after="0" w:line="312" w:lineRule="auto"/>
        <w:tabs>
          <w:tab w:leader="none" w:pos="7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Gross interest expense (including that attributable to Capital Lease Obligations) for such period paid or required to be paid in cash (including all commissions, discounts, fees and other charges in connection with letters of credit and similar instruments and net amounts paid or payable and/or received or receivable under permitted Rate Contracts in respect of interest rates) for Holdings and its Restricted Subsidiaries on a consolidated basis, less</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1"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Assets</w:t>
      </w:r>
      <w:r>
        <w:rPr>
          <w:rFonts w:ascii="Arial" w:cs="Arial" w:eastAsia="Arial" w:hAnsi="Arial"/>
          <w:sz w:val="18"/>
          <w:szCs w:val="18"/>
          <w:color w:val="auto"/>
        </w:rPr>
        <w:t xml:space="preserve">” means the consolidated total assets of Holdings and its Restricted Subsidiaries determined in accordance with GAAP as of the date of the financial statements most recently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hereunder.</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Indebtedness</w:t>
      </w:r>
      <w:r>
        <w:rPr>
          <w:rFonts w:ascii="Arial" w:cs="Arial" w:eastAsia="Arial" w:hAnsi="Arial"/>
          <w:sz w:val="18"/>
          <w:szCs w:val="18"/>
          <w:color w:val="auto"/>
        </w:rPr>
        <w:t>” means, at any date, for Holdings and its Restricted Subsidiaries, the sum of, without duplication, (i) all Consolidated Funded Indebtedness as of date of measurement, plus (ii) L/C Reimbursement Obligations as of date of measurement then due and payable, plus (iii) Contingent Acquisition Consideration.</w:t>
      </w:r>
    </w:p>
    <w:p>
      <w:pPr>
        <w:spacing w:after="0" w:line="176"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Acquisition Consideration</w:t>
      </w:r>
      <w:r>
        <w:rPr>
          <w:rFonts w:ascii="Arial" w:cs="Arial" w:eastAsia="Arial" w:hAnsi="Arial"/>
          <w:sz w:val="18"/>
          <w:szCs w:val="18"/>
          <w:color w:val="auto"/>
        </w:rPr>
        <w:t>” means any earnout obligation or similar deferred or contingent obligation of the Borrower or any of its Restricted Subsidiaries incurred or created in connection with a Permitted Acquisition that would appear on the balance sheet of Borrower and its Restricted Subsidiaries in accordance with GAAP.</w:t>
      </w:r>
    </w:p>
    <w:p>
      <w:pPr>
        <w:spacing w:after="0" w:line="176"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Obligations</w:t>
      </w:r>
      <w:r>
        <w:rPr>
          <w:rFonts w:ascii="Arial" w:cs="Arial" w:eastAsia="Arial" w:hAnsi="Arial"/>
          <w:sz w:val="17"/>
          <w:szCs w:val="17"/>
          <w:color w:val="auto"/>
        </w:rPr>
        <w:t>” means, as to any Person, any provision of any security (whether in the nature of Stock, or otherwise) issued by such Person or of any agreement, undertaking, contract, indenture, mortgage, deed of trust or other instrument, document or agreement (other than a Loan Document) to which such Person is a party or by which it or any of its Property is bound or to which any of its Property is subject.</w:t>
      </w:r>
    </w:p>
    <w:p>
      <w:pPr>
        <w:spacing w:after="0" w:line="158"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means, with respect to any deposit account, securities account, commodity account, securities entitlement or commodity contract, an agreement, in form and substance reasonably satisfactory to Agent, among Agent, the financial institution or other Person at which such account is maintained or with which such entitlement or contract is carried and the Credit Party maintaining such account or owning such entitlement or contract, effective to grant “control” (within the meaning of Articles 8 and 9 under the applicable UCC) over such account to Agent (and, if applicable, such holder or representative).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Date</w:t>
      </w:r>
      <w:r>
        <w:rPr>
          <w:rFonts w:ascii="Arial" w:cs="Arial" w:eastAsia="Arial" w:hAnsi="Arial"/>
          <w:sz w:val="16"/>
          <w:szCs w:val="16"/>
          <w:color w:val="auto"/>
        </w:rPr>
        <w:t>” means any date on which the Borrower converts a Base Rate Loan to a LIBOR Rate Loan or a LIBOR Rate Loan to a Base Rate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0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all rights, title and interests (and all related IP Ancillary Rights) arising under any Requirement of Law in or to copyrights and all mask work, database and design rights, whether or not registered or published, all registrations and recordations thereof and all applications in connection therewith.</w:t>
      </w:r>
    </w:p>
    <w:p>
      <w:pPr>
        <w:spacing w:after="0" w:line="17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xml:space="preserve">” means Holdings, the Borrower and any Subsidiary of Borrower that (i) executes a guaranty of the Obligations and (ii) grants a Lien on all or substantially all of its assets to secure payment of the Obligations, in each case,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circumstance that, with the passing of time or the giving of notice or both, would (if not cured or otherwise remedied during such time) become an Event of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that:</w:t>
      </w:r>
    </w:p>
    <w:p>
      <w:pPr>
        <w:spacing w:after="0" w:line="121" w:lineRule="exact"/>
        <w:rPr>
          <w:sz w:val="20"/>
          <w:szCs w:val="20"/>
          <w:color w:val="auto"/>
        </w:rPr>
      </w:pPr>
    </w:p>
    <w:p>
      <w:pPr>
        <w:ind w:left="460" w:firstLine="443"/>
        <w:spacing w:after="0" w:line="255"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failed to (i) fund any payments required to be made by it under the Loan Documents within two (2) Business Days after any such payment is due (excluding expense and similar reimbursements that are subject to good faith disputes) unless such Lender notifies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L/C Issuer, any Swing Lender or any other Lender any other amount required to be paid by it hereunder (including in respect of its participation in Letters of Credit or Swing Loans) within two (2) Business Days of the date when due,</w:t>
      </w:r>
    </w:p>
    <w:p>
      <w:pPr>
        <w:spacing w:after="0" w:line="85" w:lineRule="exact"/>
        <w:rPr>
          <w:rFonts w:ascii="Arial" w:cs="Arial" w:eastAsia="Arial" w:hAnsi="Arial"/>
          <w:sz w:val="18"/>
          <w:szCs w:val="18"/>
          <w:color w:val="auto"/>
        </w:rPr>
      </w:pPr>
    </w:p>
    <w:p>
      <w:pPr>
        <w:ind w:left="460" w:right="40" w:firstLine="443"/>
        <w:spacing w:after="0" w:line="255" w:lineRule="auto"/>
        <w:tabs>
          <w:tab w:leader="none" w:pos="11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given written notice (and Agent has not received a revocation in writing), to the Borrower, Agent, any Lender, or any L/C Issuer or has otherwise publicly announced (and Agent has not received notice of a public retraction) that such Lender believes it will fail to fund payments or purchases of participations required to be funded by it under the Loan Documents or one or more other syndicated credit facilities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or</w:t>
      </w:r>
    </w:p>
    <w:p>
      <w:pPr>
        <w:spacing w:after="0" w:line="85" w:lineRule="exact"/>
        <w:rPr>
          <w:rFonts w:ascii="Arial" w:cs="Arial" w:eastAsia="Arial" w:hAnsi="Arial"/>
          <w:sz w:val="18"/>
          <w:szCs w:val="18"/>
          <w:color w:val="auto"/>
        </w:rPr>
      </w:pPr>
    </w:p>
    <w:p>
      <w:pPr>
        <w:ind w:left="460" w:right="60" w:firstLine="443"/>
        <w:spacing w:after="0" w:line="255"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has, or any Person that directly or indirectly controls such Lender has, (i) become subject to a voluntary or involuntary case under the Bankruptcy Code or any similar bankruptcy laws, (ii) had a custodian, conservator, receiver or similar official appointed for it or any substantial part of such Person’s assets, (iii) made a general assignment for the benefit of creditors, been liquidated, or otherwise been adjudicated as, or determined by any Governmental Authority having regulatory authority over such Person or its assets to be, insolvent or bankrupt, or (iv) become the subject of a Bail-In Action, and for this </w:t>
      </w:r>
      <w:r>
        <w:rPr>
          <w:rFonts w:ascii="Arial" w:cs="Arial" w:eastAsia="Arial" w:hAnsi="Arial"/>
          <w:sz w:val="18"/>
          <w:szCs w:val="18"/>
          <w:u w:val="single" w:color="auto"/>
          <w:color w:val="auto"/>
        </w:rPr>
        <w:t>clause (c)</w:t>
      </w:r>
      <w:r>
        <w:rPr>
          <w:rFonts w:ascii="Arial" w:cs="Arial" w:eastAsia="Arial" w:hAnsi="Arial"/>
          <w:sz w:val="18"/>
          <w:szCs w:val="18"/>
          <w:color w:val="auto"/>
        </w:rPr>
        <w:t>, Agent has determined that such Lender is reasonably likely to fail to fund any payments required to be made by it under the Loan Documents. For purposes of this definition, control of a Person shall have the same meaning as in the second sentence of the definition of Affiliate.</w:t>
      </w:r>
    </w:p>
    <w:p>
      <w:pPr>
        <w:spacing w:after="0" w:line="18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(a) the sale, lease, conveyance or other disposition of Property and (b) the sale or transfer by the Borrower or any Restricted Subsidiary of the Borrower of any Stock issued by any Subsidiary of the Borrower.</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Institution</w:t>
      </w:r>
      <w:r>
        <w:rPr>
          <w:rFonts w:ascii="Arial" w:cs="Arial" w:eastAsia="Arial" w:hAnsi="Arial"/>
          <w:sz w:val="18"/>
          <w:szCs w:val="18"/>
          <w:color w:val="auto"/>
        </w:rPr>
        <w:t xml:space="preserve">” means any Person designated by the Borrower, by written notice delivered to Agent on or prior to the date hereof, as (a) a disqualified institution or (b) a Competitor;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Disqualified Institutions shall exclude any Person that the Borrower has designated as no longer being a Disqualified Institution by written notice delivered to Agent from time to time.</w:t>
      </w:r>
    </w:p>
    <w:p>
      <w:pPr>
        <w:spacing w:after="0" w:line="17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Stock</w:t>
      </w:r>
      <w:r>
        <w:rPr>
          <w:rFonts w:ascii="Arial" w:cs="Arial" w:eastAsia="Arial" w:hAnsi="Arial"/>
          <w:sz w:val="16"/>
          <w:szCs w:val="16"/>
          <w:color w:val="auto"/>
        </w:rPr>
        <w:t>” means any Stock which, by its terms (or by the terms of any security or other Stock into which it is convertible or for which it is exchangeable), or upon the happening of any event or condition, (a) matures or is mandatorily redeemable, pursuant to a sinking fund obligation or otherwise, or is redeemable at the option of the holder thereof, in whole or in part, on or prior to the date that is one hundred-eighty (180) days following the Latest Maturity Date (excluding any provisions requiring redemption upon a “change of control” or similar event; provided that such “change of control” or similar event results in the occurrence of the Facility Termination Date), (b) is convertible into or exchangeable for (i) debt securities or (ii) any Stock referred to in</w:t>
      </w:r>
    </w:p>
    <w:p>
      <w:pPr>
        <w:spacing w:after="0" w:line="2" w:lineRule="exact"/>
        <w:rPr>
          <w:sz w:val="20"/>
          <w:szCs w:val="20"/>
          <w:color w:val="auto"/>
        </w:rPr>
      </w:pPr>
    </w:p>
    <w:p>
      <w:pPr>
        <w:ind w:right="20" w:firstLine="8"/>
        <w:spacing w:after="0" w:line="255"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in each case, at any time on or prior to the date that is one hundred-eighty (180) days following the Latest Maturity Date at the time such Stock was issued, or (c) is entitled to receive scheduled dividends or distributions in cash prior to the date that is one hundred-eighty (180) days following the Latest Maturity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53" w:name="page54"/>
    <w:bookmarkEnd w:id="5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Documentation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each mean lawful money of the United States.</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incorporated, organized or otherwise formed under the laws of the United States, any state thereof or the District of Columbia.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10.9(g)(ii)</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spacing w:after="0" w:line="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this definition, or (c) any financial institution established in an EEA Member Country which is a subsidiary of an institution described in clauses (a) 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 this definition and is subject to consolidated supervision with its parent.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each document, instruction, authorization, file, information and any other communication transmitted, posted or otherwise made or communicated by e-mail or E-Fax, or otherwise to or from an E-System.</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Requirements of Law and Permits imposing liability or standards of conduct for or relating to the regulation and protection of human health (with respect to exposure to Hazardous Materials), safety (with respect to exposure to Hazardous Materials), the environment and natural resources, and including public notification requirements relating to Hazardous Materials and environmental transfer of ownership, notification or approval statutes.</w:t>
      </w:r>
    </w:p>
    <w:p>
      <w:pPr>
        <w:spacing w:after="0" w:line="18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Liabilities</w:t>
      </w:r>
      <w:r>
        <w:rPr>
          <w:rFonts w:ascii="Arial" w:cs="Arial" w:eastAsia="Arial" w:hAnsi="Arial"/>
          <w:sz w:val="18"/>
          <w:szCs w:val="18"/>
          <w:color w:val="auto"/>
        </w:rPr>
        <w:t>” means all Liabilities (including costs of removal and remedial actions, natural resource damages and costs and expenses of investigation and feasibility studies, including the cost of environmental consultants and Attorneys’ Costs) that may be imposed on, incurred by or asserted against any Credit Party or any Subsidiary of any Credit Party as a result of, or related to, any claim, suit, action, investigation, proceeding or demand by any Person, whether based in contract, tort, implied or express warranty, strict liability, criminal or civil statute or common law or otherwise, arising under any Environmental Law resulting from the ownership, lease, sublease or other operation or occupation of property by any Credit Party or any Subsidiary of any Credit Party, whether on, prior or after the date 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collectively, any Credit Party, any Subsidiary of a Credit Party, and any Person under common control or treated as a single employer with, any Credit Party or any Subsidiary of a Credit Party, within the meaning of Section 414(b) or (c) of the Code, and solely with respect to Section 412 of the Code (and other provisions of the Code significantly related thereto (e.g., Sections 430 through 436 of the Code)), under Section 414(m) or (o) of the Code.</w:t>
      </w:r>
    </w:p>
    <w:p>
      <w:pPr>
        <w:spacing w:after="0" w:line="180"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any of the following: (a) a reportable event described in Section 4043(b) or (c) of ERISA (or, unless the 30-day notice requirement has been duly waived under the applicable regulations) with respect to a Title IV Plan; (b) the withdrawal of any ERISA Affiliate from a Title IV</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0" w:right="25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subject to Section 4063 of ERISA during a plan year in which it was a substantial employer, as defined in Section 4001(a)(2) of ERISA; (c) the complete or partial withdrawal of any ERISA Affiliate from any Multiemployer Plan; (d) with respect to any Multiemployer Plan, the filing of a notice of reorganization, insolvency or termination, or treatment of a plan amendment as termination, under Section 4041A of ERISA; (e) the filing of a notice of intent to terminate a Title IV Plan, or treatment of a plan amendment as termination, under Section 4041 of ERISA; (f) the institution of proceedings to terminate a Title IV Plan or Multiemployer Plan by the PBGC; (g) the failure to make any required contribution to any Title IV Plan or Multiemployer Plan when due;</w:t>
      </w:r>
    </w:p>
    <w:p>
      <w:pPr>
        <w:spacing w:after="0" w:line="2" w:lineRule="exact"/>
        <w:rPr>
          <w:sz w:val="20"/>
          <w:szCs w:val="20"/>
          <w:color w:val="auto"/>
        </w:rPr>
      </w:pPr>
    </w:p>
    <w:p>
      <w:pPr>
        <w:ind w:firstLine="8"/>
        <w:spacing w:after="0" w:line="269"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imposition of a Lien under Section 412 or 430(k) of the Code or Section 303 or 4068 of ERISA on any property (or rights to property, whether real or personal) of any ERISA Affiliate; (i) the failure of a Title IV Plan or any trust thereunder intended to qualify for tax exempt status under Section 401 or 501 of the Code or other Requirements of Law to qualify thereunder; (j) a Title IV plan is in “at risk” status within the meaning of Code Section 430(i); (k) a Multiemployer Plan is in “endangered status” or “critical status” within the meaning of Section 432(b) of the Code; and (l) any other event or condition that constitutes grounds under Section 4042 of ERISA for the termination of, or the appointment of a trustee to administer, any Title IV Plan or Multiemployer Plan or for the imposition of any liability upon any ERISA Affiliate under Title IV of ERISA other than for contributions to Title IV Plans and Multiemployer Plans in the ordinary course and PBGC premiums due but not delinquent.</w:t>
      </w:r>
    </w:p>
    <w:p>
      <w:pPr>
        <w:spacing w:after="0" w:line="17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right="7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Domestic Holdco</w:t>
      </w:r>
      <w:r>
        <w:rPr>
          <w:rFonts w:ascii="Arial" w:cs="Arial" w:eastAsia="Arial" w:hAnsi="Arial"/>
          <w:sz w:val="18"/>
          <w:szCs w:val="18"/>
          <w:color w:val="auto"/>
        </w:rPr>
        <w:t>” means a Domestic Subsidiary substantially all of the assets of which consist of Stock of one or more Excluded Foreign Subsidiaries that has not guaranteed or pledged any of its assets to secure, or with respect to which there shall not have been pledged two-thirds or more of the voting Stock to secure, any Indebtedness (other than the Loans) of a Credit Party.</w:t>
      </w:r>
    </w:p>
    <w:p>
      <w:pPr>
        <w:spacing w:after="0" w:line="17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Domestic Subsidiary</w:t>
      </w:r>
      <w:r>
        <w:rPr>
          <w:rFonts w:ascii="Arial" w:cs="Arial" w:eastAsia="Arial" w:hAnsi="Arial"/>
          <w:sz w:val="18"/>
          <w:szCs w:val="18"/>
          <w:color w:val="auto"/>
        </w:rPr>
        <w:t>” means any Domestic Subsidiary that is (a) a direct or indirect Subsidiary of an Excluded Foreign Subsidiary or (b) an Excluded Domestic Holdco.</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Foreign Subsidiary</w:t>
      </w:r>
      <w:r>
        <w:rPr>
          <w:rFonts w:ascii="Arial" w:cs="Arial" w:eastAsia="Arial" w:hAnsi="Arial"/>
          <w:sz w:val="17"/>
          <w:szCs w:val="17"/>
          <w:color w:val="auto"/>
        </w:rPr>
        <w:t>” means a Foreign Subsidiary which is (a) a controlled foreign corporation (as defined in the Code) that has not guaranteed or pledged any of its assets to secure, or with respect to which there shall not have been pledged two-thirds or more of the voting Stock to secure, any Indebtedness (other than the Loans) of a Credit Party, or (b) a Foreign Subsidiary owned by a Foreign Subsidiary described in clause (a).</w:t>
      </w:r>
    </w:p>
    <w:p>
      <w:pPr>
        <w:spacing w:after="0" w:line="158"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Rate Contract Obligation</w:t>
      </w:r>
      <w:r>
        <w:rPr>
          <w:rFonts w:ascii="Arial" w:cs="Arial" w:eastAsia="Arial" w:hAnsi="Arial"/>
          <w:sz w:val="16"/>
          <w:szCs w:val="16"/>
          <w:color w:val="auto"/>
        </w:rPr>
        <w:t>” means, with respect to any Guarantor, any guarantee of any Swap Obligations under a Secured Rate Contract if, and only to the extent that and for so long as, all or a portion of the guarantee of such Guarantor of, or the grant by such Guarantor of a security interest to secure, such Swap Obligation under a Secured Rate Contract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becomes effective with respect to such Swap Obligation under a Secured Rate Contract</w:t>
      </w:r>
      <w:r>
        <w:rPr>
          <w:rFonts w:ascii="Arial" w:cs="Arial" w:eastAsia="Arial" w:hAnsi="Arial"/>
          <w:sz w:val="16"/>
          <w:szCs w:val="16"/>
          <w:b w:val="1"/>
          <w:bCs w:val="1"/>
          <w:color w:val="auto"/>
        </w:rPr>
        <w:t>.</w:t>
      </w:r>
      <w:r>
        <w:rPr>
          <w:rFonts w:ascii="Arial" w:cs="Arial" w:eastAsia="Arial" w:hAnsi="Arial"/>
          <w:sz w:val="16"/>
          <w:szCs w:val="16"/>
          <w:color w:val="auto"/>
        </w:rPr>
        <w:t xml:space="preserve"> If 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55" w:name="page56"/>
    <w:bookmarkEnd w:id="55"/>
    <w:p>
      <w:pPr>
        <w:jc w:val="both"/>
        <w:ind w:right="4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Swap Obligation under a Secured Rate Contract arises under a master agreement governing more than one swap, such exclusion shall apply only to the portion of such Swap Obligation under a Secured Rate Contract that is attributable to swaps for which such guarantee or security interest is or becomes illegal.</w:t>
      </w:r>
    </w:p>
    <w:p>
      <w:pPr>
        <w:spacing w:after="0" w:line="177" w:lineRule="exact"/>
        <w:rPr>
          <w:sz w:val="20"/>
          <w:szCs w:val="20"/>
          <w:color w:val="auto"/>
        </w:rPr>
      </w:pPr>
    </w:p>
    <w:p>
      <w:pPr>
        <w:ind w:right="1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each (a) Excluded Domestic Subsidiary, (b) Excluded Foreign Subsidiary, (c) Immaterial Subsidiary and (d) Unrestricted Subsidiary.</w:t>
      </w:r>
    </w:p>
    <w:p>
      <w:pPr>
        <w:spacing w:after="0" w:line="1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w:t>
      </w:r>
      <w:r>
        <w:rPr>
          <w:rFonts w:ascii="Arial" w:cs="Arial" w:eastAsia="Arial" w:hAnsi="Arial"/>
          <w:sz w:val="16"/>
          <w:szCs w:val="16"/>
          <w:color w:val="auto"/>
        </w:rPr>
        <w:t xml:space="preserve">” means with respect to any Secured Party: (a) Taxes measured by net income (including branch profit Taxes) and franchise Taxes imposed in lieu of net income Taxes, in each case (i) imposed on any Secured Party as a result of being organized under the laws of, or having its principal office or, in the case of any Lender, its applicable lending office located in, the jurisdiction imposing such Tax (or any political subdivision thereof) or (ii) that are Other Connection Taxes; (b) United States federal withholding Taxes to the extent that the obligation to withhold amounts existed on the date that such Person became a Secured Party under this Agreement in the capacity under which such Person makes a claim under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or designates a new Lending Office, except in each case to the extent such Person is a direct or indirect assignee (other than pursuant to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of any other Secured Party that was entitled, at the time the assignment to such Person became effective, to receive additional amounts under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(c) Taxes that are directly attributable to the failure (other than as a result of a change in any Requirement of Law) by any Secured Party to deliver the documentation required to be delivered pursuant to </w:t>
      </w:r>
      <w:r>
        <w:rPr>
          <w:rFonts w:ascii="Arial" w:cs="Arial" w:eastAsia="Arial" w:hAnsi="Arial"/>
          <w:sz w:val="16"/>
          <w:szCs w:val="16"/>
          <w:u w:val="single" w:color="auto"/>
          <w:color w:val="auto"/>
        </w:rPr>
        <w:t>Section 11.1(g)</w:t>
      </w:r>
      <w:r>
        <w:rPr>
          <w:rFonts w:ascii="Arial" w:cs="Arial" w:eastAsia="Arial" w:hAnsi="Arial"/>
          <w:sz w:val="16"/>
          <w:szCs w:val="16"/>
          <w:color w:val="auto"/>
        </w:rPr>
        <w:t>; and (d) any United States federal withholding Taxes imposed under FATCA.</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2.1(e)(iii)(B)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means the letters of credit Issued prior to the Closing Date under the Existing Credit Agreement set forth on </w:t>
      </w:r>
      <w:r>
        <w:rPr>
          <w:rFonts w:ascii="Arial" w:cs="Arial" w:eastAsia="Arial" w:hAnsi="Arial"/>
          <w:sz w:val="18"/>
          <w:szCs w:val="18"/>
          <w:u w:val="single" w:color="auto"/>
          <w:color w:val="auto"/>
        </w:rPr>
        <w:t>Schedule 1.2</w:t>
      </w:r>
      <w:r>
        <w:rPr>
          <w:rFonts w:ascii="Arial" w:cs="Arial" w:eastAsia="Arial" w:hAnsi="Arial"/>
          <w:sz w:val="18"/>
          <w:szCs w:val="18"/>
          <w:color w:val="auto"/>
        </w:rPr>
        <w:t xml:space="preserve"> which shall remain outstanding hereunder after the Closing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E-Fax</w:t>
      </w:r>
      <w:r>
        <w:rPr>
          <w:rFonts w:ascii="Arial" w:cs="Arial" w:eastAsia="Arial" w:hAnsi="Arial"/>
          <w:sz w:val="18"/>
          <w:szCs w:val="18"/>
          <w:color w:val="auto"/>
        </w:rPr>
        <w:t>” means any system used to receive or transmit faxes electronically.</w:t>
      </w:r>
    </w:p>
    <w:p>
      <w:pPr>
        <w:spacing w:after="0" w:line="225"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E-Signature</w:t>
      </w:r>
      <w:r>
        <w:rPr>
          <w:rFonts w:ascii="Arial" w:cs="Arial" w:eastAsia="Arial" w:hAnsi="Arial"/>
          <w:sz w:val="18"/>
          <w:szCs w:val="18"/>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56" w:name="page57"/>
    <w:bookmarkEnd w:id="56"/>
    <w:p>
      <w:pPr>
        <w:ind w:right="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E-System</w:t>
      </w:r>
      <w:r>
        <w:rPr>
          <w:rFonts w:ascii="Arial" w:cs="Arial" w:eastAsia="Arial" w:hAnsi="Arial"/>
          <w:sz w:val="18"/>
          <w:szCs w:val="18"/>
          <w:color w:val="auto"/>
        </w:rPr>
        <w:t>” means any electronic system approved by Agent, including Syndtrak®, Intralinks® and ClearPar® and any other Internet or extranet-based site, whether such electronic system is owned, operated or hosted by Agent, any of its Related Persons or any other Person, providing for access to data protected by passcodes or other security system.</w:t>
      </w:r>
    </w:p>
    <w:p>
      <w:pPr>
        <w:spacing w:after="0" w:line="17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Termination Date</w:t>
      </w:r>
      <w:r>
        <w:rPr>
          <w:rFonts w:ascii="Arial" w:cs="Arial" w:eastAsia="Arial" w:hAnsi="Arial"/>
          <w:sz w:val="17"/>
          <w:szCs w:val="17"/>
          <w:color w:val="auto"/>
        </w:rPr>
        <w:t>” means the date on which (a) the Revolving Loan Commitments and Term Loan Commitments have terminated, (b) all Loans, all L/C Reimbursement Obligations and all other Obligations (excluding Secured Swap Obligations and Secured Cash Management Obligations unless Agent has theretofore been notified in writing by the holder thereof that such Secured Swap Obligations or Secured Cash Management Obligations are then due and payable) have been paid and satisfied in full in cash and (c) all Letters of Credit shall have terminated or there shall have been deposited cash collateral with respect to all contingent Obligations (or, as an alternative to cash collateral, in the case of any Letter of Credit Obligation, Agent shall have received a back-up letter of credit) in amounts and on terms and conditions and with parties satisfactory to Agent and each Indemnitee that is, or may be, owed such Obligations (excluding contingent Obligations (other than L/C Reimbursement Obligations) as to which no claim has been asserted, Secured Swap Obligations and Secured Cash Management Obligations).</w:t>
      </w:r>
    </w:p>
    <w:p>
      <w:pPr>
        <w:spacing w:after="0" w:line="17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1472, 1473 and 1474 of the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Code and any applicable intergovernmental agreements with respect thereto.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4.23(c)</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Flood Insurance</w:t>
      </w:r>
      <w:r>
        <w:rPr>
          <w:rFonts w:ascii="Arial" w:cs="Arial" w:eastAsia="Arial" w:hAnsi="Arial"/>
          <w:sz w:val="18"/>
          <w:szCs w:val="18"/>
          <w:color w:val="auto"/>
        </w:rPr>
        <w:t>” means federally backed Flood Insurance available under the National Flood Insurance Program to owners of real property improvements located in Special Flood Hazard Areas in a community participating in the National Flood Insurance Program.</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as determined by Agent in a commercially reasonable manner, but in no event less than 0.0% per annum.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Reserve Board</w:t>
      </w:r>
      <w:r>
        <w:rPr>
          <w:rFonts w:ascii="Arial" w:cs="Arial" w:eastAsia="Arial" w:hAnsi="Arial"/>
          <w:sz w:val="16"/>
          <w:szCs w:val="16"/>
          <w:color w:val="auto"/>
        </w:rPr>
        <w:t>” means the Board of Governors of the Federal Reserve System, or any entity succeeding to any of its principal functions.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FEMA</w:t>
      </w:r>
      <w:r>
        <w:rPr>
          <w:rFonts w:ascii="Arial" w:cs="Arial" w:eastAsia="Arial" w:hAnsi="Arial"/>
          <w:sz w:val="18"/>
          <w:szCs w:val="18"/>
          <w:color w:val="auto"/>
        </w:rPr>
        <w:t>” means the Federal Emergency Management Agency, a component of the U.S. Department of Homeland Security that administers the National Flood Insurance Program.</w:t>
      </w:r>
    </w:p>
    <w:p>
      <w:pPr>
        <w:spacing w:after="0" w:line="162"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Availability Date</w:t>
      </w:r>
      <w:r>
        <w:rPr>
          <w:rFonts w:ascii="Arial" w:cs="Arial" w:eastAsia="Arial" w:hAnsi="Arial"/>
          <w:sz w:val="16"/>
          <w:szCs w:val="16"/>
          <w:color w:val="auto"/>
        </w:rPr>
        <w:t>” means the earlier of (a) one (1) Business Day prior to the date specified in clause (a) of the definition of Revolving Termination Date and (b) the date on which the Aggregate Revolving Loan Commitment shall terminate in accordance with the provisions of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means the Financial Institutions Reform, Recovery and Enforcement Act of 1989.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Grid Calculation Date</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right="9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of the quarterly accounting periods of Holdings and its Restricted Subsidiaries ending on March 31, June 30, September 30 and December 31 of each year.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Fiscal Year</w:t>
      </w:r>
      <w:r>
        <w:rPr>
          <w:rFonts w:ascii="Arial" w:cs="Arial" w:eastAsia="Arial" w:hAnsi="Arial"/>
          <w:sz w:val="17"/>
          <w:szCs w:val="17"/>
          <w:color w:val="auto"/>
        </w:rPr>
        <w:t>” means any of the annual accounting periods of Holdings and its Restricted Subsidiaries ending on December 31 of each year.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 Coverage Ratio</w:t>
      </w:r>
      <w:r>
        <w:rPr>
          <w:rFonts w:ascii="Arial" w:cs="Arial" w:eastAsia="Arial" w:hAnsi="Arial"/>
          <w:sz w:val="18"/>
          <w:szCs w:val="18"/>
          <w:color w:val="auto"/>
        </w:rPr>
        <w:t>” means for any period:</w:t>
      </w:r>
    </w:p>
    <w:p>
      <w:pPr>
        <w:spacing w:after="0" w:line="121" w:lineRule="exact"/>
        <w:rPr>
          <w:sz w:val="20"/>
          <w:szCs w:val="20"/>
          <w:color w:val="auto"/>
        </w:rPr>
      </w:pPr>
    </w:p>
    <w:p>
      <w:pPr>
        <w:ind w:left="460" w:right="20" w:firstLine="4"/>
        <w:spacing w:after="0" w:line="259"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Consolidated Adjusted EBITDA for such period, minus (b) Capital Expenditures of Holdings and its Restricted Subsidiaries for such period (excluding Capital Expenditures financed under Capital Leases or other Indebtedness of Holdings and its Restricted Subsidiaries, excluding Revolving Loans and Swingline Loans), minus (c) all Taxes on or measured by income (excluding income tax refunds) of Holdings and its Restricted Subsidiaries paid or payable in cash with respect to such period, divided by</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Fixed Charges for such period.</w:t>
      </w:r>
    </w:p>
    <w:p>
      <w:pPr>
        <w:spacing w:after="0" w:line="22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Flood Insurance</w:t>
      </w:r>
      <w:r>
        <w:rPr>
          <w:rFonts w:ascii="Arial" w:cs="Arial" w:eastAsia="Arial" w:hAnsi="Arial"/>
          <w:sz w:val="16"/>
          <w:szCs w:val="16"/>
          <w:color w:val="auto"/>
        </w:rPr>
        <w:t>” means, for any Real Estate (including any personal property Collateral located on such Real Estate) located in a Special Flood Hazard Area, Federal Flood Insurance or private insurance reasonably satisfactory to Agent, in either case, that (a) meets the requirements of FEMA and any other applicable federal agencies, (b) includes a deductible not to exceed $50,000 and (c) has a coverage amount equal to the lesser of (i) the insurable value of the buildings and any personal property Collateral located on the Real Estate as reasonably determined by Agent or (ii) the maximum policy limits set under the National Flood Insurance Program, but in no event less than the amount required under applicable Requirements of Law.</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Flood Insurance Requirements</w:t>
      </w:r>
      <w:r>
        <w:rPr>
          <w:rFonts w:ascii="Arial" w:cs="Arial" w:eastAsia="Arial" w:hAnsi="Arial"/>
          <w:sz w:val="17"/>
          <w:szCs w:val="17"/>
          <w:color w:val="auto"/>
        </w:rPr>
        <w:t>” means, with respect to any Mortgages, Agent shall have received (and delivered to each Lender): (i) evidence as to whether the applicable Real Estate is located in a Special Flood Hazard Area pursuant to a standard life-of-loan flood hazard determination form ordered and received by Agent, and (ii) if such Real Estate is located in a Special Flood Hazard Area, (A) evidence as to whether the community in which such Real Estate is located is participating in the National Flood Insurance Program, (B) the applicable Credit Party’s written acknowledgment of receipt of written notification from Agent and each Lender as to the fact that such Real Estate is located in a Special Flood Hazard Area and as to whether the community in which such Real Estate is located is participating in the National Flood Insurance Program and (C) copies of the applicable Credit Party’s application for a flood insurance policy plus proof of premium payment, a declaration page confirming that flood insurance has been issued, or such other evidence of flood insurance reasonably satisfactory to Agent and naming Agent as loss payee on behalf of the Secured Parties and (D) any other documentation that Agent or any Lender may reasonably request to complete its flood insurance due diligence.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with respect to any Person, a Subsidiary of such Person, which Subsidiary is not a Domestic Subsidiary.</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(or agencies with similar functions and comparable stature and authority within the accounting profession) that are applicable to the circumstances as of the date of determination.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all references to “GAAP” shall be to GAAP applied consistently with the principles used in the preparation of the financial statements described in </w:t>
      </w:r>
      <w:r>
        <w:rPr>
          <w:rFonts w:ascii="Arial" w:cs="Arial" w:eastAsia="Arial" w:hAnsi="Arial"/>
          <w:sz w:val="17"/>
          <w:szCs w:val="17"/>
          <w:u w:val="single" w:color="auto"/>
          <w:color w:val="auto"/>
        </w:rPr>
        <w:t>Section 5.1(a)</w:t>
      </w:r>
      <w:r>
        <w:rPr>
          <w:rFonts w:ascii="Arial" w:cs="Arial" w:eastAsia="Arial" w:hAnsi="Arial"/>
          <w:sz w:val="17"/>
          <w:szCs w:val="17"/>
          <w:color w:val="auto"/>
        </w:rPr>
        <w:t>.</w:t>
      </w:r>
    </w:p>
    <w:p>
      <w:pPr>
        <w:spacing w:after="0" w:line="168"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sovereign or government, any state or other political subdivision thereof, any agency, authority or instrumentality thereof and any entity or authority exercising executive, legislative, taxing, judicial, regulatory or administrative functions of or pertaining to government, including any central bank, stock exchange, regulatory body, arbitrator, public sector entity, supra-national entity (including the European Union and the European Central Bank) and any self-regulatory organization (including the National Association of Insurance Commissioners). Governmental</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0" w:right="279" w:bottom="1440" w:gutter="0" w:footer="0" w:header="0"/>
        </w:sectPr>
      </w:pPr>
    </w:p>
    <w:bookmarkStart w:id="58" w:name="page59"/>
    <w:bookmarkEnd w:id="58"/>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shall include any agency, branch or other governmental body charged with the responsibility and/or vested with the authority to administer and/or enforce any Health Care Laws, including any Medicare or Medicaid contractors, intermediaries or carriers.</w:t>
      </w:r>
    </w:p>
    <w:p>
      <w:pPr>
        <w:spacing w:after="0" w:line="166"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Payor</w:t>
      </w:r>
      <w:r>
        <w:rPr>
          <w:rFonts w:ascii="Arial" w:cs="Arial" w:eastAsia="Arial" w:hAnsi="Arial"/>
          <w:sz w:val="18"/>
          <w:szCs w:val="18"/>
          <w:color w:val="auto"/>
        </w:rPr>
        <w:t>” means Medicare, Medicaid, TRICARE, CHAMPVA, any state health plan adopted pursuant to Title XIX of the Social Security Act, any other state or federal health care program and any other Governmental Authority which presently or in the future maintains a Third Party Payor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has guaranteed any Obligations.</w:t>
      </w:r>
    </w:p>
    <w:p>
      <w:pPr>
        <w:spacing w:after="0" w:line="225"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 and Security Agreement</w:t>
      </w:r>
      <w:r>
        <w:rPr>
          <w:rFonts w:ascii="Arial" w:cs="Arial" w:eastAsia="Arial" w:hAnsi="Arial"/>
          <w:sz w:val="17"/>
          <w:szCs w:val="17"/>
          <w:color w:val="auto"/>
        </w:rPr>
        <w:t>” means that certain Guaranty and Security Agreement, dated as of even date herewith, in form and substance reasonably acceptable to Agent and the Borrower, made by the Credit Parties in favor of Agent, for the benefit of the Secured Parties.</w:t>
      </w:r>
    </w:p>
    <w:p>
      <w:pPr>
        <w:spacing w:after="0" w:line="13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any substance, material or waste that is classified, regulated or otherwise characterized under any Environmental Law as hazardous, toxic, a contaminant or a pollutant or by other words of similar meaning or regulatory effect, including petroleum or any fraction thereof, asbestos, polychlorinated biphenyls and radioactive substances.</w:t>
      </w:r>
    </w:p>
    <w:p>
      <w:pPr>
        <w:spacing w:after="0" w:line="17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 Care Laws</w:t>
      </w:r>
      <w:r>
        <w:rPr>
          <w:rFonts w:ascii="Arial" w:cs="Arial" w:eastAsia="Arial" w:hAnsi="Arial"/>
          <w:sz w:val="16"/>
          <w:szCs w:val="16"/>
          <w:color w:val="auto"/>
        </w:rPr>
        <w:t>” means all Requirements of Law relating to (a) fraud and abuse (including the following statutes, as amended, modified or supplemented from time to time and any successor statutes thereto and regulations promulgated from time to time thereunder: the federal Anti-Kickback Statute (42 U.S.C. § 1320a-7b(b)); the Stark Law (42 U.S.C. § 1395nn and §1395(q)); the civil False Claims Act (31 U.S.C. § 3729 et seq.); Sections 1320a-7 and 1320a-7a and 1320a-7b of Title 42 of the United States Code; and the Medicare Prescription Drug, Improvement, and Modernization Act of 2003 (Pub. L. No. 108-173)); (b) the licensure or regulation of healthcare providers, suppliers, professionals, facilities or payors; (c) patient health care; (d) quality, safety certification and accreditation standards and requirements; (e) HIPAA; (f) certificates of operations and authority; (g) laws regulating the provision of free or discounted care or services; (h) Medicare, Medicaid, CHAMPVA, TRICARE or other Third Party Payor Programs; (i) the provision of, or payment for, health care services, items or supplies; (j) the billing, coding or submission of claims or collection of accounts receivable or refund of overpayments; (k) the practice of medicine and other health care professions or the organization of medical or professional entities; (l) fee-splitting prohibitions; (m) requirements for maintaining federal, state and local tax-exempt status of any Credit Party or any Subsidiary of any Credit Party; (n) health planning or rate-setting laws, including laws regarding certificates of need and certificates of exemption; and (o) any and all other applicable federal, state or local health care laws, rules, codes, statutes, regulations, manuals, orders, ordinances, statutes, policies, professional or ethical rules, administrative guidance and requirements, as the same may be amended, modified or supplemented from time to time, and any successor statute thereto.</w:t>
      </w:r>
    </w:p>
    <w:p>
      <w:pPr>
        <w:spacing w:after="0" w:line="165"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(a) Health Insurance Portability and Accountability Act of 1996; (b) the Health Information Technology for Economic and Clinical Health Act (Title XIII of the American Recovery and Reinvestment Act of 2009); and (c) any state and local laws regulating the privacy and/or security of individually identifiable information, including state laws providing for notification of breach of privacy or security of individually identifiable information, in each case as amended, modified or supplemented from time to time, and together with all successor statutes thereto and all rules and regulations promulgated from time to time thereunder.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5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xml:space="preserve">” means any Restricted Subsidiary of the Borrower that the Borrower designates in writing to Agent as an “Immaterial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of the last financial statements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w:t>
      </w:r>
      <w:r>
        <w:rPr>
          <w:rFonts w:ascii="Arial" w:cs="Arial" w:eastAsia="Arial" w:hAnsi="Arial"/>
          <w:sz w:val="16"/>
          <w:szCs w:val="16"/>
          <w:color w:val="auto"/>
        </w:rPr>
        <w:t>, (i) the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Consolidated EBITDA attributable to all such Restricted Subsidiaries shall not be in excess of 5% of Consolidated EBITDA of Holdings and its Restricted Subsidiaries on a consolidated basis and (ii) the total assets (including Stock in other Subsidiaries and excluding investments that are eliminated in consolidation) attributable to all such Restricted Subsidiaries shall not be in excess of 5% of Consolidated Total Assets of Holdings and its Restricted Subsidiaries on a consolidated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each case, the Borrower may designate but not re-designate a Restricted Subsidiary as an Immaterial Subsidiary at any time, subject to the limitations and requirements set forth in this definition. If the Consolidated EBITDA or Consolidated Total Assets of all Restricted Subsidiaries so designated by the Borrower as “Immaterial Subsidiaries” shall at any time exceed the limits set forth in the preceding sentence, then starting with the largest Restricted Subsidiary (except to the extent otherwise designated by Borrower), the number of Restricted Subsidiaries that are at such time designated as Immaterial Subsidiaries shall automatically be deemed to no longer be designated as Immaterial Subsidiaries, and shall be required to promptly comply with the provisions of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5.13(d)</w:t>
      </w:r>
      <w:r>
        <w:rPr>
          <w:rFonts w:ascii="Arial" w:cs="Arial" w:eastAsia="Arial" w:hAnsi="Arial"/>
          <w:sz w:val="17"/>
          <w:szCs w:val="17"/>
          <w:color w:val="auto"/>
        </w:rPr>
        <w:t xml:space="preserve"> with respect to such Subsidiaries, until the threshold amounts in the preceding sentence are no longer exceeded (as reasonably determined by the Borrower), with any Immaterial Subsidiaries at such time that are below such threshold amounts still being designated as (and remaining as) Immaterial Subsidiaries.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Request</w:t>
      </w:r>
      <w:r>
        <w:rPr>
          <w:rFonts w:ascii="Arial" w:cs="Arial" w:eastAsia="Arial" w:hAnsi="Arial"/>
          <w:sz w:val="18"/>
          <w:szCs w:val="18"/>
          <w:color w:val="auto"/>
        </w:rPr>
        <w:t xml:space="preserve">” has the meaning forth set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Contingent Acquisition Consideration (other than trade payables entered into in the Ordinary Course of Business); (c) the face amount of all letters of credit issued for the account of such Person (or for which such Person is liable) and without duplication, all drafts drawn thereunder and all reimbursement or payment obligations with respect to letters of credit, surety bonds and other similar instruments issued by such Person (or for which such Person is liable);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(f) all Capital Lease Obligations; (g) the principal balance outstanding under any synthetic lease, off-balance sheet loan or similar off balance sheet financing product;</w:t>
      </w:r>
    </w:p>
    <w:p>
      <w:pPr>
        <w:spacing w:after="0" w:line="4" w:lineRule="exact"/>
        <w:rPr>
          <w:sz w:val="20"/>
          <w:szCs w:val="20"/>
          <w:color w:val="auto"/>
        </w:rPr>
      </w:pPr>
    </w:p>
    <w:p>
      <w:pPr>
        <w:ind w:firstLine="8"/>
        <w:spacing w:after="0" w:line="268"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obligations of such Person, whether or not contingent, in respect of Disqualified Stock, valued at, in the case of redeemable preferred Stock, the greater of the voluntary liquidation preference and the involuntary liquidation preference of such Stock plus accrued and unpaid dividends; (i) all indebtedness referred to in clauses (a) through (h)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(j) all direct or indirect liability, contingent or otherwise, of that Person with respect to any other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4" w:right="279" w:bottom="1440" w:gutter="0" w:footer="0" w:header="0"/>
        </w:sectPr>
      </w:pPr>
    </w:p>
    <w:bookmarkStart w:id="60" w:name="page61"/>
    <w:bookmarkEnd w:id="6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thereto; (k) all direct or indirect liability, contingent or otherwise, of that Person under any Rate Contracts; (l) all direct or indirect liability, contingent or otherwise, of that Person to make take-or-pay or similar payments if required regardless of nonperformance by any other party or parties to an agreement; or (m) all direct or indirect liability, contingent or otherwise, of that Person for the 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Indebtedness under the foregoing clauses (j) through (m) shall be equal to the amount of the obligation so guarantied or otherwise supported or, if not a fixed and determined amount, the maximum amount so guarantied or supported.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Matter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w:t>
      </w:r>
      <w:r>
        <w:rPr>
          <w:rFonts w:ascii="Arial" w:cs="Arial" w:eastAsia="Arial" w:hAnsi="Arial"/>
          <w:sz w:val="18"/>
          <w:szCs w:val="18"/>
          <w:color w:val="auto"/>
        </w:rPr>
        <w:t>” means (a) any Tax other than an Excluded Tax imposed on or with respect to any payment made by or on account of any obligation of any Credit Party under any Loan Document and (b) to the extent not otherwise described in clause (a), Other Taxes.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 Expiration Date</w:t>
      </w:r>
      <w:r>
        <w:rPr>
          <w:rFonts w:ascii="Arial" w:cs="Arial" w:eastAsia="Arial" w:hAnsi="Arial"/>
          <w:sz w:val="18"/>
          <w:szCs w:val="18"/>
          <w:color w:val="auto"/>
        </w:rPr>
        <w:t xml:space="preserve">” means the earliest of (a) the date on which the entire amount of the Aggregate Term Loan Commitment has been drawn, (b) the date on which all Initial Term Loan Commitments have been terminated or reduced to zero pursuant to </w:t>
      </w:r>
      <w:r>
        <w:rPr>
          <w:rFonts w:ascii="Arial" w:cs="Arial" w:eastAsia="Arial" w:hAnsi="Arial"/>
          <w:sz w:val="18"/>
          <w:szCs w:val="18"/>
          <w:u w:val="single" w:color="auto"/>
          <w:color w:val="auto"/>
        </w:rPr>
        <w:t>Section 2.7(b)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and (c) November 8, 2018.</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in (a) and (b) above, undertaken under U.S. federal, state or foreign law, including the Bankruptcy Code.</w:t>
      </w:r>
    </w:p>
    <w:p>
      <w:pPr>
        <w:spacing w:after="0" w:line="165" w:lineRule="exact"/>
        <w:rPr>
          <w:sz w:val="20"/>
          <w:szCs w:val="20"/>
          <w:color w:val="auto"/>
        </w:rPr>
      </w:pPr>
    </w:p>
    <w:p>
      <w:pPr>
        <w:ind w:right="2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rights, title and interests in or relating to (a) intellectual property arising under any Requirement of Law, including all Copyrights, Patents, Software, Trademarks, Internet Domain Names, and Trade Secrets, (b) all IP Ancillary Rights relating thereto and (c) IP Licenses.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(a) with respect to any LIBOR Rate Loan (other than a LIBOR Rate Loan having an Interest Period longer than three</w:t>
      </w:r>
    </w:p>
    <w:p>
      <w:pPr>
        <w:spacing w:after="0" w:line="50"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months) the last day of each Interest Period applicable to such Loan, (b) with respect to any LIBOR Rate Loan having an Interest Period of three</w:t>
      </w:r>
    </w:p>
    <w:p>
      <w:pPr>
        <w:spacing w:after="0" w:line="20" w:lineRule="exact"/>
        <w:rPr>
          <w:rFonts w:ascii="Arial" w:cs="Arial" w:eastAsia="Arial" w:hAnsi="Arial"/>
          <w:sz w:val="17"/>
          <w:szCs w:val="17"/>
          <w:color w:val="auto"/>
        </w:rPr>
      </w:pPr>
    </w:p>
    <w:p>
      <w:pPr>
        <w:ind w:right="48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months), the last day of each three (3) month interval and, without duplication, the last day of such Interest Period, and (c) with respect to Base Rate Loans (including Swing Loans) the first day of each calendar quarter.</w:t>
      </w:r>
    </w:p>
    <w:p>
      <w:pPr>
        <w:spacing w:after="0" w:line="1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with respect to any LIBOR Rate Loan, the period commencing on the Business Day such Loan is disbursed or continued or on the Conversion Date on which a Base Rate Loan is converted to the LIBOR Rate Loan and ending on the date one, two, three or six months thereafter (or, to the extent available to all applicable Lenders, twelve months thereafter), as selected by the Borrower in its Notice of Borrowing or Notice of Conversion/Continuation; provided that:</w:t>
      </w:r>
    </w:p>
    <w:p>
      <w:pPr>
        <w:spacing w:after="0" w:line="76" w:lineRule="exact"/>
        <w:rPr>
          <w:sz w:val="20"/>
          <w:szCs w:val="20"/>
          <w:color w:val="auto"/>
        </w:rPr>
      </w:pPr>
    </w:p>
    <w:p>
      <w:pPr>
        <w:ind w:left="460" w:firstLine="443"/>
        <w:spacing w:after="0" w:line="264" w:lineRule="auto"/>
        <w:tabs>
          <w:tab w:leader="none" w:pos="11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Interest Period pertaining to a LIBOR Rate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61" w:name="page62"/>
    <w:bookmarkEnd w:id="61"/>
    <w:p>
      <w:pPr>
        <w:jc w:val="both"/>
        <w:ind w:left="460" w:right="80" w:firstLine="443"/>
        <w:spacing w:after="0" w:line="264" w:lineRule="auto"/>
        <w:tabs>
          <w:tab w:leader="none" w:pos="1153"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pertaining to a LIBOR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Interest Period for a Term Loan or any portion thereof shall extend beyond the last scheduled payment date therefor and no Interest Period for any Revolving Loan shall extend beyond the Revolving Termination Date; and</w:t>
      </w:r>
    </w:p>
    <w:p>
      <w:pPr>
        <w:spacing w:after="0" w:line="62" w:lineRule="exact"/>
        <w:rPr>
          <w:rFonts w:ascii="Arial" w:cs="Arial" w:eastAsia="Arial" w:hAnsi="Arial"/>
          <w:sz w:val="18"/>
          <w:szCs w:val="18"/>
          <w:color w:val="auto"/>
        </w:rPr>
      </w:pPr>
    </w:p>
    <w:p>
      <w:pPr>
        <w:ind w:left="460" w:right="260" w:firstLine="443"/>
        <w:spacing w:after="0" w:line="312" w:lineRule="auto"/>
        <w:tabs>
          <w:tab w:leader="none" w:pos="1153"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Interest Period applicable to a Term Loan or portion thereof shall extend beyond any date upon which is due any scheduled principal payment in respect of such Term Loan unless the aggregate principal amount of such Term Loan represented by Base Rate Loans or by LIBOR Rate Loans having Interest Periods that will expire on or before such date is equal to or in excess of the amount of such principal payment.</w:t>
      </w:r>
    </w:p>
    <w:p>
      <w:pPr>
        <w:spacing w:after="0" w:line="14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Internet Domain Name</w:t>
      </w:r>
      <w:r>
        <w:rPr>
          <w:rFonts w:ascii="Arial" w:cs="Arial" w:eastAsia="Arial" w:hAnsi="Arial"/>
          <w:sz w:val="18"/>
          <w:szCs w:val="18"/>
          <w:color w:val="auto"/>
        </w:rPr>
        <w:t>” means all right, title and interest (and all related IP Ancillary Rights) arising under any Requirement of Law in or to internet domain names.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such term is defined in the UCC) of the Borrower and its Restricted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 Ancillary Rights</w:t>
      </w:r>
      <w:r>
        <w:rPr>
          <w:rFonts w:ascii="Arial" w:cs="Arial" w:eastAsia="Arial" w:hAnsi="Arial"/>
          <w:sz w:val="16"/>
          <w:szCs w:val="16"/>
          <w:color w:val="auto"/>
        </w:rPr>
        <w:t>” means, with respect to any Intellectual Property (of the type described in clauses (a) and (c) of the definition of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w:t>
      </w:r>
    </w:p>
    <w:p>
      <w:pPr>
        <w:spacing w:after="0" w:line="154"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License</w:t>
      </w:r>
      <w:r>
        <w:rPr>
          <w:rFonts w:ascii="Arial" w:cs="Arial" w:eastAsia="Arial" w:hAnsi="Arial"/>
          <w:sz w:val="18"/>
          <w:szCs w:val="18"/>
          <w:color w:val="auto"/>
        </w:rPr>
        <w:t>” means all written Contractual Obligations (and all related IP Ancillary Rights), granting any right, title and interest in or relating to any Intellectual Property of the type described in clause (a) of the definition of Intellectual Property.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Internal Revenue Service of the United States and any successor thereto.</w:t>
      </w:r>
    </w:p>
    <w:p>
      <w:pPr>
        <w:spacing w:after="0" w:line="225" w:lineRule="exact"/>
        <w:rPr>
          <w:sz w:val="20"/>
          <w:szCs w:val="20"/>
          <w:color w:val="auto"/>
        </w:rPr>
      </w:pPr>
    </w:p>
    <w:p>
      <w:pPr>
        <w:ind w:right="2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w:t>
      </w:r>
      <w:r>
        <w:rPr>
          <w:rFonts w:ascii="Arial" w:cs="Arial" w:eastAsia="Arial" w:hAnsi="Arial"/>
          <w:sz w:val="16"/>
          <w:szCs w:val="16"/>
          <w:color w:val="auto"/>
        </w:rPr>
        <w:t>” means, with respect to any Letter of Credit, to issue, extend the expiration date of, renew (including by failure to object to any automatic renewal on the last day such objection is permitted), increase the face amount of, or reduce or eliminate any scheduled decrease in the face amount of, such Letter of Credit, or to cause any Person to do any of the foregoing. The terms “</w:t>
      </w:r>
      <w:r>
        <w:rPr>
          <w:rFonts w:ascii="Arial" w:cs="Arial" w:eastAsia="Arial" w:hAnsi="Arial"/>
          <w:sz w:val="16"/>
          <w:szCs w:val="16"/>
          <w:b w:val="1"/>
          <w:bCs w:val="1"/>
          <w:color w:val="auto"/>
        </w:rPr>
        <w:t>Issued</w:t>
      </w:r>
      <w:r>
        <w:rPr>
          <w:rFonts w:ascii="Arial" w:cs="Arial" w:eastAsia="Arial" w:hAnsi="Arial"/>
          <w:sz w:val="16"/>
          <w:szCs w:val="16"/>
          <w:color w:val="auto"/>
        </w:rPr>
        <w:t>” and “</w:t>
      </w:r>
      <w:r>
        <w:rPr>
          <w:rFonts w:ascii="Arial" w:cs="Arial" w:eastAsia="Arial" w:hAnsi="Arial"/>
          <w:sz w:val="16"/>
          <w:szCs w:val="16"/>
          <w:b w:val="1"/>
          <w:bCs w:val="1"/>
          <w:color w:val="auto"/>
        </w:rPr>
        <w:t>Issuance</w:t>
      </w:r>
      <w:r>
        <w:rPr>
          <w:rFonts w:ascii="Arial" w:cs="Arial" w:eastAsia="Arial" w:hAnsi="Arial"/>
          <w:sz w:val="16"/>
          <w:szCs w:val="16"/>
          <w:color w:val="auto"/>
        </w:rPr>
        <w:t>” have correlative meanings.</w:t>
      </w:r>
    </w:p>
    <w:p>
      <w:pPr>
        <w:spacing w:after="0" w:line="14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including the latest maturity or expiration date of any Term Loan or any Incremental Term Loan Commitment, in each case as extended in accordance with this Agreement from time to time.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2" w:name="page63"/>
    <w:bookmarkEnd w:id="62"/>
    <w:p>
      <w:pPr>
        <w:ind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L/C Issuer</w:t>
      </w:r>
      <w:r>
        <w:rPr>
          <w:rFonts w:ascii="Arial" w:cs="Arial" w:eastAsia="Arial" w:hAnsi="Arial"/>
          <w:sz w:val="18"/>
          <w:szCs w:val="18"/>
          <w:color w:val="auto"/>
        </w:rPr>
        <w:t>” means any Lender or an Affiliate thereof that is a bank or other legally authorized Person, in each case, that has agreed in writing to serve in such role and that is reasonably acceptable to Agent, in such Person’s capacity as an issuer of Letters of Credit hereunder.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2.1(c)(i)(C)(v)</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Obligation</w:t>
      </w:r>
      <w:r>
        <w:rPr>
          <w:rFonts w:ascii="Arial" w:cs="Arial" w:eastAsia="Arial" w:hAnsi="Arial"/>
          <w:sz w:val="18"/>
          <w:szCs w:val="18"/>
          <w:color w:val="auto"/>
        </w:rPr>
        <w:t>” means, for any Letter of Credit, the obligation of the Borrower to the L/C Issuer thereof or to Agent, as and when matured, to pay all amounts drawn under such Letter of Credit.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3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Lending Office</w:t>
      </w:r>
      <w:r>
        <w:rPr>
          <w:rFonts w:ascii="Arial" w:cs="Arial" w:eastAsia="Arial" w:hAnsi="Arial"/>
          <w:sz w:val="17"/>
          <w:szCs w:val="17"/>
          <w:color w:val="auto"/>
        </w:rPr>
        <w:t>” means, with respect to any Lender, the office or offices of such Lender specified as its “Lending Office” beneath its name on the applicable signature page hereto, or such other office or offices of such Lender as it may from time to time notify the Borrower and Agent.</w:t>
      </w:r>
    </w:p>
    <w:p>
      <w:pPr>
        <w:spacing w:after="0" w:line="138"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commercial or standby letters of credit Issued for the account of a Credit Party or Restricted Subsidiary by L/C Issuers, and bankers’ acceptances issued by the Borrower in connection therewith, for which Agent and Lenders have incurred Letter of Credit Obligations, including without limitation the Existing Letters of Credit.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2.9(c)</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Obligations</w:t>
      </w:r>
      <w:r>
        <w:rPr>
          <w:rFonts w:ascii="Arial" w:cs="Arial" w:eastAsia="Arial" w:hAnsi="Arial"/>
          <w:sz w:val="18"/>
          <w:szCs w:val="18"/>
          <w:color w:val="auto"/>
        </w:rPr>
        <w:t xml:space="preserve">” means all outstanding obligations incurred by Agent and Lenders at the request of the Borrower, whether direct or indirect, contingent or otherwise, due or not due, in connection with the Issuance of Letters of Credit by L/C Issuers or the purchase of a participation as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with respect to any Letter of Credit. The amount of such Letter of Credit Obligations shall equal the maximum amount that may be payable by Agent and Lenders thereupon or pursuant thereto.</w:t>
      </w:r>
    </w:p>
    <w:p>
      <w:pPr>
        <w:spacing w:after="0" w:line="18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means, for each Interest Period, the offered rate per annum (but not less than 0.00%) for deposits of Dollars for the applicable Interest Period that appears on Reuters Screen LIBOR01 Page (or the applicable successor page) as of 11:00 A.M. (London, England time) two (2) Business Days prior to the first day in such Interest Period. If no such offered rate exists, such rate will be the rate of interest per annum, as determined by Agent at which deposits of Dollars in immediately available funds are offered at 11:00 A.M. (London, England time) two (2) Business Days prior to the first day in such Interest Period by major financial institutions reasonably satisfactory to Agent in the London interbank market for such Interest Period for the applicable principal amount on such date of determination.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 Loan</w:t>
      </w:r>
      <w:r>
        <w:rPr>
          <w:rFonts w:ascii="Arial" w:cs="Arial" w:eastAsia="Arial" w:hAnsi="Arial"/>
          <w:sz w:val="18"/>
          <w:szCs w:val="18"/>
          <w:color w:val="auto"/>
        </w:rPr>
        <w:t>” means a Loan that bears interest based on LIBOR.</w:t>
      </w:r>
    </w:p>
    <w:p>
      <w:pPr>
        <w:spacing w:after="0" w:line="225"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deed of trust, pledge, hypothecation, collateral assignment, charge, deposit arrangement, encumbrance, easement, lien (statutory or otherwise),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65"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means any acquisition by the Borrower or one or more of its Restricted Subsidiaries permitted pursuant to Section 6.4 whose consummation is not conditioned on the availability of, or on obtaining, third party financing.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any loan made or deemed made by any Lender hereunder.</w:t>
      </w:r>
    </w:p>
    <w:p>
      <w:pPr>
        <w:spacing w:after="0" w:line="225"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the Notes, the Fee Letter, the Collateral Documents, any Subordination Agreement, and all documents delivered to Agent and/or any Lender in connection with any of the foregoing (excluding any Secured Rate Contract or any Secured Cash Management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means “margin stock” as such term is defined in Regulation T, U or X of the Federal Reserve Board.</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 effect that results in or causes, or could reasonably be expected to result in or cause, a material adverse change in any of (a) the condition (financial or otherwise), business, operations or Property of the Credit Parties and their Restricted Subsidiaries taken as a whole;</w:t>
      </w:r>
    </w:p>
    <w:p>
      <w:pPr>
        <w:spacing w:after="0" w:line="1" w:lineRule="exact"/>
        <w:rPr>
          <w:sz w:val="20"/>
          <w:szCs w:val="20"/>
          <w:color w:val="auto"/>
        </w:rPr>
      </w:pPr>
    </w:p>
    <w:p>
      <w:pPr>
        <w:ind w:right="380" w:firstLine="8"/>
        <w:spacing w:after="0" w:line="261"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any Credit Party to perform its obligations under any Loan Document; or (c) the validity or enforceability of any Loan Document or the rights and remedies of Agent, the Lenders or the other Secured Parties under any Loan Document.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Environmental Liabilities</w:t>
      </w:r>
      <w:r>
        <w:rPr>
          <w:rFonts w:ascii="Arial" w:cs="Arial" w:eastAsia="Arial" w:hAnsi="Arial"/>
          <w:sz w:val="18"/>
          <w:szCs w:val="18"/>
          <w:color w:val="auto"/>
        </w:rPr>
        <w:t>” means Environmental Liabilities that would result in a Material Adverse Effect.</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means (i) any Subordinated Indebtedness and (ii) any other Indebtedness (other than the Obligations but including Secured Swap Obligations and Secured Cash Management Obligations) of any Credit Party or any of its Restricted Subsidiaries having an aggregate principal amount (including undrawn committed or available amounts and including amounts owing to all creditors under any combined or syndicated credit arrangement) of $5,000,000 or more.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Lawful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Revolving Loan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means, collectively, the health care assistance program established by Title XIX of the Social Security Act (42 U.S.C. 1396 et seq.) and any statutes succeeding thereto,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0" w:right="279" w:bottom="1440" w:gutter="0" w:footer="0" w:header="0"/>
        </w:sectPr>
      </w:pPr>
    </w:p>
    <w:bookmarkStart w:id="64" w:name="page65"/>
    <w:bookmarkEnd w:id="64"/>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requirements of all Governmental Authorities promulgated in connection with such program (whether or not having the force of law), in each case as the same may be amended, supplemented or otherwise modified from time to time.</w:t>
      </w:r>
    </w:p>
    <w:p>
      <w:pPr>
        <w:spacing w:after="0" w:line="16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means, collectively, the health insurance program for the aged and disabled established by Title XVIII of the Social Security Act (42 U.S.C. 1395 et seq.) and any statutes succeeding thereto, and all laws, rules, regulations, manuals, orders or requirements pertaining to such program including (a) all federal statutes (whether set forth in Title XVIII of the Social Security Act (42 U.S.C. 1395 et seq.) or elsewhere) affecting such program; and (b) all applicable provisions of all rules, regulations, manuals, orders, administrative, reimbursement and requirements of all Governmental Authorities promulgated in connection with such program (whether or not having the force of law), in each case as the same may be amended, supplemented or otherwise modified from time to time.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any deed of trust, leasehold deed of trust, mortgage, leasehold mortgage, deed to secure debt, leasehold deed to secure debt or other document creating a Lien on Real Estate or any interest in Real Estate made by any Credit Party in favor of, or for the benefit of, Agent (or a nominee or sub-agent therefor) for the benefit of the Secured Parties (or any one or more of them), in form and substance reasonably satisfactory to Agent and the Borrower.</w:t>
      </w:r>
    </w:p>
    <w:p>
      <w:pPr>
        <w:spacing w:after="0" w:line="180"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multiemployer plan, as defined in Section 3(37) or 4001(a)(3) of ERISA, as to which any ERISA Affiliate incurs or otherwise has any obligation or Liabilities.</w:t>
      </w:r>
    </w:p>
    <w:p>
      <w:pPr>
        <w:spacing w:after="0" w:line="162"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Flood Insurance Program</w:t>
      </w:r>
      <w:r>
        <w:rPr>
          <w:rFonts w:ascii="Arial" w:cs="Arial" w:eastAsia="Arial" w:hAnsi="Arial"/>
          <w:sz w:val="18"/>
          <w:szCs w:val="18"/>
          <w:color w:val="auto"/>
        </w:rPr>
        <w:t>” means the program created by the U.S. Congress pursuant to the National Flood Insurance Act of 1968 and the Flood Disaster Protection Act of 1973, as revised by the National Flood Insurance Reform Act of 1994, that, among other things, mandates the purchase of flood insurance to cover real property improvements and contents located in Special Flood Hazard Areas in participating communities and may provide protection to property owners through a federal insurance program.</w:t>
      </w:r>
    </w:p>
    <w:p>
      <w:pPr>
        <w:spacing w:after="0" w:line="180" w:lineRule="exact"/>
        <w:rPr>
          <w:sz w:val="20"/>
          <w:szCs w:val="20"/>
          <w:color w:val="auto"/>
        </w:rPr>
      </w:pPr>
    </w:p>
    <w:p>
      <w:pPr>
        <w:ind w:right="3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Issuance Proceeds</w:t>
      </w:r>
      <w:r>
        <w:rPr>
          <w:rFonts w:ascii="Arial" w:cs="Arial" w:eastAsia="Arial" w:hAnsi="Arial"/>
          <w:sz w:val="16"/>
          <w:szCs w:val="16"/>
          <w:color w:val="auto"/>
        </w:rPr>
        <w:t>” means, in respect of any issuance of equity or incurrence of Indebtedness, cash proceeds (including cash proceeds as and when received in respect of non-cash proceeds received or receivable in connection with such issuance), net of underwriting discounts and reasonable out-of-pocket costs and expenses paid or incurred in connection therewith in favor of any Person not an Affiliate of the Borrower.</w:t>
      </w:r>
    </w:p>
    <w:p>
      <w:pPr>
        <w:spacing w:after="0" w:line="142" w:lineRule="exact"/>
        <w:rPr>
          <w:sz w:val="20"/>
          <w:szCs w:val="20"/>
          <w:color w:val="auto"/>
        </w:rPr>
      </w:pPr>
    </w:p>
    <w:p>
      <w:pPr>
        <w:jc w:val="both"/>
        <w:ind w:right="1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Proceeds</w:t>
      </w:r>
      <w:r>
        <w:rPr>
          <w:rFonts w:ascii="Arial" w:cs="Arial" w:eastAsia="Arial" w:hAnsi="Arial"/>
          <w:sz w:val="16"/>
          <w:szCs w:val="16"/>
          <w:color w:val="auto"/>
        </w:rPr>
        <w:t>” means proceeds in cash, checks or other cash equivalent financial instruments (including Cash Equivalents) as and when received by the Person making a Disposition, as well as insurance proceeds and condemnation and similar awards received on account of an Event of Loss, net of: (a) in the event of a Disposition (i) the direct costs relating to such Disposition excluding amounts payable to the Borrower or any Affiliate of the Borrower,</w:t>
      </w:r>
    </w:p>
    <w:p>
      <w:pPr>
        <w:spacing w:after="0" w:line="2"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sales, use or other transaction Taxes paid or payable as a result thereof, (iii) amounts required to be applied to pay principal, interest and prepayment</w:t>
      </w:r>
    </w:p>
    <w:p>
      <w:pPr>
        <w:spacing w:after="0" w:line="32"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premiums and penalties on Indebtedness (other than the Obligations) secured by a Lien on the asset which is the subject of such Disposition and prior to the Lien securing the Obligations, and (iv) any escrow or reserve for any indemnification payments (fixed or contingent) attributable to seller’s indemnities and representations and warranties to purchaser in respect of the applicable Disposition undertaken by Holdings, the Borrower or any of their respective Restricted Subsidiaries or other liabilities in connection with such Disposition (provided that upon release of any such escrow or reserve, the amount released shall be considered Net Proceeds) and (b) in the event of an Event of Loss, (i) all money actually applied to repair or reconstruct the damaged Property or Property affected by the condemnation or taking, (ii) all of the costs and expenses reasonably incurred in connection with the collection of such proceeds, award or other payments, and (iii) any amounts retained by or paid to parties having superior rights to such proceeds, awards or other payments.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Non-Recurring Expenses</w:t>
      </w:r>
      <w:r>
        <w:rPr>
          <w:rFonts w:ascii="Arial" w:cs="Arial" w:eastAsia="Arial" w:hAnsi="Arial"/>
          <w:sz w:val="18"/>
          <w:szCs w:val="18"/>
          <w:color w:val="auto"/>
        </w:rPr>
        <w:t>” has the meaning set forth in the definition of Consolidated EBITDA.</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 Party</w:t>
      </w:r>
      <w:r>
        <w:rPr>
          <w:rFonts w:ascii="Arial" w:cs="Arial" w:eastAsia="Arial" w:hAnsi="Arial"/>
          <w:sz w:val="18"/>
          <w:szCs w:val="18"/>
          <w:color w:val="auto"/>
        </w:rPr>
        <w:t>” means each of Agent, each Lender, each L/C Issuer, each SPV and each participant, in each case that is not a United States person as defined in Section 7701(a)(30) of the Code.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any Revolving Note, Swingline Note or Term Note and “</w:t>
      </w:r>
      <w:r>
        <w:rPr>
          <w:rFonts w:ascii="Arial" w:cs="Arial" w:eastAsia="Arial" w:hAnsi="Arial"/>
          <w:sz w:val="18"/>
          <w:szCs w:val="18"/>
          <w:b w:val="1"/>
          <w:bCs w:val="1"/>
          <w:color w:val="auto"/>
        </w:rPr>
        <w:t>Notes</w:t>
      </w:r>
      <w:r>
        <w:rPr>
          <w:rFonts w:ascii="Arial" w:cs="Arial" w:eastAsia="Arial" w:hAnsi="Arial"/>
          <w:sz w:val="18"/>
          <w:szCs w:val="18"/>
          <w:color w:val="auto"/>
        </w:rPr>
        <w:t>” means all such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Notice of Borrowing</w:t>
      </w:r>
      <w:r>
        <w:rPr>
          <w:rFonts w:ascii="Arial" w:cs="Arial" w:eastAsia="Arial" w:hAnsi="Arial"/>
          <w:sz w:val="17"/>
          <w:szCs w:val="17"/>
          <w:color w:val="auto"/>
        </w:rPr>
        <w:t xml:space="preserve">” means a notice given by the Borrower to Agent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in substantially the form of </w:t>
      </w:r>
      <w:r>
        <w:rPr>
          <w:rFonts w:ascii="Arial" w:cs="Arial" w:eastAsia="Arial" w:hAnsi="Arial"/>
          <w:sz w:val="17"/>
          <w:szCs w:val="17"/>
          <w:u w:val="single" w:color="auto"/>
          <w:color w:val="auto"/>
        </w:rPr>
        <w:t>Exhibit 1.1(b)</w:t>
      </w:r>
      <w:r>
        <w:rPr>
          <w:rFonts w:ascii="Arial" w:cs="Arial" w:eastAsia="Arial" w:hAnsi="Arial"/>
          <w:sz w:val="17"/>
          <w:szCs w:val="17"/>
          <w:color w:val="auto"/>
        </w:rPr>
        <w:t xml:space="preserve"> hereto.</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Conversion/Continuation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all Loans, and other Indebtedness, advances, debts, liabilities, obligations, L/C Reimbursement Obligations, covenants and duties owing by any Credit Party to any Lender, Agent, any L/C Issuer, any Secured Swap Provider, any Secured Cash Management Bank or any Person required to be indemnified, that arises under any Loan Document, Secured Rate Contract or Secured Cash Management Agreement, or letter of credit reimbursement or similar agreement,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 (whether or not accruing after the filing of any case under the Bankruptcy Code and whether or not a claim for post-filing or post-petition interest, fees and charges is allowed or allowable in any such proceeding); provided, that Obligations of any Guarantor shall not include any Excluded Rate Contract Obligations solely of such Guarantor.</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respect of any transaction involving any Person, the ordinary course of such Person’s business, as conducted by any such Person in accordance with past practice and undertaken by such Person in good faith and not for purposes of evading any covenant or restriction in any Loan Document.</w:t>
      </w:r>
    </w:p>
    <w:p>
      <w:pPr>
        <w:spacing w:after="0" w:line="17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means,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for any other entity, any other document setting forth the manner of election or duties of the officers, directors, managers or other similar persons, or the designation, amount or relative rights, limitations and preference of the Stock of such entity.</w:t>
      </w:r>
    </w:p>
    <w:p>
      <w:pPr>
        <w:spacing w:after="0" w:line="154"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Secured Party, Taxes imposed as a result of a present or former connection between such Secured Party and the jurisdiction imposing such Tax, other than any such connection arising solely from the Secured Party having executed, delivered, become a party to, performed its obligations or received a payment under, received or perfected as a security interest under, engaged in any other transaction pursuant to or enforced any Loan Document or sold or assigned an interest in any Loan or Loan Document.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0" w:right="27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has meaning set forth in </w:t>
      </w:r>
      <w:r>
        <w:rPr>
          <w:rFonts w:ascii="Arial" w:cs="Arial" w:eastAsia="Arial" w:hAnsi="Arial"/>
          <w:sz w:val="18"/>
          <w:szCs w:val="18"/>
          <w:u w:val="single" w:color="auto"/>
          <w:color w:val="auto"/>
        </w:rPr>
        <w:t>Section 11.1(c)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10.9(f)</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rights, title and interests (and all related IP Ancillary Rights) arising under any Requirement of Law in or to letters patent and applications therefor.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United States Pension Benefit Guaranty Corporation or any successor thereto.</w:t>
      </w:r>
    </w:p>
    <w:p>
      <w:pPr>
        <w:spacing w:after="0" w:line="22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with respect to any Person, any material permit, approval, authorization, license, registration, certificate, concession, grant, franchise, variance or permission from, and any other Contractual Obligations with, any Governmental Authority, applicable to or binding upon such Person or any of its property or to which such Person or any of its property is subject, including all Regulatory Permits.</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by a Credit Party (other than Holdings) of all of the Stock of a Target or all or substantially all of the assets of a Target, in each case, to the extent that each of the following conditions shall have been satisfied:</w:t>
      </w:r>
    </w:p>
    <w:p>
      <w:pPr>
        <w:spacing w:after="0" w:line="166"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Borrower shall have delivered to Agent:</w:t>
      </w:r>
    </w:p>
    <w:p>
      <w:pPr>
        <w:spacing w:after="0" w:line="117" w:lineRule="exact"/>
        <w:rPr>
          <w:rFonts w:ascii="Arial" w:cs="Arial" w:eastAsia="Arial" w:hAnsi="Arial"/>
          <w:sz w:val="18"/>
          <w:szCs w:val="18"/>
          <w:color w:val="auto"/>
        </w:rPr>
      </w:pPr>
    </w:p>
    <w:p>
      <w:pPr>
        <w:ind w:left="920" w:firstLine="421"/>
        <w:spacing w:after="0" w:line="269" w:lineRule="auto"/>
        <w:tabs>
          <w:tab w:leader="none" w:pos="155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(x) to the extent available, a due diligence package (including a quality of earnings report) prior to closing of such Acquisition (except as otherwise permitted below), (y) to the extent that such Acquisition includes the acquisition of real property in fee simple that is required to be subject to a Mortgage in accordance with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and if required by Agent, environmental assessments satisfactory to Agent within sixty (60) days of the closing of the Acquisition and (z) except with respect to an Acquisition (A) not funded with the proceeds of an Incremental Term Loan or a Term Loan and (B) for which the total consideration paid or payable (including all transaction costs, Indebtedness incurred, assumed and/or reflected on a consolidated balance sheet of Holdings and its Subsidiaries after giving effect to such Acquisition and the maximum amount of all deferred payments, including Contingent Acquisition Consideration) in connection with such Acquisition is less than $10,000,000, (I) notice of such Acquisition setting forth in reasonable detail the terms and conditions of such Acquisition, (II) pro forma financial statements of Holdings and its Restricted Subsidiaries after giving effect to the consummation of such Acquisition and the incurrence or assumption of any Indebtedness in connection therewith and (III) true, correct and complete copies of all material acquisition documents (and, to the extent required by the acquisition documents, copies of all material consents and approvals for consummation of the Acquisition), in each case at least two Business Days prior to the closing of such Acquisition; and</w:t>
      </w:r>
    </w:p>
    <w:p>
      <w:pPr>
        <w:spacing w:after="0" w:line="71" w:lineRule="exact"/>
        <w:rPr>
          <w:rFonts w:ascii="Arial" w:cs="Arial" w:eastAsia="Arial" w:hAnsi="Arial"/>
          <w:sz w:val="17"/>
          <w:szCs w:val="17"/>
          <w:color w:val="auto"/>
        </w:rPr>
      </w:pPr>
    </w:p>
    <w:p>
      <w:pPr>
        <w:ind w:left="920" w:right="140" w:firstLine="421"/>
        <w:spacing w:after="0" w:line="257" w:lineRule="auto"/>
        <w:tabs>
          <w:tab w:leader="none" w:pos="16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certificate of a Responsible Officer of Borrower demonstrating, on a pro forma basis after giving effect to the consummation of such Acquisition calculated as of the last day of the most recent Fiscal Quarter for which financial statements have been delivered (or are required to have been delivered) pursuant to Section 5.1, the Senior Leverage Ratio does not exceed 4.25:1.00; provided that, if such Acquisition is being funded with a Term Loan, the Lenders providing such Term Loan may agree to test compliance with this clause (ii) as of the date of the signing of the Limited Condition Acquisition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67" w:name="page68"/>
    <w:bookmarkEnd w:id="67"/>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Acquisition shall not be hostile and shall have been approved by the board of directors (or other similar body) of the Target;</w:t>
      </w:r>
    </w:p>
    <w:p>
      <w:pPr>
        <w:spacing w:after="0" w:line="225" w:lineRule="exact"/>
        <w:rPr>
          <w:rFonts w:ascii="Arial" w:cs="Arial" w:eastAsia="Arial" w:hAnsi="Arial"/>
          <w:sz w:val="18"/>
          <w:szCs w:val="18"/>
          <w:color w:val="auto"/>
        </w:rPr>
      </w:pPr>
    </w:p>
    <w:p>
      <w:pPr>
        <w:ind w:right="120" w:firstLine="464"/>
        <w:spacing w:after="0" w:line="257" w:lineRule="auto"/>
        <w:tabs>
          <w:tab w:leader="none" w:pos="70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 Default or Event of Default shall exist at the time of the consummation of such Acquisition or would result therefrom;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Acquisition is being funded with a Term Loan, the Lenders providing such Term Loan may agree to fund such Term Loan if (i) as of the date the signing of the Limited Condition Acquisition Agreement, no Default or Event of Default shall have occurred and be continuing or would result therefrom and (ii) as of the date of the funding of such Term Loan, no Default or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8.1(g)</w:t>
      </w:r>
      <w:r>
        <w:rPr>
          <w:rFonts w:ascii="Arial" w:cs="Arial" w:eastAsia="Arial" w:hAnsi="Arial"/>
          <w:sz w:val="18"/>
          <w:szCs w:val="18"/>
          <w:color w:val="auto"/>
        </w:rPr>
        <w:t xml:space="preserve"> shall have occurred and is continuing or would result at the time of the consummation of such Acquisition;</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requirements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have been satisfied, within the timeframes required thereby; and</w:t>
      </w:r>
    </w:p>
    <w:p>
      <w:pPr>
        <w:spacing w:after="0" w:line="225" w:lineRule="exact"/>
        <w:rPr>
          <w:rFonts w:ascii="Arial" w:cs="Arial" w:eastAsia="Arial" w:hAnsi="Arial"/>
          <w:sz w:val="18"/>
          <w:szCs w:val="18"/>
          <w:color w:val="auto"/>
        </w:rPr>
      </w:pPr>
    </w:p>
    <w:p>
      <w:pPr>
        <w:ind w:right="200" w:firstLine="464"/>
        <w:spacing w:after="0" w:line="279" w:lineRule="auto"/>
        <w:tabs>
          <w:tab w:leader="none" w:pos="70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total consideration paid or payable (including all transaction costs, Indebtedness incurred, assumed and/or reflected on a consolidated balance sheet of Holdings and its Subsidiaries after giving effect to such Acquisition and the maximum amount of all deferred payments, including Contingent Acquisition Consideration) for (i) for any one Acquisition or series of related Acquisitions shall not exceed $60,000,000 and (ii) all Acquisitions consummated during any Fiscal Year shall not exceed $80,000,000 in the aggregate for all such Acquisitions.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Indebtedness constituting a refinancing or extension of Indebtedness permitted under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6.5(c)</w:t>
      </w:r>
      <w:r>
        <w:rPr>
          <w:rFonts w:ascii="Arial" w:cs="Arial" w:eastAsia="Arial" w:hAnsi="Arial"/>
          <w:sz w:val="16"/>
          <w:szCs w:val="16"/>
          <w:color w:val="auto"/>
        </w:rPr>
        <w:t xml:space="preserve"> that:</w:t>
      </w:r>
    </w:p>
    <w:p>
      <w:pPr>
        <w:spacing w:after="0" w:line="252" w:lineRule="exact"/>
        <w:rPr>
          <w:sz w:val="20"/>
          <w:szCs w:val="20"/>
          <w:color w:val="auto"/>
        </w:rPr>
      </w:pPr>
    </w:p>
    <w:p>
      <w:pPr>
        <w:jc w:val="both"/>
        <w:ind w:right="220" w:firstLine="464"/>
        <w:spacing w:after="0" w:line="264" w:lineRule="auto"/>
        <w:tabs>
          <w:tab w:leader="none" w:pos="701"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an aggregate outstanding principal amount not greater than the aggregate principal amount of the Indebtedness being refinanced or extended, except by an amount equal to the unpaid accrued interest and premium thereon, defeasance costs and other reasonable amounts paid and fees and expenses incurred in connection therewith;</w:t>
      </w:r>
    </w:p>
    <w:p>
      <w:pPr>
        <w:spacing w:after="0" w:line="181"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has a Weighted Average Life to Maturity (measured as of the date of such refinancing or extension) and maturity no shorter than that of the Indebtedness being refinanced or extended;</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entered into as part of a sale leaseback transaction;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not secured by a Lien on any assets other than the collateral securing the Indebtedness being refinanced or extended;</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obligors of which are the same as the obligors of the Indebtedness being refinanced or extended;</w:t>
      </w:r>
    </w:p>
    <w:p>
      <w:pPr>
        <w:spacing w:after="0" w:line="225" w:lineRule="exact"/>
        <w:rPr>
          <w:rFonts w:ascii="Arial" w:cs="Arial" w:eastAsia="Arial" w:hAnsi="Arial"/>
          <w:sz w:val="18"/>
          <w:szCs w:val="18"/>
          <w:color w:val="auto"/>
        </w:rPr>
      </w:pPr>
    </w:p>
    <w:p>
      <w:pPr>
        <w:ind w:right="240" w:firstLine="464"/>
        <w:spacing w:after="0" w:line="277" w:lineRule="auto"/>
        <w:tabs>
          <w:tab w:leader="none" w:pos="68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payment and/or lien subordinated to the Obligations at least to the same extent and in the same manner as the Indebtedness being refinanced or extended; and</w:t>
      </w:r>
    </w:p>
    <w:p>
      <w:pPr>
        <w:spacing w:after="0" w:line="170" w:lineRule="exact"/>
        <w:rPr>
          <w:rFonts w:ascii="Arial" w:cs="Arial" w:eastAsia="Arial" w:hAnsi="Arial"/>
          <w:sz w:val="18"/>
          <w:szCs w:val="18"/>
          <w:color w:val="auto"/>
        </w:rPr>
      </w:pPr>
    </w:p>
    <w:p>
      <w:pPr>
        <w:ind w:firstLine="464"/>
        <w:spacing w:after="0" w:line="277"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otherwise on terms no less favorable to the Credit Parties and their Restricted Subsidiaries, taken as a whole, than those of the Indebtedness being refinanced or extended.</w:t>
      </w:r>
    </w:p>
    <w:p>
      <w:pPr>
        <w:spacing w:after="0" w:line="166" w:lineRule="exact"/>
        <w:rPr>
          <w:sz w:val="20"/>
          <w:szCs w:val="20"/>
          <w:color w:val="auto"/>
        </w:rPr>
      </w:pPr>
    </w:p>
    <w:p>
      <w:pPr>
        <w:ind w:right="40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partnership, corporation (including a business trust and a public benefit corporation), joint stock company, estate, association, firm, enterprise, trust, limited liability company, unincorporated association, joint venture and any other entity or Governmental Authority.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Indebtedness</w:t>
      </w:r>
      <w:r>
        <w:rPr>
          <w:rFonts w:ascii="Arial" w:cs="Arial" w:eastAsia="Arial" w:hAnsi="Arial"/>
          <w:sz w:val="18"/>
          <w:szCs w:val="18"/>
          <w:color w:val="auto"/>
        </w:rPr>
        <w:t xml:space="preserve">” means the Indebtedness and obligations specified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 Forma Acquisition Adjustments</w:t>
      </w:r>
      <w:r>
        <w:rPr>
          <w:rFonts w:ascii="Arial" w:cs="Arial" w:eastAsia="Arial" w:hAnsi="Arial"/>
          <w:sz w:val="18"/>
          <w:szCs w:val="18"/>
          <w:color w:val="auto"/>
        </w:rPr>
        <w:t>” has the meaning assigned to such term in the definition of Pro Forma EBITDA.</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EBITDA</w:t>
      </w:r>
      <w:r>
        <w:rPr>
          <w:rFonts w:ascii="Arial" w:cs="Arial" w:eastAsia="Arial" w:hAnsi="Arial"/>
          <w:sz w:val="18"/>
          <w:szCs w:val="18"/>
          <w:color w:val="auto"/>
        </w:rPr>
        <w:t>” means, with respect to any Target, EBITDA for such Target for the most recent twelve (12) month period preceding the acquisition thereof, adjusted by verifiable expense reductions, including reductions in excess owner compensation, if any, calculated on a month by month basis, to the extent such adjustments (collectively, “</w:t>
      </w:r>
      <w:r>
        <w:rPr>
          <w:rFonts w:ascii="Arial" w:cs="Arial" w:eastAsia="Arial" w:hAnsi="Arial"/>
          <w:sz w:val="18"/>
          <w:szCs w:val="18"/>
          <w:b w:val="1"/>
          <w:bCs w:val="1"/>
          <w:color w:val="auto"/>
        </w:rPr>
        <w:t>Pro Forma Acquisition Adjustments</w:t>
      </w:r>
      <w:r>
        <w:rPr>
          <w:rFonts w:ascii="Arial" w:cs="Arial" w:eastAsia="Arial" w:hAnsi="Arial"/>
          <w:sz w:val="18"/>
          <w:szCs w:val="18"/>
          <w:color w:val="auto"/>
        </w:rPr>
        <w:t>”) (a) are expected to be realized within twelve (12) months following the acquisition of such Target and (b) are certified in a certificate of a Responsible Officer of the Borrower describing such Pro Forma Acquisition Adjustments in reasonable detail; provided that the aggregate Pro Forma Acquisition Adjustments for all Permitted Acquisitions, when taken together with all Non-Recurring Expenses added back in the calculation of Consolidated EBITDA, during such period do not exceed twenty-five percent (25%) of Consolidated Adjusted EBITDA in any four consecutive Fiscal Quarter periods (calculated prior to giving effect to such adjustments), in each case calculated by the Borrower.</w:t>
      </w:r>
    </w:p>
    <w:p>
      <w:pPr>
        <w:spacing w:after="0" w:line="185" w:lineRule="exact"/>
        <w:rPr>
          <w:sz w:val="20"/>
          <w:szCs w:val="20"/>
          <w:color w:val="auto"/>
        </w:rPr>
      </w:pPr>
    </w:p>
    <w:p>
      <w:pPr>
        <w:ind w:right="4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investigation, inquiry, litigation, review, hearing, suit, claim, audit, case, arbitration, proceeding or action (in each case, whether civil, criminal, administrative, investigative or informal) commenced, brought, conducted or heard by or before, or otherwise involving, any Governmental Authority or arbitrator.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10.10(a)(i)</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under a Secured Rate Contract, each Credit Party that has total assets exceeding $10,000,000 at the time the relevant guarantee or grant of the relevant security interest becomes effective with respect to such Swap Obligation under a Secured Rate Contract or such other person as constitutes an “eligible contract participant” under the Commodity Exchange Act and can cause another person to qualify as an “eligible contract participant” at such time by entering into a keepwell under Section 1a(18)(A)(v)(II) of the Commodity Exchange Act.</w:t>
      </w:r>
    </w:p>
    <w:p>
      <w:pPr>
        <w:spacing w:after="0" w:line="184"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Rate Contracts</w:t>
      </w:r>
      <w:r>
        <w:rPr>
          <w:rFonts w:ascii="Arial" w:cs="Arial" w:eastAsia="Arial" w:hAnsi="Arial"/>
          <w:sz w:val="17"/>
          <w:szCs w:val="17"/>
          <w:color w:val="auto"/>
        </w:rPr>
        <w:t>” means swap agreements (as such term is defined in Section 101 of the Bankruptcy Code) designed to provide protection against fluctuations in interest or currency exchange rates and any other agreements or arrangements designed to provide such protection.</w:t>
      </w:r>
    </w:p>
    <w:p>
      <w:pPr>
        <w:spacing w:after="0" w:line="138"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means any real property owned, leased, subleased or otherwise operated or occupied by any Credit Party or any Restricted Subsidiary of any Credit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Permits</w:t>
      </w:r>
      <w:r>
        <w:rPr>
          <w:rFonts w:ascii="Arial" w:cs="Arial" w:eastAsia="Arial" w:hAnsi="Arial"/>
          <w:sz w:val="18"/>
          <w:szCs w:val="18"/>
          <w:color w:val="auto"/>
        </w:rPr>
        <w:t>” means all Permits issued or required under applicable Health Care Laws.</w:t>
      </w:r>
    </w:p>
    <w:p>
      <w:pPr>
        <w:spacing w:after="0" w:line="225"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Persons</w:t>
      </w:r>
      <w:r>
        <w:rPr>
          <w:rFonts w:ascii="Arial" w:cs="Arial" w:eastAsia="Arial" w:hAnsi="Arial"/>
          <w:sz w:val="16"/>
          <w:szCs w:val="16"/>
          <w:color w:val="auto"/>
        </w:rPr>
        <w:t>” means, with respect to any Person, each Affiliate of such Person and each director, officer, employee, agent, trustee, representative, attorney, accountant and each insurance, environmental, legal, financial and other advisor (including those retained in connection with the satisfaction or attempted satisfaction of any condition set forth in Article II) and other consultants and agents of or to such Person or any of its Affiliates.</w:t>
      </w:r>
    </w:p>
    <w:p>
      <w:pPr>
        <w:spacing w:after="0" w:line="14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Releases</w:t>
      </w:r>
      <w:r>
        <w:rPr>
          <w:rFonts w:ascii="Arial" w:cs="Arial" w:eastAsia="Arial" w:hAnsi="Arial"/>
          <w:sz w:val="18"/>
          <w:szCs w:val="18"/>
          <w:color w:val="auto"/>
        </w:rPr>
        <w:t>” means any release, threatened release, spill, emission, leaking, pumping, pouring, emitting, emptying, escape, injection, deposit, disposal, discharge, dispersal, dumping, leaching or migration of Hazardous Material into or through the environment.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69" w:name="page70"/>
    <w:bookmarkEnd w:id="6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at any time Lenders then holding more than fifty percent (50%) of the sum of (x) the unfunded Commitments, if any, plus</w:t>
      </w:r>
    </w:p>
    <w:p>
      <w:pPr>
        <w:spacing w:after="0" w:line="50" w:lineRule="exact"/>
        <w:rPr>
          <w:sz w:val="20"/>
          <w:szCs w:val="20"/>
          <w:color w:val="auto"/>
        </w:rPr>
      </w:pPr>
    </w:p>
    <w:p>
      <w:pPr>
        <w:ind w:right="360" w:firstLine="8"/>
        <w:spacing w:after="0" w:line="302"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aggregate unpaid principal amount of Loans (other than Swing Loans) then outstanding, Letter of Credit Obligations, amounts of participations in Swing Loans and the principal amount of unparticipated portions of Swing Loans. The Commitments and Loans then outstanding, as applicable, held or deemed held by a Defaulting Lender shall be excluded for purposes of making a determination of Required Lenders at any time.</w:t>
      </w:r>
    </w:p>
    <w:p>
      <w:pPr>
        <w:spacing w:after="0" w:line="151"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Revolving Lenders</w:t>
      </w:r>
      <w:r>
        <w:rPr>
          <w:rFonts w:ascii="Arial" w:cs="Arial" w:eastAsia="Arial" w:hAnsi="Arial"/>
          <w:sz w:val="16"/>
          <w:szCs w:val="16"/>
          <w:color w:val="auto"/>
        </w:rPr>
        <w:t>” means at any time (a) Lenders then holding more than fifty percent (50%) of the sum of the Aggregate Revolving Loan Commitments then in effect, or (b) if the Aggregate Revolving Loan Commitments have terminated, Lenders then holding more than fifty percent (50%) of the sum of the aggregate outstanding amount of Revolving Loans, outstanding Letter of Credit Obligations, amounts of participations in Swing Loans and the principal amount of unparticipated portions of Swing Loans. Such portion of the Aggregate Revolving Loan Commitment (or Revolving Loans, as applicable) and the sum of the aggregate unpaid principal amount of the Revolving Loans then outstanding, as applicable, held or deemed held by a Defaulting Lender shall be excluded for purposes of making a determination of Required Revolving Lenders at any time.</w:t>
      </w:r>
    </w:p>
    <w:p>
      <w:pPr>
        <w:spacing w:after="0" w:line="156"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 means, with respect to any Person, the common law and any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or requirements of, any Governmental Authority that are applicable to or binding upon such Person or any of its Property or to which such Person or any of its Property is subject.</w:t>
      </w:r>
    </w:p>
    <w:p>
      <w:pPr>
        <w:spacing w:after="0" w:line="151"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or the president of the Borrower or any other officer having substantially the same authority and responsibility; or, with respect to compliance with financial covenants or delivery of financial information, the chief financial officer or the treasurer of the Borrower or any other officer having substantially the same authority and responsibility.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Debt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any Subsidiary other than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upon any Unrestricted Subsidiary ceasing to be an Unrestricted Subsidiary, such Subsidiary shall be included in the definition of “Restricted Subsidiary”.</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Availability</w:t>
      </w:r>
      <w:r>
        <w:rPr>
          <w:rFonts w:ascii="Arial" w:cs="Arial" w:eastAsia="Arial" w:hAnsi="Arial"/>
          <w:sz w:val="18"/>
          <w:szCs w:val="18"/>
          <w:color w:val="auto"/>
        </w:rPr>
        <w:t>” means, as of any date of determination, the amount by which (a) the Maximum Revolving Loan Balance exceeds (b) the aggregate outstanding principal balance of Revolving Loans.</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w:t>
      </w:r>
      <w:r>
        <w:rPr>
          <w:rFonts w:ascii="Arial" w:cs="Arial" w:eastAsia="Arial" w:hAnsi="Arial"/>
          <w:sz w:val="18"/>
          <w:szCs w:val="18"/>
          <w:color w:val="auto"/>
        </w:rPr>
        <w:t>” means each Lender with a Revolving Loan Commitment (or if the Revolving Loan Commitments have terminated, who hold Revolving Loans or participations in Swing Loans or Letter of Credit Obligations).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Loan</w:t>
      </w:r>
      <w:r>
        <w:rPr>
          <w:rFonts w:ascii="Arial" w:cs="Arial" w:eastAsia="Arial" w:hAnsi="Arial"/>
          <w:sz w:val="17"/>
          <w:szCs w:val="17"/>
          <w:color w:val="auto"/>
        </w:rPr>
        <w:t xml:space="preserve">” means a Loan made or deemed to have been made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2.1(c)(vi)(B)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2.1(d)(iii)(B)</w:t>
      </w:r>
      <w:r>
        <w:rPr>
          <w:rFonts w:ascii="Arial" w:cs="Arial" w:eastAsia="Arial" w:hAnsi="Arial"/>
          <w:sz w:val="17"/>
          <w:szCs w:val="17"/>
          <w:color w:val="auto"/>
        </w:rPr>
        <w:t>.</w:t>
      </w:r>
    </w:p>
    <w:p>
      <w:pPr>
        <w:spacing w:after="0" w:line="237"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Loan Commitment</w:t>
      </w:r>
      <w:r>
        <w:rPr>
          <w:rFonts w:ascii="Arial" w:cs="Arial" w:eastAsia="Arial" w:hAnsi="Arial"/>
          <w:sz w:val="17"/>
          <w:szCs w:val="17"/>
          <w:color w:val="auto"/>
        </w:rPr>
        <w:t xml:space="preserve">” means, with respect to each Revolving Lender, the commitment of such Revolving Lender to make Revolving Loans and acquire interests in Letter of Credit Obligations and Swing Loans, which initial commitments are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opposite such Lender’s name under the heading “Revolving Loan Commitments”, as such commitment may be (a) reduced from time to time pursuant to this Agreement and (b) reduced or increased from time to time pursuant to assignments by or to such Revolving Lender pursuant to an Assignment.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0" w:right="259" w:bottom="1440" w:gutter="0" w:footer="0" w:header="0"/>
        </w:sectPr>
      </w:pPr>
    </w:p>
    <w:bookmarkStart w:id="70" w:name="page71"/>
    <w:bookmarkEnd w:id="70"/>
    <w:p>
      <w:pPr>
        <w:ind w:right="64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Revolving Note</w:t>
      </w:r>
      <w:r>
        <w:rPr>
          <w:rFonts w:ascii="Arial" w:cs="Arial" w:eastAsia="Arial" w:hAnsi="Arial"/>
          <w:sz w:val="18"/>
          <w:szCs w:val="18"/>
          <w:color w:val="auto"/>
        </w:rPr>
        <w:t xml:space="preserve">” means a promissory note of the Borrower payable to a Lender in substantially the form of </w:t>
      </w:r>
      <w:r>
        <w:rPr>
          <w:rFonts w:ascii="Arial" w:cs="Arial" w:eastAsia="Arial" w:hAnsi="Arial"/>
          <w:sz w:val="18"/>
          <w:szCs w:val="18"/>
          <w:u w:val="single" w:color="auto"/>
          <w:color w:val="auto"/>
        </w:rPr>
        <w:t>Exhibit 1.1(c)</w:t>
      </w:r>
      <w:r>
        <w:rPr>
          <w:rFonts w:ascii="Arial" w:cs="Arial" w:eastAsia="Arial" w:hAnsi="Arial"/>
          <w:sz w:val="18"/>
          <w:szCs w:val="18"/>
          <w:color w:val="auto"/>
        </w:rPr>
        <w:t xml:space="preserve"> hereto, evidencing Indebtedness of the Borrower under the Revolving Loan Commitment of such Lender.</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Termination Date</w:t>
      </w:r>
      <w:r>
        <w:rPr>
          <w:rFonts w:ascii="Arial" w:cs="Arial" w:eastAsia="Arial" w:hAnsi="Arial"/>
          <w:sz w:val="18"/>
          <w:szCs w:val="18"/>
          <w:color w:val="auto"/>
        </w:rPr>
        <w:t>” means the earlier to occur of: (a) May 8, 2022; and (b) the date on which the Aggregate Revolving Loan Commitment shall terminate in accordance with the provisions of this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SDN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w:t>
      </w:r>
    </w:p>
    <w:p>
      <w:pPr>
        <w:spacing w:after="0" w:line="22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xml:space="preserve">” means any Cash Management Agreement between any Credit Party and a Secured Cash Management Bank, in effect on the Closing Date or entered into thereafter, to the extent that (x) Capital One, National Association or any of its Affiliates is the Secured Cash Management Bank or (y) the Borrower and such Secured Cash Management Bank have notified Agent in writing of the intent to include the obligations of such Credit Party arising under such Cash Management Agreement as Secured Cash Management Obligations, and such Secured Cash Management Bank shall have acknowledged and agreed to the terms contained herein applicable to Secured Cash Management Obligations, including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10.24</w:t>
      </w:r>
      <w:r>
        <w:rPr>
          <w:rFonts w:ascii="Arial" w:cs="Arial" w:eastAsia="Arial" w:hAnsi="Arial"/>
          <w:sz w:val="18"/>
          <w:szCs w:val="18"/>
          <w:color w:val="auto"/>
        </w:rPr>
        <w:t>.</w:t>
      </w:r>
    </w:p>
    <w:p>
      <w:pPr>
        <w:spacing w:after="0" w:line="188" w:lineRule="exact"/>
        <w:rPr>
          <w:sz w:val="20"/>
          <w:szCs w:val="20"/>
          <w:color w:val="auto"/>
        </w:rPr>
      </w:pPr>
    </w:p>
    <w:p>
      <w:pPr>
        <w:ind w:right="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Cash Management Bank</w:t>
      </w:r>
      <w:r>
        <w:rPr>
          <w:rFonts w:ascii="Arial" w:cs="Arial" w:eastAsia="Arial" w:hAnsi="Arial"/>
          <w:sz w:val="17"/>
          <w:szCs w:val="17"/>
          <w:color w:val="auto"/>
        </w:rPr>
        <w:t>” means a Lender or an Affiliate of a Lender (or a Person who was a Lender or an Affiliate of a Lender at the time of execution and delivery of a Cash Management Agreement) who has entered into a Cash Management Agreement with a Credit Party.</w:t>
      </w:r>
    </w:p>
    <w:p>
      <w:pPr>
        <w:spacing w:after="0" w:line="13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w:t>
      </w:r>
      <w:r>
        <w:rPr>
          <w:rFonts w:ascii="Arial" w:cs="Arial" w:eastAsia="Arial" w:hAnsi="Arial"/>
          <w:sz w:val="18"/>
          <w:szCs w:val="18"/>
          <w:color w:val="auto"/>
        </w:rPr>
        <w:t>” means, as to any Person, all obligations, whether absolute or contingent and however and whenever created, arising, evidenced or acquired (including all renewals, extensions and modifications thereof and substitutions therefor), of a Credit Party arising under any Secured Cash Management Agreement.</w:t>
      </w:r>
    </w:p>
    <w:p>
      <w:pPr>
        <w:spacing w:after="0" w:line="176"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w:t>
      </w:r>
      <w:r>
        <w:rPr>
          <w:rFonts w:ascii="Arial" w:cs="Arial" w:eastAsia="Arial" w:hAnsi="Arial"/>
          <w:sz w:val="18"/>
          <w:szCs w:val="18"/>
          <w:color w:val="auto"/>
        </w:rPr>
        <w:t>” means Agent, each Lender, each L/C Issuer, each other Indemnitee and each other holder of any Obligation of a Credit Party (including each Secured Swap Provider and each Secured Cash Management Bank).</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Rate Contract</w:t>
      </w:r>
      <w:r>
        <w:rPr>
          <w:rFonts w:ascii="Arial" w:cs="Arial" w:eastAsia="Arial" w:hAnsi="Arial"/>
          <w:sz w:val="17"/>
          <w:szCs w:val="17"/>
          <w:color w:val="auto"/>
        </w:rPr>
        <w:t xml:space="preserve">” means any Rate Contract between a Credit Party (other than Holdings) and a Secured Swap Provider, in effect on the Closing Date or entered into thereafter, to the extent that (x) Capital One, National Association or any of its Affiliates is the Secured Swap Provider or (y) the Borrower and such Secured Swap Provider have notified Agent in writing of the intent to include the obligations of such Credit Party arising under such Rate Contract as Secured Rate Contract Obligations, and such Secured Swap Provider shall have acknowledged and agreed to the terms contained herein applicable to Secured Rate Contract Obligations, including the provisions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10.24</w:t>
      </w:r>
      <w:r>
        <w:rPr>
          <w:rFonts w:ascii="Arial" w:cs="Arial" w:eastAsia="Arial" w:hAnsi="Arial"/>
          <w:sz w:val="17"/>
          <w:szCs w:val="17"/>
          <w:color w:val="auto"/>
        </w:rPr>
        <w:t>.</w:t>
      </w:r>
    </w:p>
    <w:p>
      <w:pPr>
        <w:spacing w:after="0" w:line="16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Rate Contract Obligations</w:t>
      </w:r>
      <w:r>
        <w:rPr>
          <w:rFonts w:ascii="Arial" w:cs="Arial" w:eastAsia="Arial" w:hAnsi="Arial"/>
          <w:sz w:val="18"/>
          <w:szCs w:val="18"/>
          <w:color w:val="auto"/>
        </w:rPr>
        <w:t>” means, as to any Person, all obligations, whether absolute or contingent and however and whenever created, arising, evidenced or acquired (including all renewals, extensions and modifications thereof and substitutions therefor), of a Credit Party arising under any Secured Rate Contract.</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70" w:right="299" w:bottom="1440" w:gutter="0" w:footer="0" w:header="0"/>
        </w:sectPr>
      </w:pPr>
    </w:p>
    <w:bookmarkStart w:id="71" w:name="page72"/>
    <w:bookmarkEnd w:id="71"/>
    <w:p>
      <w:pPr>
        <w:ind w:right="640" w:firstLine="456"/>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Secured Swap Provider</w:t>
      </w:r>
      <w:r>
        <w:rPr>
          <w:rFonts w:ascii="Arial" w:cs="Arial" w:eastAsia="Arial" w:hAnsi="Arial"/>
          <w:sz w:val="17"/>
          <w:szCs w:val="17"/>
          <w:color w:val="auto"/>
        </w:rPr>
        <w:t>” means a Lender or an Affiliate of a Lender (or a Person who was a Lender or an Affiliate of a Lender at the time of execution and delivery of a Rate Contract) who has entered into a Rate Contract with a Credit Party (other than Holdings).</w:t>
      </w:r>
    </w:p>
    <w:p>
      <w:pPr>
        <w:spacing w:after="0" w:line="138" w:lineRule="exact"/>
        <w:rPr>
          <w:sz w:val="20"/>
          <w:szCs w:val="20"/>
          <w:color w:val="auto"/>
        </w:rPr>
      </w:pPr>
    </w:p>
    <w:p>
      <w:pPr>
        <w:jc w:val="both"/>
        <w:ind w:right="10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Segregated Governmental Account</w:t>
      </w:r>
      <w:r>
        <w:rPr>
          <w:rFonts w:ascii="Arial" w:cs="Arial" w:eastAsia="Arial" w:hAnsi="Arial"/>
          <w:sz w:val="17"/>
          <w:szCs w:val="17"/>
          <w:color w:val="auto"/>
        </w:rPr>
        <w:t xml:space="preserve">” means a deposit account of a Credit Party maintained in accordance with the requirements of </w:t>
      </w:r>
      <w:r>
        <w:rPr>
          <w:rFonts w:ascii="Arial" w:cs="Arial" w:eastAsia="Arial" w:hAnsi="Arial"/>
          <w:sz w:val="17"/>
          <w:szCs w:val="17"/>
          <w:u w:val="single" w:color="auto"/>
          <w:color w:val="auto"/>
        </w:rPr>
        <w:t>Section 5.11</w:t>
      </w:r>
      <w:r>
        <w:rPr>
          <w:rFonts w:ascii="Arial" w:cs="Arial" w:eastAsia="Arial" w:hAnsi="Arial"/>
          <w:sz w:val="17"/>
          <w:szCs w:val="17"/>
          <w:color w:val="auto"/>
        </w:rPr>
        <w:t>, the only funds on deposit in which constitute the direct proceeds of Medicare and Medicaid payments made by Governmental Payors.</w:t>
      </w:r>
    </w:p>
    <w:p>
      <w:pPr>
        <w:spacing w:after="0" w:line="138"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Leverage Ratio</w:t>
      </w:r>
      <w:r>
        <w:rPr>
          <w:rFonts w:ascii="Arial" w:cs="Arial" w:eastAsia="Arial" w:hAnsi="Arial"/>
          <w:sz w:val="18"/>
          <w:szCs w:val="18"/>
          <w:color w:val="auto"/>
        </w:rPr>
        <w:t xml:space="preserve">” means, as of any date, the ratio of (a)(i) Consolidated Total Indebtedness as of such date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(ii) Subordinated Indebtedness as of such date, to (b) Consolidated Adjusted EBITDA for the most recently ended twelve month period for which financial statements have been delivered under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as of any date of determination, that, as of such date, (a) the value of the assets of such Person (both at fair value and present fair saleable value) is greater than the total amount of liabilities (including contingent and unliquidated liabilities) of such Person, (b) such Person is able to pay all liabilities of such Person as such liabilities mature and (c) such Person does not have unreasonably small capital for the business or transactions in which it is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Flood Hazard Area</w:t>
      </w:r>
      <w:r>
        <w:rPr>
          <w:rFonts w:ascii="Arial" w:cs="Arial" w:eastAsia="Arial" w:hAnsi="Arial"/>
          <w:sz w:val="18"/>
          <w:szCs w:val="18"/>
          <w:color w:val="auto"/>
        </w:rPr>
        <w:t>” means an area that FEMA has designated as an area subject to special flood hazards, the current standard for which is at least a one percent (1%) chance of a flood equal to or exceeding the base flood elevation (a 100-year flood) in any given year, as per the applicable flood maps.</w:t>
      </w:r>
    </w:p>
    <w:p>
      <w:pPr>
        <w:spacing w:after="0" w:line="176"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Event of Default</w:t>
      </w:r>
      <w:r>
        <w:rPr>
          <w:rFonts w:ascii="Arial" w:cs="Arial" w:eastAsia="Arial" w:hAnsi="Arial"/>
          <w:sz w:val="18"/>
          <w:szCs w:val="18"/>
          <w:color w:val="auto"/>
        </w:rPr>
        <w:t xml:space="preserve">” means an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as a result of a failure to perform or comply with any covenant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8.1(g)</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means any special purpose funding vehicle identified as such in a writing by any Lender to Agent.</w:t>
      </w:r>
    </w:p>
    <w:p>
      <w:pPr>
        <w:spacing w:after="0" w:line="225" w:lineRule="exact"/>
        <w:rPr>
          <w:sz w:val="20"/>
          <w:szCs w:val="20"/>
          <w:color w:val="auto"/>
        </w:rPr>
      </w:pPr>
    </w:p>
    <w:p>
      <w:pPr>
        <w:jc w:val="both"/>
        <w:ind w:right="20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w:t>
      </w:r>
      <w:r>
        <w:rPr>
          <w:rFonts w:ascii="Arial" w:cs="Arial" w:eastAsia="Arial" w:hAnsi="Arial"/>
          <w:sz w:val="16"/>
          <w:szCs w:val="16"/>
          <w:color w:val="auto"/>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other Stock and all warrants, options or other rights to purchase, subscribe for or otherwise acquire any other Stock, whether or not presently convertible, exchangeable or exercisable.</w:t>
      </w:r>
    </w:p>
    <w:p>
      <w:pPr>
        <w:spacing w:after="0" w:line="151"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Indebtedness of any Credit Party or any Restricted Subsidiary of any Credit Party which is subordinated to the Obligations as to right and time of payment and as to other rights and remedies thereunder and having such subordination and other terms as are, in each case, reasonably satisfactory to Agent.</w:t>
      </w:r>
    </w:p>
    <w:p>
      <w:pPr>
        <w:spacing w:after="0" w:line="176"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xml:space="preserve">” means any </w:t>
      </w:r>
      <w:r>
        <w:rPr>
          <w:rFonts w:ascii="Arial" w:cs="Arial" w:eastAsia="Arial" w:hAnsi="Arial"/>
          <w:sz w:val="16"/>
          <w:szCs w:val="16"/>
          <w:b w:val="1"/>
          <w:bCs w:val="1"/>
          <w:color w:val="auto"/>
        </w:rPr>
        <w:t>s</w:t>
      </w:r>
      <w:r>
        <w:rPr>
          <w:rFonts w:ascii="Arial" w:cs="Arial" w:eastAsia="Arial" w:hAnsi="Arial"/>
          <w:sz w:val="16"/>
          <w:szCs w:val="16"/>
          <w:color w:val="auto"/>
        </w:rPr>
        <w:t>ubordination agreement executed by and among Agent, the applicable Credit Parties and the holders of any Subordinated Indebtedness (or their representative) governing the subordination of such Subordinated Indebtedness to the Obligations.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0" w:right="259" w:bottom="1440" w:gutter="0" w:footer="0" w:header="0"/>
        </w:sectPr>
      </w:pPr>
    </w:p>
    <w:bookmarkStart w:id="72" w:name="page73"/>
    <w:bookmarkEnd w:id="72"/>
    <w:p>
      <w:pPr>
        <w:ind w:right="1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partnership, joint venture, limited liability company, association or other entity, the management of which is, directly or indirectly, controlled by, or of which an aggregate of more than fifty percent (50%) of the voting Stock is, at the time, owned or controlled directly or indirectly by, such Person or one or more Subsidiaries of such Person.</w:t>
      </w:r>
    </w:p>
    <w:p>
      <w:pPr>
        <w:spacing w:after="0" w:line="176"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Sweep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Lender</w:t>
      </w:r>
      <w:r>
        <w:rPr>
          <w:rFonts w:ascii="Arial" w:cs="Arial" w:eastAsia="Arial" w:hAnsi="Arial"/>
          <w:sz w:val="18"/>
          <w:szCs w:val="18"/>
          <w:color w:val="auto"/>
        </w:rPr>
        <w:t>” means, each in its capacity as Swing Lender hereunder, Capital One or, upon the resignation of Capital One as Agent hereunder, any Lender (or Affiliate or Approved Fund of any Lender) that agrees, with the approval of Agent (or, if there is no such successor Agent, the Required Lenders) and the Borrower, to act as the Swing Lender hereunder.</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 $10,000,000.</w:t>
      </w:r>
    </w:p>
    <w:p>
      <w:pPr>
        <w:spacing w:after="0" w:line="225"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Note</w:t>
      </w:r>
      <w:r>
        <w:rPr>
          <w:rFonts w:ascii="Arial" w:cs="Arial" w:eastAsia="Arial" w:hAnsi="Arial"/>
          <w:sz w:val="17"/>
          <w:szCs w:val="17"/>
          <w:color w:val="auto"/>
        </w:rPr>
        <w:t xml:space="preserve">” means a promissory note of the Borrower payable to the Swing Lender, in substantially the form of </w:t>
      </w:r>
      <w:r>
        <w:rPr>
          <w:rFonts w:ascii="Arial" w:cs="Arial" w:eastAsia="Arial" w:hAnsi="Arial"/>
          <w:sz w:val="17"/>
          <w:szCs w:val="17"/>
          <w:u w:val="single" w:color="auto"/>
          <w:color w:val="auto"/>
        </w:rPr>
        <w:t>Exhibit 1.1(c)</w:t>
      </w:r>
      <w:r>
        <w:rPr>
          <w:rFonts w:ascii="Arial" w:cs="Arial" w:eastAsia="Arial" w:hAnsi="Arial"/>
          <w:sz w:val="17"/>
          <w:szCs w:val="17"/>
          <w:color w:val="auto"/>
        </w:rPr>
        <w:t xml:space="preserve"> hereto, evidencing the Indebtedness of the Borrower to the Swing Lender resulting from the Swing Loans made to the Borrower by the Swing Lender.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Target</w:t>
      </w:r>
      <w:r>
        <w:rPr>
          <w:rFonts w:ascii="Arial" w:cs="Arial" w:eastAsia="Arial" w:hAnsi="Arial"/>
          <w:sz w:val="17"/>
          <w:szCs w:val="17"/>
          <w:color w:val="auto"/>
        </w:rPr>
        <w:t>” means any other Person or business unit or asset group of any other Person acquired or proposed to be acquired in an Acquisition.</w:t>
      </w:r>
    </w:p>
    <w:p>
      <w:pPr>
        <w:spacing w:after="0" w:line="237"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Affiliate</w:t>
      </w:r>
      <w:r>
        <w:rPr>
          <w:rFonts w:ascii="Arial" w:cs="Arial" w:eastAsia="Arial" w:hAnsi="Arial"/>
          <w:sz w:val="18"/>
          <w:szCs w:val="18"/>
          <w:color w:val="auto"/>
        </w:rPr>
        <w:t>” means, (a) the Credit Parties and their Subsidiaries and (b) any Affiliate of the Borrower with which the Borrower files or is eligible to file consolidated, combined or unitary Tax returns.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each Lender with a Term Loan Commitment or that otherwise holds Term Loans.</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any term loan made hereunder, including, unless the context shall otherwise requires, each Initial Term Loan and any Incremental Term Loan.</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means, with respect to each Lender, such Lender’s Initial Term Loan Commitment and any Incremental Term Loan Commitment of such Lender, as amended to reflect Assignments and as such amount may be reduced or increased pursuant to this Agreement. Unless the context shall otherwise require, the term “Term Loan Commitments” shall also include any commitment to extend Term Loans of such Lender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10.1(f)</w:t>
      </w:r>
      <w:r>
        <w:rPr>
          <w:rFonts w:ascii="Arial" w:cs="Arial" w:eastAsia="Arial" w:hAnsi="Arial"/>
          <w:sz w:val="18"/>
          <w:szCs w:val="18"/>
          <w:color w:val="auto"/>
        </w:rPr>
        <w:t>.</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0" w:right="279" w:bottom="1440" w:gutter="0" w:footer="0" w:header="0"/>
        </w:sectPr>
      </w:pPr>
    </w:p>
    <w:bookmarkStart w:id="73" w:name="page74"/>
    <w:bookmarkEnd w:id="73"/>
    <w:p>
      <w:pPr>
        <w:jc w:val="both"/>
        <w:ind w:right="3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means, as to any Term Lender, the percentage equivalent of (a) the sum of such Lender’s unfunded Term Loan Commitments, if any, plus the outstanding principal balance of Term Loans held by such Lender, divided by (b) the aggregate unfunded Term Loan Commitments of all Lenders, if any, plus the aggregate outstanding principal balance of all Term Loans.</w:t>
      </w:r>
    </w:p>
    <w:p>
      <w:pPr>
        <w:spacing w:after="0" w:line="17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earlier to occur of: (a) May 8, 2022; and (b) the date on which the Aggregate Term Loan Commitment shall terminate in accordance with the provisions of this Agreement and all Term Loans become due and payable in full.</w:t>
      </w:r>
    </w:p>
    <w:p>
      <w:pPr>
        <w:spacing w:after="0" w:line="162"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Note</w:t>
      </w:r>
      <w:r>
        <w:rPr>
          <w:rFonts w:ascii="Arial" w:cs="Arial" w:eastAsia="Arial" w:hAnsi="Arial"/>
          <w:sz w:val="16"/>
          <w:szCs w:val="16"/>
          <w:color w:val="auto"/>
        </w:rPr>
        <w:t xml:space="preserve">” means a promissory note of the Borrower payable to a Term Lender, in substantially the form of </w:t>
      </w:r>
      <w:r>
        <w:rPr>
          <w:rFonts w:ascii="Arial" w:cs="Arial" w:eastAsia="Arial" w:hAnsi="Arial"/>
          <w:sz w:val="16"/>
          <w:szCs w:val="16"/>
          <w:u w:val="single" w:color="auto"/>
          <w:color w:val="auto"/>
        </w:rPr>
        <w:t>Exhibit 1.1(c)</w:t>
      </w:r>
      <w:r>
        <w:rPr>
          <w:rFonts w:ascii="Arial" w:cs="Arial" w:eastAsia="Arial" w:hAnsi="Arial"/>
          <w:sz w:val="16"/>
          <w:szCs w:val="16"/>
          <w:color w:val="auto"/>
        </w:rPr>
        <w:t xml:space="preserve"> hereto, evidencing the Indebtedness of the Borrower to such Lender resulting from the Term Loans made to the Borrower by such Lender or its predecessor(s).</w:t>
      </w:r>
    </w:p>
    <w:p>
      <w:pPr>
        <w:spacing w:after="0" w:line="116"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w:t>
      </w:r>
      <w:r>
        <w:rPr>
          <w:rFonts w:ascii="Arial" w:cs="Arial" w:eastAsia="Arial" w:hAnsi="Arial"/>
          <w:sz w:val="18"/>
          <w:szCs w:val="18"/>
          <w:color w:val="auto"/>
        </w:rPr>
        <w:t>” means any Governmental Payor, Blue Cross and/or Blue Shield, private insurers, managed care plans, and any other person or entity which presently or in the future maintains Third Party Payor Programs.</w:t>
      </w:r>
    </w:p>
    <w:p>
      <w:pPr>
        <w:spacing w:after="0" w:line="162"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 Authorizations</w:t>
      </w:r>
      <w:r>
        <w:rPr>
          <w:rFonts w:ascii="Arial" w:cs="Arial" w:eastAsia="Arial" w:hAnsi="Arial"/>
          <w:sz w:val="18"/>
          <w:szCs w:val="18"/>
          <w:color w:val="auto"/>
        </w:rPr>
        <w:t>” means all participation agreements, provider or supplier agreements, enrollments, accreditations and billing numbers necessary to participate in and receive reimbursement from a Third Party Payor Program, including all Medicare and Medicaid participation agreements.</w:t>
      </w:r>
    </w:p>
    <w:p>
      <w:pPr>
        <w:spacing w:after="0" w:line="17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 Programs</w:t>
      </w:r>
      <w:r>
        <w:rPr>
          <w:rFonts w:ascii="Arial" w:cs="Arial" w:eastAsia="Arial" w:hAnsi="Arial"/>
          <w:sz w:val="18"/>
          <w:szCs w:val="18"/>
          <w:color w:val="auto"/>
        </w:rPr>
        <w:t>” means all payment or reimbursement programs, sponsored or maintained by any Third Party Payor, in which any Credit Party or any Restricted Subsidiary of a Credit Party participates.</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Plan</w:t>
      </w:r>
      <w:r>
        <w:rPr>
          <w:rFonts w:ascii="Arial" w:cs="Arial" w:eastAsia="Arial" w:hAnsi="Arial"/>
          <w:sz w:val="18"/>
          <w:szCs w:val="18"/>
          <w:color w:val="auto"/>
        </w:rPr>
        <w:t>” means a pension plan subject to Title IV of ERISA, other than a Multiemployer Plan, to which any ERISA Affiliate incurs or otherwise has any obligation or Liabilities.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10.9(g)</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 Secrets</w:t>
      </w:r>
      <w:r>
        <w:rPr>
          <w:rFonts w:ascii="Arial" w:cs="Arial" w:eastAsia="Arial" w:hAnsi="Arial"/>
          <w:sz w:val="17"/>
          <w:szCs w:val="17"/>
          <w:color w:val="auto"/>
        </w:rPr>
        <w:t>” means all right, title and interest (and all related IP Ancillary Rights) arising under any Requirement of Law in or to trade secrets.</w:t>
      </w:r>
    </w:p>
    <w:p>
      <w:pPr>
        <w:spacing w:after="0" w:line="237"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w:t>
      </w:r>
      <w:r>
        <w:rPr>
          <w:rFonts w:ascii="Arial" w:cs="Arial" w:eastAsia="Arial" w:hAnsi="Arial"/>
          <w:sz w:val="16"/>
          <w:szCs w:val="16"/>
          <w:color w:val="auto"/>
        </w:rPr>
        <w:t>” means all rights, title and interests (and all related IP Ancillary Rights) arising under any Requirement of Law in or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4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TRICARE</w:t>
      </w:r>
      <w:r>
        <w:rPr>
          <w:rFonts w:ascii="Arial" w:cs="Arial" w:eastAsia="Arial" w:hAnsi="Arial"/>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applicable jurisdiction and, if the applicable jurisdiction shall not have any Uniform Commercial Code, the Uniform Commercial Code as in effect from time to time in the State of New York.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each means the United States of America.</w:t>
      </w:r>
    </w:p>
    <w:p>
      <w:pPr>
        <w:spacing w:after="0" w:line="225"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 any Subsidiary of Borrower acquired or formed subsequent to the date hereof and designated by the board of directors (or similar governing body) of Borrower as 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74" w:name="page75"/>
    <w:bookmarkEnd w:id="7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Unrestricted Subsidiary pursuant to </w:t>
      </w:r>
      <w:r>
        <w:rPr>
          <w:rFonts w:ascii="Arial" w:cs="Arial" w:eastAsia="Arial" w:hAnsi="Arial"/>
          <w:sz w:val="16"/>
          <w:szCs w:val="16"/>
          <w:u w:val="single" w:color="auto"/>
          <w:color w:val="auto"/>
        </w:rPr>
        <w:t>Section 5.16</w:t>
      </w:r>
      <w:r>
        <w:rPr>
          <w:rFonts w:ascii="Arial" w:cs="Arial" w:eastAsia="Arial" w:hAnsi="Arial"/>
          <w:sz w:val="16"/>
          <w:szCs w:val="16"/>
          <w:color w:val="auto"/>
        </w:rPr>
        <w:t>. Borrower may designate any such acquired or formed Subsidiary of Borrower to be an Unrestricted Subsidiary unless such Subsidiary or any of its Subsidiaries owns any Stock or Indebtedness of, or owns or holds any Lien on any property of, any Credit Party or any Restricted Subsidiary of any Credit Party (other than any Subsidiary of the Subsidiary to be so designated); provided that (i)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any Credit Party or any Restricted Subsidiary and (ii) for the avoidance of doubt, Borrower may not designate as an Unrestricted Subsidiary (w) any Credit Party, (x) any Restricted Subsidiary in existence as of the Closing Date, (y) any Subsidiary which is a “Restricted Subsidiary” (or other similar term) under any Material Indebtedness or (z) any Subsidiary that was previously an Unrestricted Subsidiary and has been redesignated as a Restricted Subsidiary.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Initial Term 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2.9(d)</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 Party</w:t>
      </w:r>
      <w:r>
        <w:rPr>
          <w:rFonts w:ascii="Arial" w:cs="Arial" w:eastAsia="Arial" w:hAnsi="Arial"/>
          <w:sz w:val="18"/>
          <w:szCs w:val="18"/>
          <w:color w:val="auto"/>
        </w:rPr>
        <w:t>” means each of Agent, each Lender, each L/C Issuer, each SPV and each participant, in each case that is a United States person as defined in Section 7701(a)(30) of the Code.</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P.L. 107-56.</w:t>
      </w:r>
    </w:p>
    <w:p>
      <w:pPr>
        <w:spacing w:after="0" w:line="162"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or other required payments of principal, including payment at final maturity, in respect thereof, by (ii) the number of years (calculated to the nearest one-twelfth) that will elapse between such date and the making of such payment by (b) then outstanding principal amount of such Indebtedness; provided that for purposes of determining the Weighted Average Life to Maturity of any Indebtedness that is being modified, refinanced, refunded, renewed, replaced or extended, the effects of any prepayments made on such Indebtedness prior to the date of the applicable extension shall be disregarded.</w:t>
      </w:r>
    </w:p>
    <w:p>
      <w:pPr>
        <w:spacing w:after="0" w:line="174" w:lineRule="exact"/>
        <w:rPr>
          <w:sz w:val="20"/>
          <w:szCs w:val="20"/>
          <w:color w:val="auto"/>
        </w:rPr>
      </w:pPr>
    </w:p>
    <w:p>
      <w:pPr>
        <w:ind w:right="1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Wholly-Owned Subsidiary</w:t>
      </w:r>
      <w:r>
        <w:rPr>
          <w:rFonts w:ascii="Arial" w:cs="Arial" w:eastAsia="Arial" w:hAnsi="Arial"/>
          <w:sz w:val="17"/>
          <w:szCs w:val="17"/>
          <w:color w:val="auto"/>
        </w:rPr>
        <w:t>” of a Person means any Restricted Subsidiary of such Person, all of the Stock of which (other than directors’ qualifying shares required by law) are owned by such Person, either directly or through one or more Wholly-Owned Subsidiaries of such Person.</w:t>
      </w:r>
    </w:p>
    <w:p>
      <w:pPr>
        <w:spacing w:after="0" w:line="13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Differential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2.1(e)(iii)(B)</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p>
    <w:p>
      <w:pPr>
        <w:spacing w:after="0" w:line="225" w:lineRule="exact"/>
        <w:rPr>
          <w:sz w:val="20"/>
          <w:szCs w:val="20"/>
          <w:color w:val="auto"/>
        </w:rPr>
      </w:pPr>
    </w:p>
    <w:p>
      <w:pPr>
        <w:ind w:firstLine="464"/>
        <w:spacing w:after="0" w:line="259" w:lineRule="auto"/>
        <w:tabs>
          <w:tab w:leader="none" w:pos="70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specified herein or therein, all terms defined in this Agreement or in any other Loan Document shall have the defined meanings when used in any certificate or other document made or delivered pursuant hereto. The meanings of defined terms shall be equally applicable to the singular and plural forms of the defined terms. Terms (including uncapitalized terms) not otherwise defined herein and that are defined in the UCC shall have the meanings therein described.</w:t>
      </w:r>
    </w:p>
    <w:p>
      <w:pPr>
        <w:spacing w:after="0" w:line="182" w:lineRule="exact"/>
        <w:rPr>
          <w:rFonts w:ascii="Arial" w:cs="Arial" w:eastAsia="Arial" w:hAnsi="Arial"/>
          <w:sz w:val="18"/>
          <w:szCs w:val="18"/>
          <w:color w:val="auto"/>
        </w:rPr>
      </w:pPr>
    </w:p>
    <w:p>
      <w:pPr>
        <w:ind w:right="700" w:firstLine="464"/>
        <w:spacing w:after="0" w:line="347"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The Agreement</w:t>
      </w:r>
      <w:r>
        <w:rPr>
          <w:rFonts w:ascii="Arial" w:cs="Arial" w:eastAsia="Arial" w:hAnsi="Arial"/>
          <w:sz w:val="16"/>
          <w:szCs w:val="16"/>
          <w:color w:val="auto"/>
        </w:rPr>
        <w:t>. The words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w:t>
      </w:r>
      <w:r>
        <w:rPr>
          <w:rFonts w:ascii="Arial" w:cs="Arial" w:eastAsia="Arial" w:hAnsi="Arial"/>
          <w:sz w:val="16"/>
          <w:szCs w:val="16"/>
          <w:b w:val="1"/>
          <w:bCs w:val="1"/>
          <w:color w:val="auto"/>
        </w:rPr>
        <w:t>hereunder</w:t>
      </w:r>
      <w:r>
        <w:rPr>
          <w:rFonts w:ascii="Arial" w:cs="Arial" w:eastAsia="Arial" w:hAnsi="Arial"/>
          <w:sz w:val="16"/>
          <w:szCs w:val="16"/>
          <w:color w:val="auto"/>
        </w:rPr>
        <w:t>” and words of similar import when used in this Agreement or any other Loan Document shall refer to this Agreement or such other Loan Document as a whole and not to any particular provision of this Agreement or such</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75" w:name="page76"/>
    <w:bookmarkEnd w:id="75"/>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Loan Document; and subsection, section, schedule and exhibit references are to this Agreement or such other Loan Documents unless otherwise specified.</w:t>
      </w:r>
    </w:p>
    <w:p>
      <w:pPr>
        <w:spacing w:after="0" w:line="166" w:lineRule="exact"/>
        <w:rPr>
          <w:sz w:val="20"/>
          <w:szCs w:val="20"/>
          <w:color w:val="auto"/>
        </w:rPr>
      </w:pPr>
    </w:p>
    <w:p>
      <w:pPr>
        <w:ind w:right="20" w:firstLine="464"/>
        <w:spacing w:after="0" w:line="282" w:lineRule="auto"/>
        <w:tabs>
          <w:tab w:leader="none" w:pos="7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Certain Common Terms</w:t>
      </w:r>
      <w:r>
        <w:rPr>
          <w:rFonts w:ascii="Arial" w:cs="Arial" w:eastAsia="Arial" w:hAnsi="Arial"/>
          <w:sz w:val="18"/>
          <w:szCs w:val="18"/>
          <w:color w:val="auto"/>
        </w:rPr>
        <w:t>. The term “</w:t>
      </w:r>
      <w:r>
        <w:rPr>
          <w:rFonts w:ascii="Arial" w:cs="Arial" w:eastAsia="Arial" w:hAnsi="Arial"/>
          <w:sz w:val="18"/>
          <w:szCs w:val="18"/>
          <w:b w:val="1"/>
          <w:bCs w:val="1"/>
          <w:color w:val="auto"/>
        </w:rPr>
        <w:t>documents</w:t>
      </w:r>
      <w:r>
        <w:rPr>
          <w:rFonts w:ascii="Arial" w:cs="Arial" w:eastAsia="Arial" w:hAnsi="Arial"/>
          <w:sz w:val="18"/>
          <w:szCs w:val="18"/>
          <w:color w:val="auto"/>
        </w:rPr>
        <w:t>” includes any and all instruments, documents, agreements, certificates, indentures, notices and other writings, however evidenced. The term “</w:t>
      </w:r>
      <w:r>
        <w:rPr>
          <w:rFonts w:ascii="Arial" w:cs="Arial" w:eastAsia="Arial" w:hAnsi="Arial"/>
          <w:sz w:val="18"/>
          <w:szCs w:val="18"/>
          <w:b w:val="1"/>
          <w:bCs w:val="1"/>
          <w:color w:val="auto"/>
        </w:rPr>
        <w:t>including</w:t>
      </w:r>
      <w:r>
        <w:rPr>
          <w:rFonts w:ascii="Arial" w:cs="Arial" w:eastAsia="Arial" w:hAnsi="Arial"/>
          <w:sz w:val="18"/>
          <w:szCs w:val="18"/>
          <w:color w:val="auto"/>
        </w:rPr>
        <w:t>” is not limiting and means “including without limitation.”</w:t>
      </w:r>
    </w:p>
    <w:p>
      <w:pPr>
        <w:spacing w:after="0" w:line="165" w:lineRule="exact"/>
        <w:rPr>
          <w:rFonts w:ascii="Arial" w:cs="Arial" w:eastAsia="Arial" w:hAnsi="Arial"/>
          <w:sz w:val="18"/>
          <w:szCs w:val="18"/>
          <w:color w:val="auto"/>
        </w:rPr>
      </w:pPr>
    </w:p>
    <w:p>
      <w:pPr>
        <w:ind w:right="40" w:firstLine="464"/>
        <w:spacing w:after="0" w:line="289" w:lineRule="auto"/>
        <w:tabs>
          <w:tab w:leader="none" w:pos="71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Performance; Time</w:t>
      </w:r>
      <w:r>
        <w:rPr>
          <w:rFonts w:ascii="Arial" w:cs="Arial" w:eastAsia="Arial" w:hAnsi="Arial"/>
          <w:sz w:val="16"/>
          <w:szCs w:val="16"/>
          <w:color w:val="auto"/>
        </w:rPr>
        <w:t>. Whenever any performance obligation hereunder or under any other Loan Document (other than a payment obligation) shall be stated to be due or required to be satisfied on a day other than a Business Day, such performance shall be made or satisfied on the next succeeding Business Day. For the avoidance of doubt, the initial payments of interest and fees relating to the Obligations under the Loan Documents (other than amounts due on the Closing Date) shall be due and paid on the first day of the first month or quarter, as applicable, following the entry of such Obligations onto the operations systems of Agent, but in no event later than the first day of the second month or quarter, as applicable, following the Closing Date. In the computation of periods of time from a specified date to a later specified date, the word “</w:t>
      </w:r>
      <w:r>
        <w:rPr>
          <w:rFonts w:ascii="Arial" w:cs="Arial" w:eastAsia="Arial" w:hAnsi="Arial"/>
          <w:sz w:val="16"/>
          <w:szCs w:val="16"/>
          <w:b w:val="1"/>
          <w:bCs w:val="1"/>
          <w:color w:val="auto"/>
        </w:rPr>
        <w:t>from</w:t>
      </w:r>
      <w:r>
        <w:rPr>
          <w:rFonts w:ascii="Arial" w:cs="Arial" w:eastAsia="Arial" w:hAnsi="Arial"/>
          <w:sz w:val="16"/>
          <w:szCs w:val="16"/>
          <w:color w:val="auto"/>
        </w:rPr>
        <w:t>” means “from and including”; the words “</w:t>
      </w:r>
      <w:r>
        <w:rPr>
          <w:rFonts w:ascii="Arial" w:cs="Arial" w:eastAsia="Arial" w:hAnsi="Arial"/>
          <w:sz w:val="16"/>
          <w:szCs w:val="16"/>
          <w:b w:val="1"/>
          <w:bCs w:val="1"/>
          <w:color w:val="auto"/>
        </w:rPr>
        <w:t>to</w:t>
      </w:r>
      <w:r>
        <w:rPr>
          <w:rFonts w:ascii="Arial" w:cs="Arial" w:eastAsia="Arial" w:hAnsi="Arial"/>
          <w:sz w:val="16"/>
          <w:szCs w:val="16"/>
          <w:color w:val="auto"/>
        </w:rPr>
        <w:t>” and “</w:t>
      </w:r>
      <w:r>
        <w:rPr>
          <w:rFonts w:ascii="Arial" w:cs="Arial" w:eastAsia="Arial" w:hAnsi="Arial"/>
          <w:sz w:val="16"/>
          <w:szCs w:val="16"/>
          <w:b w:val="1"/>
          <w:bCs w:val="1"/>
          <w:color w:val="auto"/>
        </w:rPr>
        <w:t>until</w:t>
      </w:r>
      <w:r>
        <w:rPr>
          <w:rFonts w:ascii="Arial" w:cs="Arial" w:eastAsia="Arial" w:hAnsi="Arial"/>
          <w:sz w:val="16"/>
          <w:szCs w:val="16"/>
          <w:color w:val="auto"/>
        </w:rPr>
        <w:t>” each mean “to but excluding”, and the word “</w:t>
      </w:r>
      <w:r>
        <w:rPr>
          <w:rFonts w:ascii="Arial" w:cs="Arial" w:eastAsia="Arial" w:hAnsi="Arial"/>
          <w:sz w:val="16"/>
          <w:szCs w:val="16"/>
          <w:b w:val="1"/>
          <w:bCs w:val="1"/>
          <w:color w:val="auto"/>
        </w:rPr>
        <w:t>through</w:t>
      </w:r>
      <w:r>
        <w:rPr>
          <w:rFonts w:ascii="Arial" w:cs="Arial" w:eastAsia="Arial" w:hAnsi="Arial"/>
          <w:sz w:val="16"/>
          <w:szCs w:val="16"/>
          <w:color w:val="auto"/>
        </w:rPr>
        <w:t>” means “to and including.” All references to the time of day shall be a reference to New York time. If any provision of this Agreement or any other Loan Document refers to any action taken or to be taken by any Person, or which such Person is prohibited from taking, such provision shall be interpreted to encompass any and all means, direct or indirect, of taking, or not taking, such action.</w:t>
      </w:r>
    </w:p>
    <w:p>
      <w:pPr>
        <w:spacing w:after="0" w:line="166" w:lineRule="exact"/>
        <w:rPr>
          <w:rFonts w:ascii="Arial" w:cs="Arial" w:eastAsia="Arial" w:hAnsi="Arial"/>
          <w:sz w:val="16"/>
          <w:szCs w:val="16"/>
          <w:color w:val="auto"/>
        </w:rPr>
      </w:pPr>
    </w:p>
    <w:p>
      <w:pPr>
        <w:ind w:right="100" w:firstLine="464"/>
        <w:spacing w:after="0" w:line="259" w:lineRule="auto"/>
        <w:tabs>
          <w:tab w:leader="none" w:pos="70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Unless otherwise expressly provided herein or in any other Loan Document, references to agreements and other contractual instruments, including this Agreement and the other Loan Documents, shall be deemed to include all subsequent amendments, thereto, restatements and substitutions thereof and other modifications and supplements thereto which are in effect from time to time, but only to the extent such amendments and other modifications are not prohibited by the terms of any Loan Document.</w:t>
      </w:r>
    </w:p>
    <w:p>
      <w:pPr>
        <w:spacing w:after="0" w:line="186" w:lineRule="exact"/>
        <w:rPr>
          <w:rFonts w:ascii="Arial" w:cs="Arial" w:eastAsia="Arial" w:hAnsi="Arial"/>
          <w:sz w:val="18"/>
          <w:szCs w:val="18"/>
          <w:color w:val="auto"/>
        </w:rPr>
      </w:pPr>
    </w:p>
    <w:p>
      <w:pPr>
        <w:ind w:right="120" w:firstLine="464"/>
        <w:spacing w:after="0" w:line="264" w:lineRule="auto"/>
        <w:tabs>
          <w:tab w:leader="none" w:pos="68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Laws</w:t>
      </w:r>
      <w:r>
        <w:rPr>
          <w:rFonts w:ascii="Arial" w:cs="Arial" w:eastAsia="Arial" w:hAnsi="Arial"/>
          <w:sz w:val="18"/>
          <w:szCs w:val="18"/>
          <w:color w:val="auto"/>
        </w:rPr>
        <w:t>. References to any statute or regulation may be made by using either the common or public name thereof or a specific cite reference and, except as otherwise provided with respect to FATCA, are to be construed as including all statutory and regulatory provisions related thereto or consolidating, amending, replacing, supplementing or interpreting the statute or regulation.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 and Principles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accounting determinations required to be made pursuant hereto shall, unless expressly otherwise provided herein, be made in accordance with GAAP. No change in the accounting principles used in the preparation of any financial statement hereafter adopted by Holdings shall be given effect for purposes of measuring compliance with any provision of Article VI or VII, calculating the Applicable Margin or otherwise determining any relevant ratios and baskets which govern whether any action is permitted hereunder unless the Borrower,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 (or any other Financial Accounting Standard having a similar result or effect) to value any Indebtedness or other Liabilities of Holdings or its Restricted Subsidiaries at “fair value”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76" w:name="page77"/>
    <w:bookmarkEnd w:id="76"/>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described therein, and such Indebtedness shall at all times be valued at the full stated principal amount thereof. If at any time any change in GAAP would affect the computation of any financial ratio or requirement set forth in any Loan Document, and the Borrower or the Agent shall so request, the Agent, the Lenders and the Borrower shall negotiate in good faith to amend such ratio or requirement to preserve the original intent thereof in light of such change to GAAP (subject to the approval of the Required Lenders); provided that until so amended (i) such ratio or requirements shall continue to be computed in accordance with GAAP prior to such change thereto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financials statements of Holdings and its Subsidiaries dated December 31, 2016, for all purposes of this Agreement, notwithstanding any change in GAAP relating thereto, unless the parties hereto shall enter into a mutually acceptable amendment addressing such changes, as provided for above. A breach of a financial covenant contained in Article VII shall be deemed to have occurred as of the last day of any specified measurement period, regardless of when the financial statements reflecting such breach are delivered to Agent.</w:t>
      </w:r>
    </w:p>
    <w:p>
      <w:pPr>
        <w:spacing w:after="0" w:line="173" w:lineRule="exact"/>
        <w:rPr>
          <w:sz w:val="20"/>
          <w:szCs w:val="20"/>
          <w:color w:val="auto"/>
        </w:rPr>
      </w:pPr>
    </w:p>
    <w:p>
      <w:pPr>
        <w:ind w:right="620" w:firstLine="464"/>
        <w:spacing w:after="0" w:line="342" w:lineRule="auto"/>
        <w:tabs>
          <w:tab w:leader="none" w:pos="7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purposes of determining pro forma compliance with any financial covenant as of any date prior to the first date on which such financial covenant is to be tested hereunder, the level of any such financial covenant shall be deemed to be the covenant level for such first test date.</w:t>
      </w:r>
    </w:p>
    <w:p>
      <w:pPr>
        <w:spacing w:after="0" w:line="123" w:lineRule="exact"/>
        <w:rPr>
          <w:rFonts w:ascii="Arial" w:cs="Arial" w:eastAsia="Arial" w:hAnsi="Arial"/>
          <w:sz w:val="16"/>
          <w:szCs w:val="16"/>
          <w:color w:val="auto"/>
        </w:rPr>
      </w:pPr>
    </w:p>
    <w:p>
      <w:pPr>
        <w:ind w:right="240" w:firstLine="464"/>
        <w:spacing w:after="0" w:line="286" w:lineRule="auto"/>
        <w:tabs>
          <w:tab w:leader="none" w:pos="7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availability of Indebtedness under this Agreement, or other incurrence of Indebtedness in compliance with this Agreement, is subject to a maximum leverage ratio, then, solely for the purposes of determining such availability or compliance, the cash proceeds of such Indebtedness, shall not be included in the calculation, if applicable, of cash or cash equivalents included in the determination of such leverage ratio.</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Payments</w:t>
      </w:r>
      <w:r>
        <w:rPr>
          <w:rFonts w:ascii="Arial" w:cs="Arial" w:eastAsia="Arial" w:hAnsi="Arial"/>
          <w:sz w:val="17"/>
          <w:szCs w:val="17"/>
          <w:color w:val="auto"/>
        </w:rPr>
        <w:t xml:space="preserve">. Agent may set up standards and procedures to determine or redetermine the equivalent in Dollars of any amount expressed in any currency other than Dollars and otherwise may, but shall not be obligated to, rely on any determination made by any Credit Party or any L/C Issuer. Any such determination or redetermination by Agent shall be conclusive and binding for all purposes, absent manifest error. No determination or redetermination by any Secured Party or any Credit Party and no other currency conversion shall change or release any obligation of any Credit Party or of any Secured Party (other than Agent and its Related Persons) under any Loan Document, each of which agrees to pay separately for any shortfall remaining after any conversion and payment of the amount as converted. Agent may round up or down, and may set up appropriate mechanisms to round up or down, any amount hereunder to nearest higher or lower amounts and may determine reasonable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payment thresholds.</w:t>
      </w:r>
    </w:p>
    <w:p>
      <w:pPr>
        <w:spacing w:after="0" w:line="178"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Limited Condition Acquisitions</w:t>
      </w:r>
      <w:r>
        <w:rPr>
          <w:rFonts w:ascii="Arial" w:cs="Arial" w:eastAsia="Arial" w:hAnsi="Arial"/>
          <w:sz w:val="17"/>
          <w:szCs w:val="17"/>
          <w:color w:val="auto"/>
        </w:rPr>
        <w:t xml:space="preserve">. (a) In the case of (i) the incurrence of any Indebtedness (other than Indebtedness under any Commitments or any Incremental Facility, which shall remain subject to the terms and conditions hereof with respect to the impact, if any, of any Limited Condition Acquisition) or Liens or the making of any Investment (other than a Permitted Acquisition, which shall remain subject to the terms and conditions hereof with respect to the impact, if any, of any Limited Condition Acquisition) or consolidations, mergers or other fundamental changes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in each case, in connection with a Limited Condition Acquisition or (ii) determining compliance with representations and warranties or the occurrence of any Default or Event of Default (other than a Default or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8.1(g))</w:t>
      </w:r>
      <w:r>
        <w:rPr>
          <w:rFonts w:ascii="Arial" w:cs="Arial" w:eastAsia="Arial" w:hAnsi="Arial"/>
          <w:sz w:val="17"/>
          <w:szCs w:val="17"/>
          <w:color w:val="auto"/>
        </w:rPr>
        <w:t>, in each case, in connection with a Limited Condition Acquisition (other than for purposes of the borrowing of Indebtedness under any Commitments or any Incremental Facility, each of which shall remain subject to the terms and conditions hereof with respect to the impact, if any, of any Limited Condition Acquisition), at the Borrower’s option, the relevant ratios and baskets and whether any such action is permitted hereunder shall be determined as of the date a definitive acquisition agreement for such Limited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77" w:name="page78"/>
    <w:bookmarkEnd w:id="77"/>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Acquisition (a “</w:t>
      </w:r>
      <w:r>
        <w:rPr>
          <w:rFonts w:ascii="Arial" w:cs="Arial" w:eastAsia="Arial" w:hAnsi="Arial"/>
          <w:sz w:val="16"/>
          <w:szCs w:val="16"/>
          <w:b w:val="1"/>
          <w:bCs w:val="1"/>
          <w:color w:val="auto"/>
        </w:rPr>
        <w:t>Limited Condition Acquisition Agreement</w:t>
      </w:r>
      <w:r>
        <w:rPr>
          <w:rFonts w:ascii="Arial" w:cs="Arial" w:eastAsia="Arial" w:hAnsi="Arial"/>
          <w:sz w:val="16"/>
          <w:szCs w:val="16"/>
          <w:color w:val="auto"/>
        </w:rPr>
        <w:t xml:space="preserve">”) is entered into, and calculated as if such Limited Condition Acquisition (and any other pending Limited Condition Acquisition) and other pro forma events in connection therewith (and in connection with any other pending Limited Condition Acquisition), including the incurrence of Indebtedness, were consummated on such date; provided that if the Borrower has made such an election, then in connection with the calculation of any ratio or basket with respect to the incurrence of any other Indebtedness (other than Indebtedness under any Commitments or any Incremental Facility, which shall remain subject to the terms and conditions hereof with respect to the impact, if any, of any Limited Condition Acquisition) or Liens, or the making of any other Investments, Restricted Payments, Restricted Debt Payments, Dispositions, the making of any Investments or consolidations, mergers or other fundamental changes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on or following such date and prior to the earlier of the date on which such Limited Condition Acquisition is consummated or the Limited Condition Acquisition Agreement for such Limited Condition Acquisition is terminated, any such ratio or basket shall be calculated on a pro forma basis assuming such Limited Condition Acquisition (and any other pending Limited Condition Acquisition) and other pro forma events in connection therewith (and in connection with any other pending Limited Condition Acquisition), including any incurrence of Indebtedness, have been consummated.</w:t>
      </w:r>
    </w:p>
    <w:p>
      <w:pPr>
        <w:spacing w:after="0" w:line="60" w:lineRule="exact"/>
        <w:rPr>
          <w:sz w:val="20"/>
          <w:szCs w:val="20"/>
          <w:color w:val="auto"/>
        </w:rPr>
      </w:pPr>
    </w:p>
    <w:p>
      <w:pPr>
        <w:ind w:left="460" w:firstLine="443"/>
        <w:spacing w:after="0" w:line="257" w:lineRule="auto"/>
        <w:tabs>
          <w:tab w:leader="none" w:pos="11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anything set forth herein to the contrary, any determination in connection with a Limited Condition Acquisition of compliance with representations and warranties or as to the occurrence or absence of any Default or Event of Default hereunder as of the date the applicable Limited Condition Acquisition Agreement (rather than the date of consummation of the applicable Limited Condition Acquisition), shall not be deemed to constitute a waiver of or consent to any breach of representations and warranties hereunder or any Default or Event of Default hereunder that may exist at the time of consummation of such Limited Condition Acquisition.</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Amounts and Terms of Commitments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Initial Term Loan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20" w:firstLine="421"/>
        <w:spacing w:after="0" w:line="254" w:lineRule="auto"/>
        <w:tabs>
          <w:tab w:leader="none" w:pos="15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and in reliance upon the representations and warranties of the Credit Parties contained herein, each Lender with an Initial Term Loan Commitment severally and not jointly agrees to lend to the Borrower from time to time on and after the Closing Date until the Initial Term Loan Commitment Expiration Date on not more than four (4) occasions (including on the Closing Date), the aggregate amount set forth opposite such Lender’s name in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under the heading “</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(such amount being referred to herein as such Lender’s “</w:t>
      </w:r>
      <w:r>
        <w:rPr>
          <w:rFonts w:ascii="Arial" w:cs="Arial" w:eastAsia="Arial" w:hAnsi="Arial"/>
          <w:sz w:val="18"/>
          <w:szCs w:val="18"/>
          <w:b w:val="1"/>
          <w:bCs w:val="1"/>
          <w:color w:val="auto"/>
        </w:rPr>
        <w:t>Initial Term Loan Commitment</w:t>
      </w:r>
      <w:r>
        <w:rPr>
          <w:rFonts w:ascii="Arial" w:cs="Arial" w:eastAsia="Arial" w:hAnsi="Arial"/>
          <w:sz w:val="18"/>
          <w:szCs w:val="18"/>
          <w:color w:val="auto"/>
        </w:rPr>
        <w:t xml:space="preserve">”). Amounts borrowed under this </w:t>
      </w:r>
      <w:r>
        <w:rPr>
          <w:rFonts w:ascii="Arial" w:cs="Arial" w:eastAsia="Arial" w:hAnsi="Arial"/>
          <w:sz w:val="18"/>
          <w:szCs w:val="18"/>
          <w:u w:val="single" w:color="auto"/>
          <w:color w:val="auto"/>
        </w:rPr>
        <w:t>Section 2.1(a)(i)</w:t>
      </w:r>
      <w:r>
        <w:rPr>
          <w:rFonts w:ascii="Arial" w:cs="Arial" w:eastAsia="Arial" w:hAnsi="Arial"/>
          <w:sz w:val="18"/>
          <w:szCs w:val="18"/>
          <w:color w:val="auto"/>
        </w:rPr>
        <w:t xml:space="preserve"> are referred to as a “</w:t>
      </w:r>
      <w:r>
        <w:rPr>
          <w:rFonts w:ascii="Arial" w:cs="Arial" w:eastAsia="Arial" w:hAnsi="Arial"/>
          <w:sz w:val="18"/>
          <w:szCs w:val="18"/>
          <w:b w:val="1"/>
          <w:bCs w:val="1"/>
          <w:color w:val="auto"/>
        </w:rPr>
        <w:t>Initial Term Loan</w:t>
      </w:r>
      <w:r>
        <w:rPr>
          <w:rFonts w:ascii="Arial" w:cs="Arial" w:eastAsia="Arial" w:hAnsi="Arial"/>
          <w:sz w:val="18"/>
          <w:szCs w:val="18"/>
          <w:color w:val="auto"/>
        </w:rPr>
        <w:t>.” The Initial Term Loan Commitment of each Term Lender shall be reduced by the aggregate amount of Initial Term Loans funded by such Term Lender. All Initial Term Loans, once funded, shall be deemed to be of the same Class as the Initial Term Loan funded on the Closing Date.</w:t>
      </w:r>
    </w:p>
    <w:p>
      <w:pPr>
        <w:spacing w:after="0" w:line="84" w:lineRule="exact"/>
        <w:rPr>
          <w:rFonts w:ascii="Arial" w:cs="Arial" w:eastAsia="Arial" w:hAnsi="Arial"/>
          <w:sz w:val="18"/>
          <w:szCs w:val="18"/>
          <w:color w:val="auto"/>
        </w:rPr>
      </w:pPr>
    </w:p>
    <w:p>
      <w:pPr>
        <w:ind w:left="1600" w:hanging="259"/>
        <w:spacing w:after="0"/>
        <w:tabs>
          <w:tab w:leader="none" w:pos="16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At the Borrower’s request, the Lenders shall fund an Initial Term Loan on the Closing Date in the aggregate principal amount of</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$45,000,000.</w:t>
      </w:r>
    </w:p>
    <w:p>
      <w:pPr>
        <w:spacing w:after="0" w:line="103" w:lineRule="exact"/>
        <w:rPr>
          <w:sz w:val="20"/>
          <w:szCs w:val="20"/>
          <w:color w:val="auto"/>
        </w:rPr>
      </w:pPr>
    </w:p>
    <w:p>
      <w:pPr>
        <w:ind w:left="5620" w:right="3380" w:hanging="4279"/>
        <w:spacing w:after="0" w:line="449" w:lineRule="auto"/>
        <w:tabs>
          <w:tab w:leader="none" w:pos="1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borrowed as a Term Loan which are repaid or prepaid may not be reborrowed. 35</w:t>
      </w:r>
    </w:p>
    <w:p>
      <w:pPr>
        <w:sectPr>
          <w:pgSz w:w="11900" w:h="16838" w:orient="portrait"/>
          <w:cols w:equalWidth="0" w:num="1">
            <w:col w:w="11380"/>
          </w:cols>
          <w:pgMar w:left="240" w:top="270" w:right="279" w:bottom="1440" w:gutter="0" w:footer="0" w:header="0"/>
        </w:sectPr>
      </w:pPr>
    </w:p>
    <w:bookmarkStart w:id="78" w:name="page79"/>
    <w:bookmarkEnd w:id="78"/>
    <w:p>
      <w:pPr>
        <w:ind w:right="20" w:firstLine="464"/>
        <w:spacing w:after="0" w:line="269" w:lineRule="auto"/>
        <w:tabs>
          <w:tab w:leader="none" w:pos="71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w:t>
      </w:r>
      <w:r>
        <w:rPr>
          <w:rFonts w:ascii="Arial" w:cs="Arial" w:eastAsia="Arial" w:hAnsi="Arial"/>
          <w:sz w:val="17"/>
          <w:szCs w:val="17"/>
          <w:color w:val="auto"/>
        </w:rPr>
        <w:t>. Subject to the terms and conditions of this Agreement and in reliance upon the representations and warranties of the Credit Parties contained herein, each Revolving Lender severally and not jointly agrees to make Loans to the Borrower (each such Loan, a “</w:t>
      </w:r>
      <w:r>
        <w:rPr>
          <w:rFonts w:ascii="Arial" w:cs="Arial" w:eastAsia="Arial" w:hAnsi="Arial"/>
          <w:sz w:val="17"/>
          <w:szCs w:val="17"/>
          <w:b w:val="1"/>
          <w:bCs w:val="1"/>
          <w:color w:val="auto"/>
        </w:rPr>
        <w:t>Revolving Loan</w:t>
      </w:r>
      <w:r>
        <w:rPr>
          <w:rFonts w:ascii="Arial" w:cs="Arial" w:eastAsia="Arial" w:hAnsi="Arial"/>
          <w:sz w:val="17"/>
          <w:szCs w:val="17"/>
          <w:color w:val="auto"/>
        </w:rPr>
        <w:t xml:space="preserve">”) from time to time on any Business Day during the period from the Closing Date through the Final Availability Date, in an aggregate amount not to exceed at any time outstanding such Lender’s Revolving Loan Commitment, which Revolving Loan Commitments, as of the Closing Date, are set forth on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opposite such Lender’s name under the heading “Revolving Loan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Borrowing of Revolving Loans, the aggregate principal amount of all outstanding Revolving Loans shall not exceed the Maximum Revolving Loan Balance. Subject to the other terms and conditions hereof, amounts borrowed under this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may be repaid and reborrowed from time to time. The “</w:t>
      </w:r>
      <w:r>
        <w:rPr>
          <w:rFonts w:ascii="Arial" w:cs="Arial" w:eastAsia="Arial" w:hAnsi="Arial"/>
          <w:sz w:val="17"/>
          <w:szCs w:val="17"/>
          <w:b w:val="1"/>
          <w:bCs w:val="1"/>
          <w:color w:val="auto"/>
        </w:rPr>
        <w:t>Maximum Revolving Loan</w:t>
      </w:r>
      <w:r>
        <w:rPr>
          <w:rFonts w:ascii="Arial" w:cs="Arial" w:eastAsia="Arial" w:hAnsi="Arial"/>
          <w:sz w:val="17"/>
          <w:szCs w:val="17"/>
          <w:color w:val="auto"/>
        </w:rPr>
        <w:t xml:space="preserve"> </w:t>
      </w:r>
      <w:r>
        <w:rPr>
          <w:rFonts w:ascii="Arial" w:cs="Arial" w:eastAsia="Arial" w:hAnsi="Arial"/>
          <w:sz w:val="17"/>
          <w:szCs w:val="17"/>
          <w:b w:val="1"/>
          <w:bCs w:val="1"/>
          <w:color w:val="auto"/>
        </w:rPr>
        <w:t>Balance</w:t>
      </w:r>
      <w:r>
        <w:rPr>
          <w:rFonts w:ascii="Arial" w:cs="Arial" w:eastAsia="Arial" w:hAnsi="Arial"/>
          <w:sz w:val="17"/>
          <w:szCs w:val="17"/>
          <w:color w:val="auto"/>
        </w:rPr>
        <w:t>” from time to time will be the Aggregate Revolving Loan Commitment then in effect, less the sum of (I) the aggregate amount of Letter of Credit</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plus (II) the aggregate principal amount of outstanding Swing Loans. If at any time the outstanding principal balance of Revolving Loans exceeds the Maximum Revolving Loan Balance, then the Borrower shall immediately prepay outstanding Revolving Loans in an amount sufficient to eliminate such excess.</w:t>
      </w:r>
    </w:p>
    <w:p>
      <w:pPr>
        <w:spacing w:after="0" w:line="182" w:lineRule="exact"/>
        <w:rPr>
          <w:rFonts w:ascii="Arial" w:cs="Arial" w:eastAsia="Arial" w:hAnsi="Arial"/>
          <w:sz w:val="17"/>
          <w:szCs w:val="17"/>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88" w:lineRule="auto"/>
        <w:tabs>
          <w:tab w:leader="none" w:pos="1555" w:val="left"/>
        </w:tabs>
        <w:numPr>
          <w:ilvl w:val="2"/>
          <w:numId w:val="47"/>
        </w:numPr>
        <w:rPr>
          <w:rFonts w:ascii="Arial" w:cs="Arial" w:eastAsia="Arial" w:hAnsi="Arial"/>
          <w:sz w:val="16"/>
          <w:szCs w:val="16"/>
          <w:color w:val="auto"/>
        </w:rPr>
      </w:pPr>
      <w:r>
        <w:rPr>
          <w:rFonts w:ascii="Arial" w:cs="Arial" w:eastAsia="Arial" w:hAnsi="Arial"/>
          <w:sz w:val="16"/>
          <w:szCs w:val="16"/>
          <w:u w:val="single" w:color="auto"/>
          <w:color w:val="auto"/>
        </w:rPr>
        <w:t>Conditions</w:t>
      </w:r>
      <w:r>
        <w:rPr>
          <w:rFonts w:ascii="Arial" w:cs="Arial" w:eastAsia="Arial" w:hAnsi="Arial"/>
          <w:sz w:val="16"/>
          <w:szCs w:val="16"/>
          <w:color w:val="auto"/>
        </w:rPr>
        <w:t>. On the terms and subject to the conditions contained herein, the Borrower may request that one or more L/C Issuers Issue, in accordance with such L/C Issuers’ usual and customary business practices, and for the account of any Credit Party or Restricted Subsidiary, Letters of Credit (denominated in Dollars) from time to time on any Business Day during the period from the Closing Date through the earlier of</w:t>
      </w:r>
    </w:p>
    <w:p>
      <w:pPr>
        <w:ind w:left="920" w:right="280" w:firstLine="1"/>
        <w:spacing w:after="0" w:line="277" w:lineRule="auto"/>
        <w:tabs>
          <w:tab w:leader="none" w:pos="1175" w:val="left"/>
        </w:tabs>
        <w:numPr>
          <w:ilvl w:val="1"/>
          <w:numId w:val="47"/>
        </w:numPr>
        <w:rPr>
          <w:rFonts w:ascii="Arial" w:cs="Arial" w:eastAsia="Arial" w:hAnsi="Arial"/>
          <w:sz w:val="17"/>
          <w:szCs w:val="17"/>
          <w:color w:val="auto"/>
        </w:rPr>
      </w:pPr>
      <w:r>
        <w:rPr>
          <w:rFonts w:ascii="Arial" w:cs="Arial" w:eastAsia="Arial" w:hAnsi="Arial"/>
          <w:sz w:val="17"/>
          <w:szCs w:val="17"/>
          <w:color w:val="auto"/>
        </w:rPr>
        <w:t>seven (7) days prior to the date specified in clause (a) of the definition of Revolving Termination Date and (y) the date on which the Aggregate Revolving Loan Commitment shall terminate in accordance with the provisions of this Agreement; provided, however, that no L/C Issuer shall Issue any Letter of Credit upon the occurrence of any of the following or, if after giving effect to such Issuance:</w:t>
      </w:r>
    </w:p>
    <w:p>
      <w:pPr>
        <w:spacing w:after="0" w:line="65" w:lineRule="exact"/>
        <w:rPr>
          <w:sz w:val="20"/>
          <w:szCs w:val="20"/>
          <w:color w:val="auto"/>
        </w:rPr>
      </w:pPr>
    </w:p>
    <w:p>
      <w:pPr>
        <w:ind w:left="1500" w:right="280" w:firstLine="389"/>
        <w:spacing w:after="0" w:line="277" w:lineRule="auto"/>
        <w:tabs>
          <w:tab w:leader="none" w:pos="21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Revolving Availability would be less than zero, or (ii) the Letter of Credit Obligations for all Letters of Credit would exceed $35,000,000 (the “</w:t>
      </w:r>
      <w:r>
        <w:rPr>
          <w:rFonts w:ascii="Arial" w:cs="Arial" w:eastAsia="Arial" w:hAnsi="Arial"/>
          <w:sz w:val="18"/>
          <w:szCs w:val="18"/>
          <w:b w:val="1"/>
          <w:bCs w:val="1"/>
          <w:color w:val="auto"/>
        </w:rPr>
        <w:t>L/C Sublimit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500" w:right="80" w:firstLine="389"/>
        <w:spacing w:after="0" w:line="255" w:lineRule="auto"/>
        <w:tabs>
          <w:tab w:leader="none" w:pos="21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expiration date of such Letter of Credit (i) is not a Business Day, (ii) is more than one year after the date of Issuance thereof or (iii) is later than seven (7) days prior to the date specified in clause (a) of the definition of Revolving Termination Date; provided, however, that any Letter of Credit with a term not exceeding one year may provide for its renewal for additional periods not exceeding one year as long as (x) the Borrower and such L/C Issuer have the option to prevent such renewal before the expiration of such term or any such period and (y) neither such L/C Issuer nor the Borrower shall permit any such renewal to extend such expiration date beyond the date set forth in clause (iii) above;</w:t>
      </w:r>
    </w:p>
    <w:p>
      <w:pPr>
        <w:spacing w:after="0" w:line="85" w:lineRule="exact"/>
        <w:rPr>
          <w:rFonts w:ascii="Arial" w:cs="Arial" w:eastAsia="Arial" w:hAnsi="Arial"/>
          <w:sz w:val="18"/>
          <w:szCs w:val="18"/>
          <w:color w:val="auto"/>
        </w:rPr>
      </w:pPr>
    </w:p>
    <w:p>
      <w:pPr>
        <w:ind w:left="1500" w:right="80" w:firstLine="389"/>
        <w:spacing w:after="0" w:line="257" w:lineRule="auto"/>
        <w:tabs>
          <w:tab w:leader="none" w:pos="21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any fee due in connection with, and on or prior to, such Issuance has not been paid, (ii) such Letter of Credit is requested to be Issued in a form that is not acceptable to such L/C Issuer in its reasonable discretion or (iii) such L/C Issuer shall not have received, each in form and substance reasonably acceptable to it and duly executed by the Borrower on behalf of the Credit Parties, the documents that such L/C Issuer generally uses in the Ordinary Course of Business for the Issuance of letters of credit of the type of such Letter of Credit (collectively, the “</w:t>
      </w:r>
      <w:r>
        <w:rPr>
          <w:rFonts w:ascii="Arial" w:cs="Arial" w:eastAsia="Arial" w:hAnsi="Arial"/>
          <w:sz w:val="18"/>
          <w:szCs w:val="18"/>
          <w:b w:val="1"/>
          <w:bCs w:val="1"/>
          <w:color w:val="auto"/>
        </w:rPr>
        <w:t>L/C Reimbursement Agreement</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79" w:name="page80"/>
    <w:bookmarkEnd w:id="7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each Issuance, the applicable L/C Issuer may, but shall not be required to, determine that, or take notice whether, the conditions precedent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have been satisfied or waived in connection with the Issuance of any Letter of Credit; provided, however, that no Letters of Credit shall be Issued during the period starting on the first Business Day after the receipt by such L/C Issuer of notice from Agent or the Required Revolving Lenders that any condition precedent contained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is not satisfied and ending on the date all such conditions are satisfied or duly waived.</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Notwithstanding anything else to the contrary herein, if any Lender is a Defaulting Lender, no L/C Issuer shall be obligated to Issue any Letter of Credit unless (w) the Defaulting Lender has been replaced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10.20</w:t>
      </w:r>
      <w:r>
        <w:rPr>
          <w:rFonts w:ascii="Arial" w:cs="Arial" w:eastAsia="Arial" w:hAnsi="Arial"/>
          <w:sz w:val="16"/>
          <w:szCs w:val="16"/>
          <w:color w:val="auto"/>
        </w:rPr>
        <w:t>, (x) the Letter of Credit Obligations of such Defaulting Lender have been cash collateralized, (y) the Revolving Loan Commitments of the other Lenders have been increased by an amount sufficient to satisfy Agent that all future Letter of Credit Obligations will be covered by all Revolving Lenders that are not Defaulting Lenders, or</w:t>
      </w:r>
    </w:p>
    <w:p>
      <w:pPr>
        <w:spacing w:after="0" w:line="2" w:lineRule="exact"/>
        <w:rPr>
          <w:sz w:val="20"/>
          <w:szCs w:val="20"/>
          <w:color w:val="auto"/>
        </w:rPr>
      </w:pPr>
    </w:p>
    <w:p>
      <w:pPr>
        <w:ind w:right="400" w:firstLine="1"/>
        <w:spacing w:after="0" w:line="261" w:lineRule="auto"/>
        <w:tabs>
          <w:tab w:leader="none" w:pos="2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Letter of Credit Obligations of such Defaulting Lender have been reallocated to other Revolving Lenders in a manner consistent with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60" w:firstLine="421"/>
        <w:spacing w:after="0" w:line="259" w:lineRule="auto"/>
        <w:tabs>
          <w:tab w:leader="none" w:pos="68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Notice of Issuance</w:t>
      </w:r>
      <w:r>
        <w:rPr>
          <w:rFonts w:ascii="Arial" w:cs="Arial" w:eastAsia="Arial" w:hAnsi="Arial"/>
          <w:sz w:val="18"/>
          <w:szCs w:val="18"/>
          <w:color w:val="auto"/>
        </w:rPr>
        <w:t xml:space="preserve">. The Borrower shall give the relevant L/C Issuer and Agent a notice of any requested Issuance of any Letter of Credit, which shall be effective only if received by such L/C Issuer and Agent not later than 2:00 p.m. on the third Business Day prior to the date of such requested Issuance. Such notice shall be made in a writing or Electronic Transmission substantially in the form of </w:t>
      </w:r>
      <w:r>
        <w:rPr>
          <w:rFonts w:ascii="Arial" w:cs="Arial" w:eastAsia="Arial" w:hAnsi="Arial"/>
          <w:sz w:val="18"/>
          <w:szCs w:val="18"/>
          <w:u w:val="single" w:color="auto"/>
          <w:color w:val="auto"/>
        </w:rPr>
        <w:t>Exhibit 2.1(c)</w:t>
      </w:r>
      <w:r>
        <w:rPr>
          <w:rFonts w:ascii="Arial" w:cs="Arial" w:eastAsia="Arial" w:hAnsi="Arial"/>
          <w:sz w:val="18"/>
          <w:szCs w:val="18"/>
          <w:color w:val="auto"/>
        </w:rPr>
        <w:t xml:space="preserve"> duly completed or in any other written form acceptable to such L/C Issuer (an “</w:t>
      </w:r>
      <w:r>
        <w:rPr>
          <w:rFonts w:ascii="Arial" w:cs="Arial" w:eastAsia="Arial" w:hAnsi="Arial"/>
          <w:sz w:val="18"/>
          <w:szCs w:val="18"/>
          <w:b w:val="1"/>
          <w:bCs w:val="1"/>
          <w:color w:val="auto"/>
        </w:rPr>
        <w:t>L/C Request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21"/>
        <w:spacing w:after="0" w:line="286" w:lineRule="auto"/>
        <w:tabs>
          <w:tab w:leader="none" w:pos="735"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Reporting Obligations of L/C Issuers</w:t>
      </w:r>
      <w:r>
        <w:rPr>
          <w:rFonts w:ascii="Arial" w:cs="Arial" w:eastAsia="Arial" w:hAnsi="Arial"/>
          <w:sz w:val="16"/>
          <w:szCs w:val="16"/>
          <w:color w:val="auto"/>
        </w:rPr>
        <w:t xml:space="preserve">. Each L/C Issuer agrees to provide Agent, in form and substance satisfactory to Agent, each of the following on the following dates: (A) (i) on or prior to any Issuance of any Letter of Credit by such L/C Issuer, (ii) immediately after any drawing under any such Letter of Credit, (iii) immediately after any payment (or failure to pay when due) by the Borrower of any related L/C Reimbursement Obligation or (iv) the expiration or other termination of any Letter of Credit, notice thereof, which shall contain a reasonably detailed description of such Issuance, drawing, payment or termination, and Agent shall provide copies of such notices to each Revolving Lender reasonably promptly after receipt thereof; (B) upon the request of Agent (or any Revolving Lender through Agent), copies of any Letter of Credit Issued by such L/C Issuer and any related L/C Reimbursement Agreement and such other documents and information as may reasonably be requested by Agent; and (C) on the first Business Day of each calendar week, a schedule of the Letters of Credit Issued by such L/C Issuer, in form and substance reasonably satisfactory to Agent, setting forth the Letter of Credit Obligations for such Letters of Credit outstanding on the last Business Day of the previous calendar week. Notwithstanding the foregoing, none of the actions described in clauses </w:t>
      </w:r>
      <w:r>
        <w:rPr>
          <w:rFonts w:ascii="Arial" w:cs="Arial" w:eastAsia="Arial" w:hAnsi="Arial"/>
          <w:sz w:val="16"/>
          <w:szCs w:val="16"/>
          <w:u w:val="single" w:color="auto"/>
          <w:color w:val="auto"/>
        </w:rPr>
        <w:t>(A)(i)</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2.1(c)(iii)</w:t>
      </w:r>
      <w:r>
        <w:rPr>
          <w:rFonts w:ascii="Arial" w:cs="Arial" w:eastAsia="Arial" w:hAnsi="Arial"/>
          <w:sz w:val="16"/>
          <w:szCs w:val="16"/>
          <w:color w:val="auto"/>
        </w:rPr>
        <w:t xml:space="preserve"> shall be required with respect to Existing Letters of Credit, and no amendments, modifications or extensions of Existing Letters of Credit will be agreed to without prior written notice of their specific amendments, modifications or extensions being delivered to the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credit amount of the Existing Letters of Credit shall not be increased.</w:t>
      </w:r>
    </w:p>
    <w:p>
      <w:pPr>
        <w:spacing w:after="0" w:line="66" w:lineRule="exact"/>
        <w:rPr>
          <w:rFonts w:ascii="Arial" w:cs="Arial" w:eastAsia="Arial" w:hAnsi="Arial"/>
          <w:sz w:val="16"/>
          <w:szCs w:val="16"/>
          <w:color w:val="auto"/>
        </w:rPr>
      </w:pPr>
    </w:p>
    <w:p>
      <w:pPr>
        <w:ind w:right="20" w:firstLine="421"/>
        <w:spacing w:after="0" w:line="259" w:lineRule="auto"/>
        <w:tabs>
          <w:tab w:leader="none" w:pos="72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Acquisition of Participations</w:t>
      </w:r>
      <w:r>
        <w:rPr>
          <w:rFonts w:ascii="Arial" w:cs="Arial" w:eastAsia="Arial" w:hAnsi="Arial"/>
          <w:sz w:val="18"/>
          <w:szCs w:val="18"/>
          <w:color w:val="auto"/>
        </w:rPr>
        <w:t>. Upon any Issuance of a Letter of Credit in accordance with the terms of this Agreement resulting in any increase in the Letter of Credit Obligations, each Revolving Lender shall be deemed to have acquired, without recourse or warranty, an undivided interest and participation in such Letter of Credit and the related Letter of Credit Obligations in an amount equal to its Commitment Percentage of such Letter of Credit Obligations.</w:t>
      </w:r>
    </w:p>
    <w:p>
      <w:pPr>
        <w:spacing w:after="0" w:line="11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00"/>
          </w:cols>
          <w:pgMar w:left="1160" w:top="274" w:right="239" w:bottom="1440" w:gutter="0" w:footer="0" w:header="0"/>
        </w:sectPr>
      </w:pPr>
    </w:p>
    <w:bookmarkStart w:id="80" w:name="page81"/>
    <w:bookmarkEnd w:id="80"/>
    <w:p>
      <w:pPr>
        <w:ind w:firstLine="421"/>
        <w:spacing w:after="0" w:line="269" w:lineRule="auto"/>
        <w:tabs>
          <w:tab w:leader="none" w:pos="675"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Reimbursement Obligations of the Borrower</w:t>
      </w:r>
      <w:r>
        <w:rPr>
          <w:rFonts w:ascii="Arial" w:cs="Arial" w:eastAsia="Arial" w:hAnsi="Arial"/>
          <w:sz w:val="17"/>
          <w:szCs w:val="17"/>
          <w:color w:val="auto"/>
        </w:rPr>
        <w:t>. The Borrower agrees to pay to the L/C Issuer of any Letter of Credit, or to Agent for the benefit of such L/C Issuer, each L/C Reimbursement Obligation owing with respect to such Letter of Credit no later than the first Business Day after the Borrower receives notice from such L/C Issuer or from Agent that payment has been made under such Letter of Credit or that such L/C Reimbursement Obligation is otherwise due (the “</w:t>
      </w:r>
      <w:r>
        <w:rPr>
          <w:rFonts w:ascii="Arial" w:cs="Arial" w:eastAsia="Arial" w:hAnsi="Arial"/>
          <w:sz w:val="17"/>
          <w:szCs w:val="17"/>
          <w:b w:val="1"/>
          <w:bCs w:val="1"/>
          <w:color w:val="auto"/>
        </w:rPr>
        <w:t>L/C Reimbursement Date</w:t>
      </w:r>
      <w:r>
        <w:rPr>
          <w:rFonts w:ascii="Arial" w:cs="Arial" w:eastAsia="Arial" w:hAnsi="Arial"/>
          <w:sz w:val="17"/>
          <w:szCs w:val="17"/>
          <w:color w:val="auto"/>
        </w:rPr>
        <w:t xml:space="preserve">”) with interest thereon computed as set forth in clause (A) below. In the event that any L/C Reimbursement Obligation is not repaid by the Borrower as provided in this clause (v) (or any such payment by the Borrower is rescinded or set aside for any reason), such L/C Issuer shall promptly notify Agent of such failure (and, upon receipt of such notice, Agent shall notify each Revolving Lender) and, irrespective of whether such notice is given, such L/C Reimbursement Obligation shall be payable by the Borrower on demand with interest thereon computed (A) from the date on which such L/C Reimbursement Obligation arose to the L/C Reimbursement Date, at the interest rate applicable during such period to Revolving Loans that are Base Rate Loans and (B) thereafter until payment in full, at the interest rate specified in </w:t>
      </w:r>
      <w:r>
        <w:rPr>
          <w:rFonts w:ascii="Arial" w:cs="Arial" w:eastAsia="Arial" w:hAnsi="Arial"/>
          <w:sz w:val="17"/>
          <w:szCs w:val="17"/>
          <w:u w:val="single" w:color="auto"/>
          <w:color w:val="auto"/>
        </w:rPr>
        <w:t>Section 2.3(c)</w:t>
      </w:r>
      <w:r>
        <w:rPr>
          <w:rFonts w:ascii="Arial" w:cs="Arial" w:eastAsia="Arial" w:hAnsi="Arial"/>
          <w:sz w:val="17"/>
          <w:szCs w:val="17"/>
          <w:color w:val="auto"/>
        </w:rPr>
        <w:t xml:space="preserve"> to past due Revolving Loans that are Base Rate Loans (regardless of whether or not an election is made under such Section).</w:t>
      </w:r>
    </w:p>
    <w:p>
      <w:pPr>
        <w:spacing w:after="0" w:line="74" w:lineRule="exact"/>
        <w:rPr>
          <w:rFonts w:ascii="Arial" w:cs="Arial" w:eastAsia="Arial" w:hAnsi="Arial"/>
          <w:sz w:val="17"/>
          <w:szCs w:val="17"/>
          <w:color w:val="auto"/>
        </w:rPr>
      </w:pPr>
    </w:p>
    <w:p>
      <w:pPr>
        <w:ind w:left="720" w:hanging="299"/>
        <w:spacing w:after="0"/>
        <w:tabs>
          <w:tab w:leader="none" w:pos="72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Reimbursement Obligations of the Revolving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80" w:right="60" w:firstLine="389"/>
        <w:spacing w:after="0" w:line="264" w:lineRule="auto"/>
        <w:tabs>
          <w:tab w:leader="none" w:pos="1272" w:val="left"/>
        </w:tabs>
        <w:numPr>
          <w:ilvl w:val="3"/>
          <w:numId w:val="50"/>
        </w:numPr>
        <w:rPr>
          <w:rFonts w:ascii="Arial" w:cs="Arial" w:eastAsia="Arial" w:hAnsi="Arial"/>
          <w:sz w:val="18"/>
          <w:szCs w:val="18"/>
          <w:color w:val="auto"/>
        </w:rPr>
      </w:pPr>
      <w:r>
        <w:rPr>
          <w:rFonts w:ascii="Arial" w:cs="Arial" w:eastAsia="Arial" w:hAnsi="Arial"/>
          <w:sz w:val="18"/>
          <w:szCs w:val="18"/>
          <w:color w:val="auto"/>
        </w:rPr>
        <w:t xml:space="preserve">Upon receipt of the notice described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from Agent, each Revolving Lender shall pay to Agent for the account of such L/C Issuer its Commitment Percentage of such Letter of Credit Obligations (as such amount may be increased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580" w:right="20" w:firstLine="389"/>
        <w:spacing w:after="0" w:line="284" w:lineRule="auto"/>
        <w:tabs>
          <w:tab w:leader="none" w:pos="1262" w:val="left"/>
        </w:tabs>
        <w:numPr>
          <w:ilvl w:val="3"/>
          <w:numId w:val="50"/>
        </w:numPr>
        <w:rPr>
          <w:rFonts w:ascii="Arial" w:cs="Arial" w:eastAsia="Arial" w:hAnsi="Arial"/>
          <w:sz w:val="16"/>
          <w:szCs w:val="16"/>
          <w:color w:val="auto"/>
        </w:rPr>
      </w:pPr>
      <w:r>
        <w:rPr>
          <w:rFonts w:ascii="Arial" w:cs="Arial" w:eastAsia="Arial" w:hAnsi="Arial"/>
          <w:sz w:val="16"/>
          <w:szCs w:val="16"/>
          <w:color w:val="auto"/>
        </w:rPr>
        <w:t xml:space="preserve">By making any payment described in clause (A) above (other than during the continuation of an Event of Default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such Lender shall be deemed to have made a Revolving Loan to the Borrower, which, upon receipt thereof by Agent for the benefit of such L/C Issuer, the Borrower shall be deemed to have used in whole to repay such L/C Reimbursement Obligation. Any such payment that is not deemed a Revolving Loan shall be deemed a funding by such Lender of its participation in the applicable Letter of Credit and the Letter of Credit Obligation in respect of the related L/C Reimbursement Obligations. Such participation shall not otherwise be required to be funded. Following receipt by any L/C Issuer of any payment from any Lender pursuant to this clause</w:t>
      </w:r>
    </w:p>
    <w:p>
      <w:pPr>
        <w:spacing w:after="0" w:line="4" w:lineRule="exact"/>
        <w:rPr>
          <w:rFonts w:ascii="Arial" w:cs="Arial" w:eastAsia="Arial" w:hAnsi="Arial"/>
          <w:sz w:val="16"/>
          <w:szCs w:val="16"/>
          <w:color w:val="auto"/>
        </w:rPr>
      </w:pPr>
    </w:p>
    <w:p>
      <w:pPr>
        <w:ind w:left="580" w:right="60" w:hanging="8"/>
        <w:spacing w:after="0" w:line="254" w:lineRule="auto"/>
        <w:tabs>
          <w:tab w:leader="none" w:pos="885" w:val="left"/>
        </w:tabs>
        <w:numPr>
          <w:ilvl w:val="2"/>
          <w:numId w:val="50"/>
        </w:numPr>
        <w:rPr>
          <w:rFonts w:ascii="Arial" w:cs="Arial" w:eastAsia="Arial" w:hAnsi="Arial"/>
          <w:sz w:val="18"/>
          <w:szCs w:val="18"/>
          <w:color w:val="auto"/>
        </w:rPr>
      </w:pPr>
      <w:r>
        <w:rPr>
          <w:rFonts w:ascii="Arial" w:cs="Arial" w:eastAsia="Arial" w:hAnsi="Arial"/>
          <w:sz w:val="18"/>
          <w:szCs w:val="18"/>
          <w:color w:val="auto"/>
        </w:rPr>
        <w:t>with respect to any portion of any L/C Reimbursement Obligation, such L/C Issuer shall promptly pay to Agent, for the benefit of such Lender, all amounts received by such L/C Issuer (or to the extent such amounts shall have been received by Agent for the benefit of such L/C Issuer, Agent shall promptly pay to such Lender all amounts received by Agent for the benefit of such L/C Issuer) with respect to such portion.</w:t>
      </w:r>
    </w:p>
    <w:p>
      <w:pPr>
        <w:spacing w:after="0" w:line="81" w:lineRule="exact"/>
        <w:rPr>
          <w:rFonts w:ascii="Arial" w:cs="Arial" w:eastAsia="Arial" w:hAnsi="Arial"/>
          <w:sz w:val="18"/>
          <w:szCs w:val="18"/>
          <w:color w:val="auto"/>
        </w:rPr>
      </w:pPr>
    </w:p>
    <w:p>
      <w:pPr>
        <w:ind w:left="780" w:hanging="359"/>
        <w:spacing w:after="0"/>
        <w:tabs>
          <w:tab w:leader="none" w:pos="78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xml:space="preserve">. The obligations of the Borrower and the Revolving Lenders, as applicable, pursuant to </w:t>
      </w:r>
      <w:r>
        <w:rPr>
          <w:rFonts w:ascii="Arial" w:cs="Arial" w:eastAsia="Arial" w:hAnsi="Arial"/>
          <w:sz w:val="17"/>
          <w:szCs w:val="17"/>
          <w:u w:val="single" w:color="auto"/>
          <w:color w:val="auto"/>
        </w:rPr>
        <w:t>clauses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300" w:hanging="299"/>
        <w:spacing w:after="0"/>
        <w:tabs>
          <w:tab w:leader="none" w:pos="300" w:val="left"/>
        </w:tabs>
        <w:numPr>
          <w:ilvl w:val="0"/>
          <w:numId w:val="51"/>
        </w:numPr>
        <w:rPr>
          <w:rFonts w:ascii="Arial" w:cs="Arial" w:eastAsia="Arial" w:hAnsi="Arial"/>
          <w:sz w:val="16"/>
          <w:szCs w:val="16"/>
          <w:u w:val="single" w:color="auto"/>
          <w:color w:val="auto"/>
        </w:rPr>
      </w:pPr>
      <w:r>
        <w:rPr>
          <w:rFonts w:ascii="Arial" w:cs="Arial" w:eastAsia="Arial" w:hAnsi="Arial"/>
          <w:sz w:val="16"/>
          <w:szCs w:val="16"/>
          <w:color w:val="auto"/>
        </w:rPr>
        <w:t>above shall be absolute, unconditional and irrevocable and performed strictly in accordance with the terms of this Agreement irrespective of</w:t>
      </w:r>
    </w:p>
    <w:p>
      <w:pPr>
        <w:spacing w:after="0" w:line="32" w:lineRule="exact"/>
        <w:rPr>
          <w:rFonts w:ascii="Arial" w:cs="Arial" w:eastAsia="Arial" w:hAnsi="Arial"/>
          <w:sz w:val="16"/>
          <w:szCs w:val="16"/>
          <w:u w:val="single" w:color="auto"/>
          <w:color w:val="auto"/>
        </w:rPr>
      </w:pPr>
    </w:p>
    <w:p>
      <w:pPr>
        <w:ind w:right="260"/>
        <w:spacing w:after="0" w:line="271" w:lineRule="auto"/>
        <w:rPr>
          <w:rFonts w:ascii="Arial" w:cs="Arial" w:eastAsia="Arial" w:hAnsi="Arial"/>
          <w:sz w:val="16"/>
          <w:szCs w:val="16"/>
          <w:u w:val="single" w:color="auto"/>
          <w:color w:val="auto"/>
        </w:rPr>
      </w:pPr>
      <w:r>
        <w:rPr>
          <w:rFonts w:ascii="Arial" w:cs="Arial" w:eastAsia="Arial" w:hAnsi="Arial"/>
          <w:sz w:val="17"/>
          <w:szCs w:val="17"/>
          <w:color w:val="auto"/>
        </w:rPr>
        <w:t>(A) (i) the invalidity or unenforceability of any term or provision in any Letter of Credit, any document transferring or purporting to transfer a Letter of Credit, any Loan Document (including the sufficiency of any such instrument), or any modification to any provision of any of the foregoing, (ii) any document presented under a Letter of Credit being forged, fraudulent, invalid, insufficient or inaccurate in any respect or failing to comply with the terms of such Letter of Credit or (iii) any loss or delay, including in the transmission of any document, (B) the existence of any setoff, claim, abatement, recoupment, defense or other right that any Person</w:t>
      </w:r>
    </w:p>
    <w:p>
      <w:pPr>
        <w:spacing w:after="0" w:line="1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480"/>
          </w:cols>
          <w:pgMar w:left="1160" w:top="274" w:right="259" w:bottom="1440" w:gutter="0" w:footer="0" w:header="0"/>
        </w:sectPr>
      </w:pPr>
    </w:p>
    <w:bookmarkStart w:id="81" w:name="page82"/>
    <w:bookmarkEnd w:id="81"/>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(including any Credit Party) may have against the beneficiary of any Letter of Credit or any other Person, whether in connection with any Loan Document or any other Contractual Obligation or transaction, or the existence of any other withholding, abatement or reduction, (C) in the case of the obligations of any Revolving Lender, (i) the failure of any condition precedent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to be satisfied (each of which conditions precedent the Revolving Lenders hereby irrevocably waive) or (ii) any adverse change in the condition (financial or otherwise) of any Credit Party and (D) any other act or omission to act or delay of any kind of L/C Issuer, Agent, any Lender or any other Person or any other event or circumstance whatsoever, whether or not similar to any of the foregoing, that might, but for the provisions of this clause (vii), constitute a legal or equitable discharge of any obligation of the Borrower or any Revolving Lender hereunder. No provision hereof shall be deemed to waive or limit the Borrower’s right to seek repayment of any payment of any L/C Reimbursement Obligations from the L/C Issuer under the terms of the applicable L/C Reimbursement Agreement or applicable law.</w:t>
      </w:r>
    </w:p>
    <w:p>
      <w:pPr>
        <w:spacing w:after="0" w:line="182" w:lineRule="exact"/>
        <w:rPr>
          <w:sz w:val="20"/>
          <w:szCs w:val="20"/>
          <w:color w:val="auto"/>
        </w:rPr>
      </w:pPr>
    </w:p>
    <w:p>
      <w:pPr>
        <w:ind w:left="260" w:hanging="256"/>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21"/>
        <w:spacing w:after="0" w:line="268" w:lineRule="auto"/>
        <w:tabs>
          <w:tab w:leader="none" w:pos="1095"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Subject to the terms and conditions of this Agreement and in reliance upon the representations and warranties of the Credit Parties contained herein, the Swing Lender shall make Loans (each a “</w:t>
      </w:r>
      <w:r>
        <w:rPr>
          <w:rFonts w:ascii="Arial" w:cs="Arial" w:eastAsia="Arial" w:hAnsi="Arial"/>
          <w:sz w:val="17"/>
          <w:szCs w:val="17"/>
          <w:b w:val="1"/>
          <w:bCs w:val="1"/>
          <w:color w:val="auto"/>
        </w:rPr>
        <w:t>Swing Loan</w:t>
      </w:r>
      <w:r>
        <w:rPr>
          <w:rFonts w:ascii="Arial" w:cs="Arial" w:eastAsia="Arial" w:hAnsi="Arial"/>
          <w:sz w:val="17"/>
          <w:szCs w:val="17"/>
          <w:color w:val="auto"/>
        </w:rPr>
        <w:t xml:space="preserve">”) available to the Borrower under the Revolving Loan Commitments from time to time on any Business Day during the period from the Closing Date through the Final Availability Date in an aggregate principal amount at any time outstanding not to exceed its Swingline Commitment; provided, however, that the Swing Lender may not make any Swing Loan (x) to the extent that after giving effect to such Swing Loan, the aggregate principal amount of all Revolving Loans would exceed the Maximum Revolving Loan Balance, (y) to the extent that after giving effect to such Swing Loan, the aggregate principal amount of all Revolving Loans and Swing Loans held by the Swing Lender (and if the Swing Lender is not also a Revolving Lender, by each of its Affiliates that is a Revolving Lender) would exceed the Revolving Loan Commitment of such Swing Lender (and such Affiliates, if any) or (z) during the period commencing on the first Business Day after it receives notice from Agent or the Required Revolving Lenders that one or more of the conditions precedent contained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are not satisfied and ending when such conditions are satisfied or duly waived. In connection with the making of any Swing Loan, the Swing Lender may but shall not be required to determine that, or take notice whether, the conditions precedent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have been satisfied or waived. Each Swing Loan shall be a Base Rate Loan and must be repaid as provided herein, but in any event must be repaid in full on the Revolving Termination Date. Within the limits set forth in the first sentence of this clause (i), amounts of Swing Loans repaid may be reborrowed under this clause (i).</w:t>
      </w:r>
    </w:p>
    <w:p>
      <w:pPr>
        <w:spacing w:after="0" w:line="77" w:lineRule="exact"/>
        <w:rPr>
          <w:rFonts w:ascii="Arial" w:cs="Arial" w:eastAsia="Arial" w:hAnsi="Arial"/>
          <w:sz w:val="17"/>
          <w:szCs w:val="17"/>
          <w:color w:val="auto"/>
        </w:rPr>
      </w:pPr>
    </w:p>
    <w:p>
      <w:pPr>
        <w:ind w:left="460" w:right="160" w:firstLine="421"/>
        <w:spacing w:after="0" w:line="271" w:lineRule="auto"/>
        <w:tabs>
          <w:tab w:leader="none" w:pos="1145"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In order to request a Swing Loan, the Borrower shall give to Agent a notice to be received not later than 2:00 p.m. on the day of the proposed Borrowing, which shall be made in a writing or in an Electronic Transmission substantially in the form of </w:t>
      </w:r>
      <w:r>
        <w:rPr>
          <w:rFonts w:ascii="Arial" w:cs="Arial" w:eastAsia="Arial" w:hAnsi="Arial"/>
          <w:sz w:val="17"/>
          <w:szCs w:val="17"/>
          <w:u w:val="single" w:color="auto"/>
          <w:color w:val="auto"/>
        </w:rPr>
        <w:t>Exhibit 2.1(d)</w:t>
      </w:r>
      <w:r>
        <w:rPr>
          <w:rFonts w:ascii="Arial" w:cs="Arial" w:eastAsia="Arial" w:hAnsi="Arial"/>
          <w:sz w:val="17"/>
          <w:szCs w:val="17"/>
          <w:color w:val="auto"/>
        </w:rPr>
        <w:t xml:space="preserve"> or in a writing in any other form acceptable to Agent duly completed (a “</w:t>
      </w:r>
      <w:r>
        <w:rPr>
          <w:rFonts w:ascii="Arial" w:cs="Arial" w:eastAsia="Arial" w:hAnsi="Arial"/>
          <w:sz w:val="17"/>
          <w:szCs w:val="17"/>
          <w:b w:val="1"/>
          <w:bCs w:val="1"/>
          <w:color w:val="auto"/>
        </w:rPr>
        <w:t>Swingline Request</w:t>
      </w:r>
      <w:r>
        <w:rPr>
          <w:rFonts w:ascii="Arial" w:cs="Arial" w:eastAsia="Arial" w:hAnsi="Arial"/>
          <w:sz w:val="17"/>
          <w:szCs w:val="17"/>
          <w:color w:val="auto"/>
        </w:rPr>
        <w:t>”). In addition, if any Notice of Borrowing of Revolving Loans requests a Borrowing of Base Rate Loans, the Swing Lender may, notwithstanding anything else to the contrary herein, make a Swing Loan to the Borrower in an aggregate amount not to exceed such proposed Borrowing, and the aggregate amount of the corresponding proposed Borrowing shall be reduced accordingly by the principal amount of such Swing Loan. Agent shall promptly notify the Swing Lender of the details of the requested Swing Loan. Upon receipt of such notice and subject to the terms of this Agreement, the Swing Lender may make a Swing Loan available to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74" w:right="239" w:bottom="1440" w:gutter="0" w:footer="0" w:header="0"/>
        </w:sectPr>
      </w:pPr>
    </w:p>
    <w:bookmarkStart w:id="82" w:name="page83"/>
    <w:bookmarkEnd w:id="82"/>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by making the proceeds thereof available to Agent and, in turn, Agent shall make such proceeds available to the Borrower on the date set forth in the relevant Swingline Request or Notice of Borrowing.</w:t>
      </w:r>
    </w:p>
    <w:p>
      <w:pPr>
        <w:spacing w:after="0" w:line="62" w:lineRule="exact"/>
        <w:rPr>
          <w:sz w:val="20"/>
          <w:szCs w:val="20"/>
          <w:color w:val="auto"/>
        </w:rPr>
      </w:pPr>
    </w:p>
    <w:p>
      <w:pPr>
        <w:ind w:left="1200" w:hanging="319"/>
        <w:spacing w:after="0"/>
        <w:tabs>
          <w:tab w:leader="none" w:pos="1200"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Refinancing Swing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40" w:firstLine="389"/>
        <w:spacing w:after="0" w:line="259" w:lineRule="auto"/>
        <w:tabs>
          <w:tab w:leader="none" w:pos="1732" w:val="left"/>
        </w:tabs>
        <w:numPr>
          <w:ilvl w:val="3"/>
          <w:numId w:val="53"/>
        </w:numPr>
        <w:rPr>
          <w:rFonts w:ascii="Arial" w:cs="Arial" w:eastAsia="Arial" w:hAnsi="Arial"/>
          <w:sz w:val="18"/>
          <w:szCs w:val="18"/>
          <w:color w:val="auto"/>
        </w:rPr>
      </w:pPr>
      <w:r>
        <w:rPr>
          <w:rFonts w:ascii="Arial" w:cs="Arial" w:eastAsia="Arial" w:hAnsi="Arial"/>
          <w:sz w:val="18"/>
          <w:szCs w:val="18"/>
          <w:color w:val="auto"/>
        </w:rPr>
        <w:t xml:space="preserve">The Swing Lender may at any time (and shall no less frequently than once each week) forward a demand to Agent (which Agent shall, upon receipt, forward to each Revolving Lender) that each Revolving Lender pay to Agent, for the account of the Swing Lender, such Revolving Lender’s Commitment Percentage of the outstanding Swing Loans (as such amount may be increased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040" w:right="100" w:firstLine="389"/>
        <w:spacing w:after="0" w:line="284" w:lineRule="auto"/>
        <w:tabs>
          <w:tab w:leader="none" w:pos="1722" w:val="left"/>
        </w:tabs>
        <w:numPr>
          <w:ilvl w:val="3"/>
          <w:numId w:val="53"/>
        </w:numPr>
        <w:rPr>
          <w:rFonts w:ascii="Arial" w:cs="Arial" w:eastAsia="Arial" w:hAnsi="Arial"/>
          <w:sz w:val="16"/>
          <w:szCs w:val="16"/>
          <w:color w:val="auto"/>
        </w:rPr>
      </w:pPr>
      <w:r>
        <w:rPr>
          <w:rFonts w:ascii="Arial" w:cs="Arial" w:eastAsia="Arial" w:hAnsi="Arial"/>
          <w:sz w:val="16"/>
          <w:szCs w:val="16"/>
          <w:color w:val="auto"/>
        </w:rPr>
        <w:t xml:space="preserve">Each Revolving Lender shall pay the amount owing by it to Agent for the account of the Swing Lender on the Business Day following receipt of the notice or demand therefor. Payments received by Agent after 1:00 p.m. may, in Agent’s discretion, be deemed to be received on the next Business Day. Upon receipt by Agent of such payment (other than during the continuation of any Event of Default under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such Revolving Lender shall be deemed to have made a Revolving Loan to the Borrower, which, upon receipt of such payment by the Swing Lender from Agent, the Borrower shall be deemed to have used in whole to refinance such Swing Loan. In addition, regardless of whether any such demand is made, upon the occurrence of any Event of Default under</w:t>
      </w:r>
    </w:p>
    <w:p>
      <w:pPr>
        <w:spacing w:after="0" w:line="4" w:lineRule="exact"/>
        <w:rPr>
          <w:rFonts w:ascii="Arial" w:cs="Arial" w:eastAsia="Arial" w:hAnsi="Arial"/>
          <w:sz w:val="16"/>
          <w:szCs w:val="16"/>
          <w:color w:val="auto"/>
        </w:rPr>
      </w:pPr>
    </w:p>
    <w:p>
      <w:pPr>
        <w:ind w:left="104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each Revolving Lender shall be deemed to have acquired, without recourse or warranty, an undivided interest and participation in each Swing Loan in an amount equal to such Lender’s Commitment Percentage of such Swing Loan. If any payment made by any Revolving Lender as a result of any such demand is not deemed a Revolving Loan, such payment shall be deemed a funding by such Lender of such participation. Such participation shall not be otherwise required to be funded. Upon receipt by the Swing Lender of any payment from any Revolving Lender pursuant to this clause (iii) with respect to any portion of any Swing Loan, the Swing Lender shall promptly pay over to such Revolving Lender all payments of principal (to the extent received after such payment by such Lender) and interest (to the extent accrued with respect to periods after such payment) on account of such Swing Loan received by the Swing Lender with respect to such portion.</w:t>
      </w:r>
    </w:p>
    <w:p>
      <w:pPr>
        <w:spacing w:after="0" w:line="76" w:lineRule="exact"/>
        <w:rPr>
          <w:rFonts w:ascii="Arial" w:cs="Arial" w:eastAsia="Arial" w:hAnsi="Arial"/>
          <w:sz w:val="16"/>
          <w:szCs w:val="16"/>
          <w:color w:val="auto"/>
        </w:rPr>
      </w:pPr>
    </w:p>
    <w:p>
      <w:pPr>
        <w:ind w:left="460" w:firstLine="421"/>
        <w:spacing w:after="0" w:line="291" w:lineRule="auto"/>
        <w:tabs>
          <w:tab w:leader="none" w:pos="1185" w:val="left"/>
        </w:tabs>
        <w:numPr>
          <w:ilvl w:val="2"/>
          <w:numId w:val="53"/>
        </w:numPr>
        <w:rPr>
          <w:rFonts w:ascii="Arial" w:cs="Arial" w:eastAsia="Arial" w:hAnsi="Arial"/>
          <w:sz w:val="16"/>
          <w:szCs w:val="16"/>
          <w:color w:val="auto"/>
        </w:rPr>
      </w:pPr>
      <w:r>
        <w:rPr>
          <w:rFonts w:ascii="Arial" w:cs="Arial" w:eastAsia="Arial" w:hAnsi="Arial"/>
          <w:sz w:val="16"/>
          <w:szCs w:val="16"/>
          <w:u w:val="single" w:color="auto"/>
          <w:color w:val="auto"/>
        </w:rPr>
        <w:t>Obligation to Fund Absolute</w:t>
      </w:r>
      <w:r>
        <w:rPr>
          <w:rFonts w:ascii="Arial" w:cs="Arial" w:eastAsia="Arial" w:hAnsi="Arial"/>
          <w:sz w:val="16"/>
          <w:szCs w:val="16"/>
          <w:color w:val="auto"/>
        </w:rPr>
        <w:t>. Each Revolving Lender’s obligations pursuant to clause (iii) above shall be absolute, unconditional and irrevocable and shall be performed strictly in accordance with the terms of this Agreement under any and all circumstances whatsoever, including</w:t>
      </w:r>
    </w:p>
    <w:p>
      <w:pPr>
        <w:ind w:left="460" w:right="180" w:firstLine="1"/>
        <w:spacing w:after="0" w:line="295" w:lineRule="auto"/>
        <w:tabs>
          <w:tab w:leader="none" w:pos="7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existence of any setoff, claim, abatement, recoupment, defense or other right that such Lender, any Affiliate thereof or any other Person may have against the Swing Lender, Agent, any other Lender or L/C Issuer or any other Person, (B) the failure of any condition precedent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to be satisfied or the failure of the Borrower to deliver a Notice of Borrowing (each of which requirements the Revolving Lenders hereby irrevocably waive) and (C) any adverse change in the condition (financial or otherwise) of any Credit Party.</w:t>
      </w:r>
    </w:p>
    <w:p>
      <w:pPr>
        <w:spacing w:after="0" w:line="161" w:lineRule="exact"/>
        <w:rPr>
          <w:rFonts w:ascii="Arial" w:cs="Arial" w:eastAsia="Arial" w:hAnsi="Arial"/>
          <w:sz w:val="16"/>
          <w:szCs w:val="16"/>
          <w:color w:val="auto"/>
        </w:rPr>
      </w:pPr>
    </w:p>
    <w:p>
      <w:pPr>
        <w:ind w:left="240" w:hanging="236"/>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Incremental Facilities.</w:t>
      </w:r>
    </w:p>
    <w:p>
      <w:pPr>
        <w:spacing w:after="0" w:line="113" w:lineRule="exact"/>
        <w:rPr>
          <w:rFonts w:ascii="Arial" w:cs="Arial" w:eastAsia="Arial" w:hAnsi="Arial"/>
          <w:sz w:val="18"/>
          <w:szCs w:val="18"/>
          <w:color w:val="auto"/>
        </w:rPr>
      </w:pPr>
    </w:p>
    <w:p>
      <w:pPr>
        <w:jc w:val="both"/>
        <w:ind w:left="460" w:right="400" w:firstLine="421"/>
        <w:spacing w:after="0" w:line="266" w:lineRule="auto"/>
        <w:tabs>
          <w:tab w:leader="none" w:pos="1095"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Requests</w:t>
      </w:r>
      <w:r>
        <w:rPr>
          <w:rFonts w:ascii="Arial" w:cs="Arial" w:eastAsia="Arial" w:hAnsi="Arial"/>
          <w:sz w:val="18"/>
          <w:szCs w:val="18"/>
          <w:color w:val="auto"/>
        </w:rPr>
        <w:t>. The Borrower may, by written notice to Agent (each, an “</w:t>
      </w:r>
      <w:r>
        <w:rPr>
          <w:rFonts w:ascii="Arial" w:cs="Arial" w:eastAsia="Arial" w:hAnsi="Arial"/>
          <w:sz w:val="18"/>
          <w:szCs w:val="18"/>
          <w:b w:val="1"/>
          <w:bCs w:val="1"/>
          <w:color w:val="auto"/>
        </w:rPr>
        <w:t>Incremental Facility Request</w:t>
      </w:r>
      <w:r>
        <w:rPr>
          <w:rFonts w:ascii="Arial" w:cs="Arial" w:eastAsia="Arial" w:hAnsi="Arial"/>
          <w:sz w:val="18"/>
          <w:szCs w:val="18"/>
          <w:color w:val="auto"/>
        </w:rPr>
        <w:t>”), request increases in the Term Loans or additional term loan facilities (each, an “</w:t>
      </w:r>
      <w:r>
        <w:rPr>
          <w:rFonts w:ascii="Arial" w:cs="Arial" w:eastAsia="Arial" w:hAnsi="Arial"/>
          <w:sz w:val="18"/>
          <w:szCs w:val="18"/>
          <w:b w:val="1"/>
          <w:bCs w:val="1"/>
          <w:color w:val="auto"/>
        </w:rPr>
        <w:t>Incremental Term Loan Commitment</w:t>
      </w:r>
      <w:r>
        <w:rPr>
          <w:rFonts w:ascii="Arial" w:cs="Arial" w:eastAsia="Arial" w:hAnsi="Arial"/>
          <w:sz w:val="18"/>
          <w:szCs w:val="18"/>
          <w:color w:val="auto"/>
        </w:rPr>
        <w:t>” and the term loans thereunder, an “</w:t>
      </w:r>
      <w:r>
        <w:rPr>
          <w:rFonts w:ascii="Arial" w:cs="Arial" w:eastAsia="Arial" w:hAnsi="Arial"/>
          <w:sz w:val="18"/>
          <w:szCs w:val="18"/>
          <w:b w:val="1"/>
          <w:bCs w:val="1"/>
          <w:color w:val="auto"/>
        </w:rPr>
        <w:t>Incremental</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w:t>
      </w:r>
      <w:r>
        <w:rPr>
          <w:rFonts w:ascii="Arial" w:cs="Arial" w:eastAsia="Arial" w:hAnsi="Arial"/>
          <w:sz w:val="18"/>
          <w:szCs w:val="18"/>
          <w:color w:val="auto"/>
        </w:rPr>
        <w:t>”; each Incremental Term Loan Commitment is</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60"/>
          </w:cols>
          <w:pgMar w:left="700" w:top="274" w:right="239" w:bottom="1440" w:gutter="0" w:footer="0" w:header="0"/>
        </w:sectPr>
      </w:pPr>
    </w:p>
    <w:bookmarkStart w:id="83" w:name="page84"/>
    <w:bookmarkEnd w:id="83"/>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sometimes referred to herein individually as an “</w:t>
      </w:r>
      <w:r>
        <w:rPr>
          <w:rFonts w:ascii="Arial" w:cs="Arial" w:eastAsia="Arial" w:hAnsi="Arial"/>
          <w:sz w:val="17"/>
          <w:szCs w:val="17"/>
          <w:b w:val="1"/>
          <w:bCs w:val="1"/>
          <w:color w:val="auto"/>
        </w:rPr>
        <w:t>Incremental Facility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Incremental Facilities</w:t>
      </w:r>
      <w:r>
        <w:rPr>
          <w:rFonts w:ascii="Arial" w:cs="Arial" w:eastAsia="Arial" w:hAnsi="Arial"/>
          <w:sz w:val="17"/>
          <w:szCs w:val="17"/>
          <w:color w:val="auto"/>
        </w:rPr>
        <w:t xml:space="preserve">”) in Dollars in an aggregate amount not to exceed $100,000,000 for all such Incremental Facilities;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commitment of any Lender shall be increased without the consent of such Lender and (y) any Person committing to provide all or a portion of the Incremental Facilities must be an existing Lender (other than a Defaulting Lender), an Affiliate or Approved Fund of any existing Lender (other than a natural Person or a Defaulting Lender) or any other Person (other than a natural Person, a Defaulting Lender or the Borrower or any of the Borrower’s Affiliates or Subsidiaries) who is an “accredited investor” (as defined in Regulation D of the Securities Act of 1933) acceptable (which acceptances shall not be unreasonably withheld or delayed) to Borrower and Agent. Such notice shall set forth (A) the amount of the Incremental Term Loan Commitment being requested, (B) the date (an “</w:t>
      </w:r>
      <w:r>
        <w:rPr>
          <w:rFonts w:ascii="Arial" w:cs="Arial" w:eastAsia="Arial" w:hAnsi="Arial"/>
          <w:sz w:val="17"/>
          <w:szCs w:val="17"/>
          <w:b w:val="1"/>
          <w:bCs w:val="1"/>
          <w:color w:val="auto"/>
        </w:rPr>
        <w:t>Incremental Effective Date</w:t>
      </w:r>
      <w:r>
        <w:rPr>
          <w:rFonts w:ascii="Arial" w:cs="Arial" w:eastAsia="Arial" w:hAnsi="Arial"/>
          <w:sz w:val="17"/>
          <w:szCs w:val="17"/>
          <w:color w:val="auto"/>
        </w:rPr>
        <w:t>”) on which such Incremental Facility is requested to become effective (which, unless otherwise agreed by Agent, shall not be less than 10 Business Days nor more than sixty (60) days after the date of such notice), and (C) if an Incremental Term Loan Commitment, whether the related Incremental Term Loan is to be a LIBOR Rate Loan or a Base Rate Loan (and, if a LIBOR Rate Loan, the Interest Period therefor).</w:t>
      </w:r>
    </w:p>
    <w:p>
      <w:pPr>
        <w:spacing w:after="0" w:line="70" w:lineRule="exact"/>
        <w:rPr>
          <w:sz w:val="20"/>
          <w:szCs w:val="20"/>
          <w:color w:val="auto"/>
        </w:rPr>
      </w:pPr>
    </w:p>
    <w:p>
      <w:pPr>
        <w:jc w:val="both"/>
        <w:ind w:right="400" w:firstLine="421"/>
        <w:spacing w:after="0" w:line="264" w:lineRule="auto"/>
        <w:tabs>
          <w:tab w:leader="none" w:pos="685"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xml:space="preserve">. No Incremental Facility shall become effective under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unless, after giving effect to such Incremental Facility, the Loans to be made thereunder (and assuming, in the case of any Incremental Facility, that the entire amount of such Incremental Facility is funded), and the application of the proceeds therefrom:</w:t>
      </w:r>
    </w:p>
    <w:p>
      <w:pPr>
        <w:spacing w:after="0" w:line="73" w:lineRule="exact"/>
        <w:rPr>
          <w:rFonts w:ascii="Arial" w:cs="Arial" w:eastAsia="Arial" w:hAnsi="Arial"/>
          <w:sz w:val="18"/>
          <w:szCs w:val="18"/>
          <w:color w:val="auto"/>
        </w:rPr>
      </w:pPr>
    </w:p>
    <w:p>
      <w:pPr>
        <w:ind w:left="580" w:right="40" w:firstLine="389"/>
        <w:spacing w:after="0" w:line="276" w:lineRule="auto"/>
        <w:tabs>
          <w:tab w:leader="none" w:pos="1272"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no Default or Event of Default shall exist at the time of funding;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the proceeds of such Incremental Facility are being used to finance a Limited Condition Acquisition, the Lenders providing such Incremental Facility may agree to fund such Incremental Facility if (i) as of the date the signing of the Limited Condition Acquisition Agreement, no Default or Event of Default shall have occurred and be continuing and (ii) as of the date of the funding of such Incremental Facility, no Default or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xml:space="preserve"> shall have occurred and is continuing at such time of funding;</w:t>
      </w:r>
    </w:p>
    <w:p>
      <w:pPr>
        <w:spacing w:after="0" w:line="64" w:lineRule="exact"/>
        <w:rPr>
          <w:rFonts w:ascii="Arial" w:cs="Arial" w:eastAsia="Arial" w:hAnsi="Arial"/>
          <w:sz w:val="17"/>
          <w:szCs w:val="17"/>
          <w:color w:val="auto"/>
        </w:rPr>
      </w:pPr>
    </w:p>
    <w:p>
      <w:pPr>
        <w:ind w:left="580" w:right="80" w:firstLine="389"/>
        <w:spacing w:after="0" w:line="297" w:lineRule="auto"/>
        <w:tabs>
          <w:tab w:leader="none" w:pos="1262"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as of the last day of the most recent Fiscal Quarter for which financial statements have been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the Senior Leverage Ratio recomputed on a pro forma basis shall not exceed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proceeds of such Incremental Facility are being used to finance a Limited Condition Acquisition, the Senior Leverage Ratio shall be determined as of the date that the applicable Limited Condition Acquisition Agreement is entered into, and calculated as if such Limited Condition Acquisition (and any other pending Limited Condition Acquisition) and other pro forma events in connection therewith were consummated on such date;</w:t>
      </w:r>
    </w:p>
    <w:p>
      <w:pPr>
        <w:spacing w:after="0" w:line="50" w:lineRule="exact"/>
        <w:rPr>
          <w:rFonts w:ascii="Arial" w:cs="Arial" w:eastAsia="Arial" w:hAnsi="Arial"/>
          <w:sz w:val="16"/>
          <w:szCs w:val="16"/>
          <w:color w:val="auto"/>
        </w:rPr>
      </w:pPr>
    </w:p>
    <w:p>
      <w:pPr>
        <w:ind w:left="580" w:firstLine="389"/>
        <w:spacing w:after="0" w:line="264" w:lineRule="auto"/>
        <w:tabs>
          <w:tab w:leader="none" w:pos="1262"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proceeds of such Incremental Term Loan shall be used solely to finance or refinance the purchase price of, and to pay fees, costs and expenses in connection with, a Permitted Acquisition consummated substantially concurrently with the incurrence thereof or within forty-five (45) days prior to the date of incurrence;</w:t>
      </w:r>
    </w:p>
    <w:p>
      <w:pPr>
        <w:spacing w:after="0" w:line="73" w:lineRule="exact"/>
        <w:rPr>
          <w:rFonts w:ascii="Arial" w:cs="Arial" w:eastAsia="Arial" w:hAnsi="Arial"/>
          <w:sz w:val="18"/>
          <w:szCs w:val="18"/>
          <w:color w:val="auto"/>
        </w:rPr>
      </w:pPr>
    </w:p>
    <w:p>
      <w:pPr>
        <w:ind w:left="1260" w:hanging="291"/>
        <w:spacing w:after="0"/>
        <w:tabs>
          <w:tab w:leader="none" w:pos="12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Incremental Facility shall constitute “Senior Obligations” under any Subordination Agreement; and</w:t>
      </w:r>
    </w:p>
    <w:p>
      <w:pPr>
        <w:spacing w:after="0" w:line="117" w:lineRule="exact"/>
        <w:rPr>
          <w:rFonts w:ascii="Arial" w:cs="Arial" w:eastAsia="Arial" w:hAnsi="Arial"/>
          <w:sz w:val="18"/>
          <w:szCs w:val="18"/>
          <w:color w:val="auto"/>
        </w:rPr>
      </w:pPr>
    </w:p>
    <w:p>
      <w:pPr>
        <w:ind w:left="1240" w:hanging="271"/>
        <w:spacing w:after="0"/>
        <w:tabs>
          <w:tab w:leader="none" w:pos="12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Agent shall have received a certificate of a Responsible Officer of the Borrower certifying as to the foregoing.</w:t>
      </w:r>
    </w:p>
    <w:p>
      <w:pPr>
        <w:spacing w:after="0" w:line="15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00"/>
          </w:cols>
          <w:pgMar w:left="1160" w:top="270" w:right="239" w:bottom="1440" w:gutter="0" w:footer="0" w:header="0"/>
        </w:sectPr>
      </w:pPr>
    </w:p>
    <w:bookmarkStart w:id="84" w:name="page85"/>
    <w:bookmarkEnd w:id="84"/>
    <w:p>
      <w:pPr>
        <w:ind w:left="460" w:hanging="319"/>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00" w:right="260" w:firstLine="389"/>
        <w:spacing w:after="0" w:line="264" w:lineRule="auto"/>
        <w:tabs>
          <w:tab w:leader="none" w:pos="9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final maturity date of any Incremental Term Loan shall be no earlier than the maturity date of the initial Term Loans and the Weighted Average Life to Maturity of any such Incremental Term Loan shall not be shorter than the Weighted Average Life to Maturity of the Initial Term Loans.</w:t>
      </w:r>
    </w:p>
    <w:p>
      <w:pPr>
        <w:spacing w:after="0" w:line="73" w:lineRule="exact"/>
        <w:rPr>
          <w:rFonts w:ascii="Arial" w:cs="Arial" w:eastAsia="Arial" w:hAnsi="Arial"/>
          <w:sz w:val="18"/>
          <w:szCs w:val="18"/>
          <w:color w:val="auto"/>
        </w:rPr>
      </w:pPr>
    </w:p>
    <w:p>
      <w:pPr>
        <w:ind w:left="300" w:right="20" w:firstLine="389"/>
        <w:spacing w:after="0" w:line="288" w:lineRule="auto"/>
        <w:tabs>
          <w:tab w:leader="none" w:pos="982"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initial all-in yield (including interest rate margins, any interest rate floors, original issue discount and upfront fees (based on the lesser of a four-year average life to maturity or the remaining life to maturity), but excluding reasonable and customary arrangement, structuring and underwriting fees with respect to such Incremental Term Loan) applicable to any Incremental Term Loan exceeds by more than 0.50% per annum the corresponding all-in yield (determined on the same basis) applicable to the Revolving Loans, the-then outstanding Initial Term Loans or any outstanding prior Incremental Term Loan (each, an “</w:t>
      </w:r>
      <w:r>
        <w:rPr>
          <w:rFonts w:ascii="Arial" w:cs="Arial" w:eastAsia="Arial" w:hAnsi="Arial"/>
          <w:sz w:val="16"/>
          <w:szCs w:val="16"/>
          <w:b w:val="1"/>
          <w:bCs w:val="1"/>
          <w:color w:val="auto"/>
        </w:rPr>
        <w:t>Existing Facility</w:t>
      </w:r>
      <w:r>
        <w:rPr>
          <w:rFonts w:ascii="Arial" w:cs="Arial" w:eastAsia="Arial" w:hAnsi="Arial"/>
          <w:sz w:val="16"/>
          <w:szCs w:val="16"/>
          <w:color w:val="auto"/>
        </w:rPr>
        <w:t>” and the amount of such excess above 0.50% being referred to herein as the “</w:t>
      </w:r>
      <w:r>
        <w:rPr>
          <w:rFonts w:ascii="Arial" w:cs="Arial" w:eastAsia="Arial" w:hAnsi="Arial"/>
          <w:sz w:val="16"/>
          <w:szCs w:val="16"/>
          <w:b w:val="1"/>
          <w:bCs w:val="1"/>
          <w:color w:val="auto"/>
        </w:rPr>
        <w:t>Yield Differential</w:t>
      </w:r>
      <w:r>
        <w:rPr>
          <w:rFonts w:ascii="Arial" w:cs="Arial" w:eastAsia="Arial" w:hAnsi="Arial"/>
          <w:sz w:val="16"/>
          <w:szCs w:val="16"/>
          <w:color w:val="auto"/>
        </w:rPr>
        <w:t>”), then the Applicable Margin with respect to each Existing Facility, as the case may be, shall automatically be increased by the Yield Differential, effective upon the making of such Incremental Term Loan (it being agreed that to the extent the all-in-yield with respect to such Incremental Term Loan is greater than the all-in-yield of an Existing Facility solely as a result of a higher LIBOR floor, then the increased interest rate applicable to an Existing Facility shall be effected solely by increasing the LIBOR floor applicable thereto); and</w:t>
      </w:r>
    </w:p>
    <w:p>
      <w:pPr>
        <w:spacing w:after="0" w:line="61" w:lineRule="exact"/>
        <w:rPr>
          <w:rFonts w:ascii="Arial" w:cs="Arial" w:eastAsia="Arial" w:hAnsi="Arial"/>
          <w:sz w:val="16"/>
          <w:szCs w:val="16"/>
          <w:color w:val="auto"/>
        </w:rPr>
      </w:pPr>
    </w:p>
    <w:p>
      <w:pPr>
        <w:ind w:left="300" w:right="140" w:firstLine="389"/>
        <w:spacing w:after="0" w:line="277" w:lineRule="auto"/>
        <w:tabs>
          <w:tab w:leader="none" w:pos="9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Except with respect to amortization, pricing and final maturity as set forth in this clause (iii), any Incremental Term Loan shall be on terms consistent with the initial Term Loans.</w:t>
      </w:r>
    </w:p>
    <w:p>
      <w:pPr>
        <w:spacing w:after="0" w:line="62" w:lineRule="exact"/>
        <w:rPr>
          <w:rFonts w:ascii="Arial" w:cs="Arial" w:eastAsia="Arial" w:hAnsi="Arial"/>
          <w:sz w:val="18"/>
          <w:szCs w:val="18"/>
          <w:color w:val="auto"/>
        </w:rPr>
      </w:pPr>
    </w:p>
    <w:p>
      <w:pPr>
        <w:ind w:left="-280" w:firstLine="421"/>
        <w:spacing w:after="0" w:line="286" w:lineRule="auto"/>
        <w:tabs>
          <w:tab w:leader="none" w:pos="44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Required Amendments</w:t>
      </w:r>
      <w:r>
        <w:rPr>
          <w:rFonts w:ascii="Arial" w:cs="Arial" w:eastAsia="Arial" w:hAnsi="Arial"/>
          <w:sz w:val="16"/>
          <w:szCs w:val="16"/>
          <w:color w:val="auto"/>
        </w:rPr>
        <w:t>. Each of the parties hereto hereby agrees that, upon the effectiveness of any Incremental Facility, this Agreement shall be amended to the extent (but only to the extent) necessary to reflect the existence of such Incremental Facility and the Loans evidenced thereby, and any joinder agreement or amendment (each an “</w:t>
      </w:r>
      <w:r>
        <w:rPr>
          <w:rFonts w:ascii="Arial" w:cs="Arial" w:eastAsia="Arial" w:hAnsi="Arial"/>
          <w:sz w:val="16"/>
          <w:szCs w:val="16"/>
          <w:b w:val="1"/>
          <w:bCs w:val="1"/>
          <w:color w:val="auto"/>
        </w:rPr>
        <w:t>Incremental Joinder Agreement</w:t>
      </w:r>
      <w:r>
        <w:rPr>
          <w:rFonts w:ascii="Arial" w:cs="Arial" w:eastAsia="Arial" w:hAnsi="Arial"/>
          <w:sz w:val="16"/>
          <w:szCs w:val="16"/>
          <w:color w:val="auto"/>
        </w:rPr>
        <w:t xml:space="preserve">”) may without the consent of the other Lenders effect such amendments to this Agreement and the other Loan Documents as may be necessary or appropriate, in the reasonable opinion of Agent and the Borrower, to effect the provisions of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(including any amendments that are not adverse to the interests of any Lender that are made to effectuate changes necessary to enable any Incremental Term Loans that are intended to be of the same Class as the initial Term Loans made on the Closing Date to be of the same Class as such initial Term Loans, which shall include any amendments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2.8(a)</w:t>
      </w:r>
      <w:r>
        <w:rPr>
          <w:rFonts w:ascii="Arial" w:cs="Arial" w:eastAsia="Arial" w:hAnsi="Arial"/>
          <w:sz w:val="16"/>
          <w:szCs w:val="16"/>
          <w:color w:val="auto"/>
        </w:rPr>
        <w:t xml:space="preserve"> that do not reduce the ratable amortization received by each Lender thereunder). For the avoidance of doubt,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each Incremental Effective Date, the Loans and Commitments established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constitute Loans and Commitments under, and shall be entitled to all the benefits afforded by, this Agreement and the other Loan Documents, and shall, without limiting the foregoing, benefit equally and ratably from the guarantees and security interests created by the applicable Collateral Documents. The Credit Parties shall take any actions reasonably required by Agent to ensure and/or demonstrate that the Liens and security interests granted by the applicable Collateral Documents continue to be perfected under the UCC or otherwise after giving effect to the establishment of any</w:t>
      </w:r>
    </w:p>
    <w:p>
      <w:pPr>
        <w:spacing w:after="0" w:line="1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20"/>
          </w:cols>
          <w:pgMar w:left="1440" w:top="274" w:right="239" w:bottom="1440" w:gutter="0" w:footer="0" w:header="0"/>
        </w:sectPr>
      </w:pPr>
    </w:p>
    <w:bookmarkStart w:id="85" w:name="page86"/>
    <w:bookmarkEnd w:id="85"/>
    <w:p>
      <w:pPr>
        <w:ind w:left="90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new Loans and Commitments, including compliance with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Each of the parties hereto hereby agrees that Agent may, in consultation with the Borrower, take any and all action as may be reasonably necessary to ensure that all Incremental Term Loans which are not separate Classes, when originally made, are included in each Borrowing of outstanding Term Loans on a pro rata basis. This may be accomplished by requiring each outstanding Borrowing of Term Loans that are LIBOR Rate Loans to be converted into a Borrowing of Term Loans that are Base Rate Loans on the date of each such Incremental Term Loan, or by allocating a portion of each such Incremental Term Loan to each outstanding Borrowing of Term Loans that are LIBOR Rate Loans on a pro rata basis. Any conversion of LIBOR Rate Loans to Base Rate Loans required by the preceding sentence shall be subject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If any Incremental Term Loan is to be allocated to an existing Interest Period for a Borrowing of LIBOR Rate Loans, then the interest rate thereon for such Interest Period shall be as set forth in the applicable Incremental Joinder Agreement. In addition the scheduled amortization payments under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required to be made after the making of any Incremental Term Loans which are not separate Classes shall be ratably increased by the aggregate principal amount of such Incremental Term Loans for all Lenders on a pro rata basis to the extent necessary to avoid any reduction in the amortization payments to which the Term Lenders were entitled before such recalculation.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Evidence of Loans; Notes.</w:t>
      </w:r>
    </w:p>
    <w:p>
      <w:pPr>
        <w:spacing w:after="0" w:line="225" w:lineRule="exact"/>
        <w:rPr>
          <w:sz w:val="20"/>
          <w:szCs w:val="20"/>
          <w:color w:val="auto"/>
        </w:rPr>
      </w:pPr>
    </w:p>
    <w:p>
      <w:pPr>
        <w:ind w:left="-20" w:right="420" w:firstLine="464"/>
        <w:spacing w:after="0" w:line="277" w:lineRule="auto"/>
        <w:tabs>
          <w:tab w:leader="none" w:pos="6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Term Loans made by each Lender are evidenced by this Agreement and, if requested by such Lender, a Note payable to such Lender in an amount equal to the unpaid balance of the Term Loans held by such Lender.</w:t>
      </w:r>
    </w:p>
    <w:p>
      <w:pPr>
        <w:spacing w:after="0" w:line="170" w:lineRule="exact"/>
        <w:rPr>
          <w:rFonts w:ascii="Arial" w:cs="Arial" w:eastAsia="Arial" w:hAnsi="Arial"/>
          <w:sz w:val="18"/>
          <w:szCs w:val="18"/>
          <w:color w:val="auto"/>
        </w:rPr>
      </w:pPr>
    </w:p>
    <w:p>
      <w:pPr>
        <w:ind w:left="-20" w:right="60" w:firstLine="464"/>
        <w:spacing w:after="0" w:line="342" w:lineRule="auto"/>
        <w:tabs>
          <w:tab w:leader="none" w:pos="6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Revolving Loans and Swing Loans made by each Revolving Lender and the Swing Lender, respectively, are evidenced by this Agreement and, if requested by such Lender, a Note payable to such Lender in an amount equal to such Lender’s Revolving Loan Commitment or Swingline Commitment.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w:t>
      </w:r>
    </w:p>
    <w:p>
      <w:pPr>
        <w:spacing w:after="0" w:line="225" w:lineRule="exact"/>
        <w:rPr>
          <w:sz w:val="20"/>
          <w:szCs w:val="20"/>
          <w:color w:val="auto"/>
        </w:rPr>
      </w:pPr>
    </w:p>
    <w:p>
      <w:pPr>
        <w:ind w:left="-20" w:firstLine="464"/>
        <w:spacing w:after="0" w:line="291" w:lineRule="auto"/>
        <w:tabs>
          <w:tab w:leader="none" w:pos="6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2.3(d)</w:t>
      </w:r>
      <w:r>
        <w:rPr>
          <w:rFonts w:ascii="Arial" w:cs="Arial" w:eastAsia="Arial" w:hAnsi="Arial"/>
          <w:sz w:val="16"/>
          <w:szCs w:val="16"/>
          <w:color w:val="auto"/>
        </w:rPr>
        <w:t xml:space="preserve">, each Loan shall bear interest on the outstanding principal amount thereof from the date when made, and all interest which is not paid when due shall bear interest, at a rate per annum equal to LIBOR or the Base Rate, as the case may be,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provided Swing Loans may not be LIBOR Rate Loans. Each determination of an interest rate by Agent shall be conclusive and binding on the Borrower and the Lenders in the absence of manifest error. All computations of fees and interest (other than interest accruing on Base Rate Loans) payable under this Agreement shall be made on the basis of a 360-day year and actual days elapsed. All computations of interest accruing on Base Rate Loans payable under this Agreement shall be made on the basis of a 365-day year (366 days in the case of a leap year) and actual days elapsed. Interest and fees shall accrue during each period during which interest or such fees are computed from the first day thereof to the last day thereof.</w:t>
      </w:r>
    </w:p>
    <w:p>
      <w:pPr>
        <w:spacing w:after="0" w:line="167" w:lineRule="exact"/>
        <w:rPr>
          <w:rFonts w:ascii="Arial" w:cs="Arial" w:eastAsia="Arial" w:hAnsi="Arial"/>
          <w:sz w:val="16"/>
          <w:szCs w:val="16"/>
          <w:color w:val="auto"/>
        </w:rPr>
      </w:pPr>
    </w:p>
    <w:p>
      <w:pPr>
        <w:ind w:left="-20" w:firstLine="464"/>
        <w:spacing w:after="0" w:line="277" w:lineRule="auto"/>
        <w:tabs>
          <w:tab w:leader="none" w:pos="6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on each Loan shall be paid in arrears on each Interest Payment Date. Interest shall also be paid on the date of any payment or prepayment of Term Loans in full and Revolving Loans on the Revolving Termination Date.</w:t>
      </w:r>
    </w:p>
    <w:p>
      <w:pPr>
        <w:spacing w:after="0" w:line="170" w:lineRule="exact"/>
        <w:rPr>
          <w:rFonts w:ascii="Arial" w:cs="Arial" w:eastAsia="Arial" w:hAnsi="Arial"/>
          <w:sz w:val="18"/>
          <w:szCs w:val="18"/>
          <w:color w:val="auto"/>
        </w:rPr>
      </w:pPr>
    </w:p>
    <w:p>
      <w:pPr>
        <w:ind w:left="-20" w:right="40" w:firstLine="464"/>
        <w:spacing w:after="0" w:line="276" w:lineRule="auto"/>
        <w:tabs>
          <w:tab w:leader="none" w:pos="681"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At the election of Agent or the Required Lenders while any Specified Event of Default exists (or automatically while any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xml:space="preserve"> exists), the Borrower shall pay interest (after as well as before entry of judgment thereon to the extent permitted by law) on the Loans and past due interest thereon, if any, from and after the date of occurrence of such Specified Event of Default, at a rate per annum which is determined by adding two percent (2.0%) per annum to the Applicable Margin then in effect for such Loans (plus the LIBOR or Base Rate, as the case may be). All such interest shall be payable in cash on demand of Agent or the Required Lenders.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60" w:top="274" w:right="259" w:bottom="1440" w:gutter="0" w:footer="0" w:header="0"/>
        </w:sectPr>
      </w:pPr>
    </w:p>
    <w:bookmarkStart w:id="86" w:name="page87"/>
    <w:bookmarkEnd w:id="86"/>
    <w:p>
      <w:pPr>
        <w:ind w:left="-8" w:right="200" w:firstLine="464"/>
        <w:spacing w:after="0" w:line="271" w:lineRule="auto"/>
        <w:tabs>
          <w:tab w:leader="none" w:pos="703"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Anything herein to the contrary notwithstanding, the obligations of the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the Borrower shall pay such Lender interest at the highest rate permitted by applicable law (“</w:t>
      </w:r>
      <w:r>
        <w:rPr>
          <w:rFonts w:ascii="Arial" w:cs="Arial" w:eastAsia="Arial" w:hAnsi="Arial"/>
          <w:sz w:val="17"/>
          <w:szCs w:val="17"/>
          <w:b w:val="1"/>
          <w:bCs w:val="1"/>
          <w:color w:val="auto"/>
        </w:rPr>
        <w:t>Maximum Lawful Rate</w:t>
      </w:r>
      <w:r>
        <w:rPr>
          <w:rFonts w:ascii="Arial" w:cs="Arial" w:eastAsia="Arial" w:hAnsi="Arial"/>
          <w:sz w:val="17"/>
          <w:szCs w:val="17"/>
          <w:color w:val="auto"/>
        </w:rPr>
        <w:t>”); provided, however, that if at any time thereafter the rate of interest payable hereunder is less than the Maximum Lawful Rate, the Borrower shall continue to pay interest hereunder at the Maximum Lawful Rate until such time as the total interest received by Agent, on behalf of Lenders, is equal to the total interest that would have been received had the interest payable hereunder been (but for the operation of this paragraph) the interest rate payable since the Closing Date as otherwise provided in this Agreement.</w:t>
      </w:r>
    </w:p>
    <w:p>
      <w:pPr>
        <w:spacing w:after="0" w:line="17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Loan Accounts; Register.</w:t>
      </w:r>
    </w:p>
    <w:p>
      <w:pPr>
        <w:spacing w:after="0" w:line="225" w:lineRule="exact"/>
        <w:rPr>
          <w:sz w:val="20"/>
          <w:szCs w:val="20"/>
          <w:color w:val="auto"/>
        </w:rPr>
      </w:pPr>
    </w:p>
    <w:p>
      <w:pPr>
        <w:ind w:left="-8" w:right="180" w:firstLine="464"/>
        <w:spacing w:after="0" w:line="273" w:lineRule="auto"/>
        <w:tabs>
          <w:tab w:leader="none" w:pos="693" w:val="left"/>
        </w:tabs>
        <w:numPr>
          <w:ilvl w:val="1"/>
          <w:numId w:val="61"/>
        </w:numPr>
        <w:rPr>
          <w:rFonts w:ascii="Arial" w:cs="Arial" w:eastAsia="Arial" w:hAnsi="Arial"/>
          <w:sz w:val="17"/>
          <w:szCs w:val="17"/>
          <w:color w:val="auto"/>
        </w:rPr>
      </w:pPr>
      <w:r>
        <w:rPr>
          <w:rFonts w:ascii="Arial" w:cs="Arial" w:eastAsia="Arial" w:hAnsi="Arial"/>
          <w:sz w:val="17"/>
          <w:szCs w:val="17"/>
          <w:color w:val="auto"/>
        </w:rPr>
        <w:t>Agent, on behalf of the Lenders, shall record on its books and records the amount of each Loan made, the interest rate applicable, all payments of principal and interest thereon and the principal balance thereof from time to time outstanding. Agent shall deliver to the Borrower on a monthly basis a loan statement setting forth such record for the immediately preceding calendar month. Such record shall, absent manifest error, be conclusive evidence of the amount of the Loans made by the Lenders to the Borrower and the interest and payments thereon. Any failure to so record or any error in doing so, or any failure to deliver such loan statement shall not, however, limit or otherwise affect the obligation of the Borrower hereunder (and under any Note) to pay any amount owing with respect to the Loans or provide the basis for any claim against Agent.</w:t>
      </w:r>
    </w:p>
    <w:p>
      <w:pPr>
        <w:spacing w:after="0" w:line="178" w:lineRule="exact"/>
        <w:rPr>
          <w:rFonts w:ascii="Arial" w:cs="Arial" w:eastAsia="Arial" w:hAnsi="Arial"/>
          <w:sz w:val="17"/>
          <w:szCs w:val="17"/>
          <w:color w:val="auto"/>
        </w:rPr>
      </w:pPr>
    </w:p>
    <w:p>
      <w:pPr>
        <w:ind w:left="-8" w:firstLine="464"/>
        <w:spacing w:after="0" w:line="284" w:lineRule="auto"/>
        <w:tabs>
          <w:tab w:leader="none" w:pos="703"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Agent, acting as a non-fiduciary agent of the Borrower solely for tax purposes and solely with respect to the actions described in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establish and maintain at its address referred to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at such other address as Agent may notify the Borrower) (A) a record of ownership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in which Agent agrees to register by book entry the interests (including any rights to receive payment hereunder) of Agent, each Lender and each L/C Issuer in the Term Loans, Revolving Loans, Swing Loans, L/C Reimbursement Obligations and Letter of Credit Obligations, each of their obligations under this Agreement to participate in each Loan, Letter of Credit, Letter of Credit Obligations and L/C Reimbursement Obligations, and any assignment of any such interest, obligation or right and (B) accounts in the Register in accordance with its usual practice in which it shall record (1) the names and addresses of the Lenders and the L/C Issuers (and each change thereto pursuant to </w:t>
      </w:r>
      <w:r>
        <w:rPr>
          <w:rFonts w:ascii="Arial" w:cs="Arial" w:eastAsia="Arial" w:hAnsi="Arial"/>
          <w:sz w:val="16"/>
          <w:szCs w:val="16"/>
          <w:u w:val="single" w:color="auto"/>
          <w:color w:val="auto"/>
        </w:rPr>
        <w:t>Sections 10.9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10.20</w:t>
      </w:r>
      <w:r>
        <w:rPr>
          <w:rFonts w:ascii="Arial" w:cs="Arial" w:eastAsia="Arial" w:hAnsi="Arial"/>
          <w:sz w:val="16"/>
          <w:szCs w:val="16"/>
          <w:color w:val="auto"/>
        </w:rPr>
        <w:t>), (2) the Commitments of each Lender, (3) the amount of each Loan and each funding of any participation described in clause (A) above, and for LIBOR Rate Loans, the Interest Period applicable thereto,</w:t>
      </w:r>
    </w:p>
    <w:p>
      <w:pPr>
        <w:spacing w:after="0" w:line="1" w:lineRule="exact"/>
        <w:rPr>
          <w:rFonts w:ascii="Arial" w:cs="Arial" w:eastAsia="Arial" w:hAnsi="Arial"/>
          <w:sz w:val="16"/>
          <w:szCs w:val="16"/>
          <w:color w:val="auto"/>
        </w:rPr>
      </w:pPr>
    </w:p>
    <w:p>
      <w:pPr>
        <w:ind w:left="-8" w:right="120" w:firstLine="8"/>
        <w:spacing w:after="0" w:line="255" w:lineRule="auto"/>
        <w:tabs>
          <w:tab w:leader="none" w:pos="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of any principal or interest due and payable or paid, (5) the amount of the L/C Reimbursement Obligations due and payable or paid in respect of Letters of Credit and (6) any other payment received by Agent from the Borrower or other Credit Party and its application to the Obligations under the Loan Documents.</w:t>
      </w:r>
    </w:p>
    <w:p>
      <w:pPr>
        <w:spacing w:after="0" w:line="190" w:lineRule="exact"/>
        <w:rPr>
          <w:rFonts w:ascii="Arial" w:cs="Arial" w:eastAsia="Arial" w:hAnsi="Arial"/>
          <w:sz w:val="18"/>
          <w:szCs w:val="18"/>
          <w:color w:val="auto"/>
        </w:rPr>
      </w:pPr>
    </w:p>
    <w:p>
      <w:pPr>
        <w:ind w:left="-8" w:right="140" w:firstLine="464"/>
        <w:spacing w:after="0" w:line="273" w:lineRule="auto"/>
        <w:tabs>
          <w:tab w:leader="none" w:pos="693"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the Loans (including any Notes evidencing such Loans and, in the case of Revolving Loans, the corresponding obligations to participate in Letter of Credit Obligations and Swing Loans) and the L/C Reimbursement Obligations are registered obligations, the right, title and interest of the Lenders and the L/C Issuers and their assignees in and to such Loans or L/C Reimbursement Obligations, as the case may be, shall be transferable only upon notation of such transfer in the Register and no assignment thereof shall be effective until recorded therein.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shall be construed so that the Loans and L/C Reimbursement Obligations are at all times maintained in “registered form” within the meaning of Sections 163(f), 871(h)(2) and 881(c)(2) of the Code.</w:t>
      </w:r>
    </w:p>
    <w:p>
      <w:pPr>
        <w:spacing w:after="0" w:line="178" w:lineRule="exact"/>
        <w:rPr>
          <w:rFonts w:ascii="Arial" w:cs="Arial" w:eastAsia="Arial" w:hAnsi="Arial"/>
          <w:sz w:val="17"/>
          <w:szCs w:val="17"/>
          <w:color w:val="auto"/>
        </w:rPr>
      </w:pPr>
    </w:p>
    <w:p>
      <w:pPr>
        <w:ind w:left="-8" w:right="40" w:firstLine="464"/>
        <w:spacing w:after="0" w:line="276" w:lineRule="auto"/>
        <w:tabs>
          <w:tab w:leader="none" w:pos="703"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Credit Parties, Agent, the Lenders and the L/C Issuers shall treat each Person whose name is recorded in the Register as a Lender or L/C Issuer, as applicable, for all purposes of this Agreement. Information contained in the Register with respect to any Lender or any L/C Issuer shall be available for access by the Borrower, Agent, such Lender or such L/C Issuer during normal business hours and from time to time upon at least one Business Day’s prior notice. No Lender or L/C Issuer shall, in such capacity, have access to or be otherwise permitted to review any information in the Register other than information with respect to such Lender or L/C Issuer unless otherwise agreed by the Agent.</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12"/>
          </w:cols>
          <w:pgMar w:left="248" w:top="274" w:right="239" w:bottom="1440" w:gutter="0" w:footer="0" w:header="0"/>
        </w:sectPr>
      </w:pPr>
    </w:p>
    <w:bookmarkStart w:id="87" w:name="page88"/>
    <w:bookmarkEnd w:id="8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u w:val="single" w:color="auto"/>
          <w:color w:val="auto"/>
        </w:rPr>
        <w:t>Procedure for Borrowing</w:t>
      </w:r>
    </w:p>
    <w:p>
      <w:pPr>
        <w:spacing w:after="0" w:line="225" w:lineRule="exact"/>
        <w:rPr>
          <w:sz w:val="20"/>
          <w:szCs w:val="20"/>
          <w:color w:val="auto"/>
        </w:rPr>
      </w:pPr>
    </w:p>
    <w:p>
      <w:pPr>
        <w:ind w:left="-8" w:right="20" w:firstLine="464"/>
        <w:spacing w:after="0" w:line="288" w:lineRule="auto"/>
        <w:tabs>
          <w:tab w:leader="none" w:pos="693"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Each Borrowing of a Revolving Loan or Term Loan shall be made upon the Borrower’s irrevocable (subject to </w:t>
      </w:r>
      <w:r>
        <w:rPr>
          <w:rFonts w:ascii="Arial" w:cs="Arial" w:eastAsia="Arial" w:hAnsi="Arial"/>
          <w:sz w:val="16"/>
          <w:szCs w:val="16"/>
          <w:u w:val="single" w:color="auto"/>
          <w:color w:val="auto"/>
        </w:rPr>
        <w:t>Section 11.5</w:t>
      </w:r>
      <w:r>
        <w:rPr>
          <w:rFonts w:ascii="Arial" w:cs="Arial" w:eastAsia="Arial" w:hAnsi="Arial"/>
          <w:sz w:val="16"/>
          <w:szCs w:val="16"/>
          <w:color w:val="auto"/>
        </w:rPr>
        <w:t>) written notice delivered to Agent substantially in the form of a Notice of Borrowing or in a writing in any other form acceptable to Agent, which notice must be received by Agent (i) prior to 2:00 p.m. on the date which is three (3) Business Days prior to the requested Borrowing date in the case of each LIBOR Rate Loan and</w:t>
      </w:r>
    </w:p>
    <w:p>
      <w:pPr>
        <w:ind w:left="272" w:hanging="272"/>
        <w:spacing w:after="0"/>
        <w:tabs>
          <w:tab w:leader="none" w:pos="2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prior to 12:00 pm on the date of the requested Borrowing date of each Base Rate Loan. Such Notice of Borrowing shall specify:</w:t>
      </w:r>
    </w:p>
    <w:p>
      <w:pPr>
        <w:spacing w:after="0" w:line="102" w:lineRule="exact"/>
        <w:rPr>
          <w:rFonts w:ascii="Arial" w:cs="Arial" w:eastAsia="Arial" w:hAnsi="Arial"/>
          <w:sz w:val="18"/>
          <w:szCs w:val="18"/>
          <w:color w:val="auto"/>
        </w:rPr>
      </w:pPr>
    </w:p>
    <w:p>
      <w:pPr>
        <w:ind w:left="912" w:right="360" w:firstLine="421"/>
        <w:spacing w:after="0" w:line="277" w:lineRule="auto"/>
        <w:tabs>
          <w:tab w:leader="none" w:pos="1547"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amount of the Borrowing (which, if a Revolving Loan shall be in an aggregate minimum principal amount of $500,000, and if a Term Loan, shall be in an aggregate minimum amount of $5,000,000);</w:t>
      </w:r>
    </w:p>
    <w:p>
      <w:pPr>
        <w:spacing w:after="0" w:line="62" w:lineRule="exact"/>
        <w:rPr>
          <w:rFonts w:ascii="Arial" w:cs="Arial" w:eastAsia="Arial" w:hAnsi="Arial"/>
          <w:sz w:val="18"/>
          <w:szCs w:val="18"/>
          <w:color w:val="auto"/>
        </w:rPr>
      </w:pPr>
    </w:p>
    <w:p>
      <w:pPr>
        <w:ind w:left="1592" w:hanging="259"/>
        <w:spacing w:after="0"/>
        <w:tabs>
          <w:tab w:leader="none" w:pos="159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requested Borrowing date, which shall be a Business Day;</w:t>
      </w:r>
    </w:p>
    <w:p>
      <w:pPr>
        <w:spacing w:after="0" w:line="117" w:lineRule="exact"/>
        <w:rPr>
          <w:rFonts w:ascii="Arial" w:cs="Arial" w:eastAsia="Arial" w:hAnsi="Arial"/>
          <w:sz w:val="18"/>
          <w:szCs w:val="18"/>
          <w:color w:val="auto"/>
        </w:rPr>
      </w:pPr>
    </w:p>
    <w:p>
      <w:pPr>
        <w:ind w:left="1652" w:hanging="319"/>
        <w:spacing w:after="0"/>
        <w:tabs>
          <w:tab w:leader="none" w:pos="1652" w:val="left"/>
        </w:tabs>
        <w:numPr>
          <w:ilvl w:val="2"/>
          <w:numId w:val="64"/>
        </w:numPr>
        <w:rPr>
          <w:rFonts w:ascii="Arial" w:cs="Arial" w:eastAsia="Arial" w:hAnsi="Arial"/>
          <w:sz w:val="18"/>
          <w:szCs w:val="18"/>
          <w:color w:val="auto"/>
        </w:rPr>
      </w:pPr>
      <w:r>
        <w:rPr>
          <w:rFonts w:ascii="Arial" w:cs="Arial" w:eastAsia="Arial" w:hAnsi="Arial"/>
          <w:sz w:val="18"/>
          <w:szCs w:val="18"/>
          <w:color w:val="auto"/>
        </w:rPr>
        <w:t>the Class of Loans comprising such Borrowing;</w:t>
      </w:r>
    </w:p>
    <w:p>
      <w:pPr>
        <w:spacing w:after="0" w:line="117" w:lineRule="exact"/>
        <w:rPr>
          <w:rFonts w:ascii="Arial" w:cs="Arial" w:eastAsia="Arial" w:hAnsi="Arial"/>
          <w:sz w:val="18"/>
          <w:szCs w:val="18"/>
          <w:color w:val="auto"/>
        </w:rPr>
      </w:pPr>
    </w:p>
    <w:p>
      <w:pPr>
        <w:ind w:left="1632" w:hanging="299"/>
        <w:spacing w:after="0"/>
        <w:tabs>
          <w:tab w:leader="none" w:pos="1632" w:val="left"/>
        </w:tabs>
        <w:numPr>
          <w:ilvl w:val="2"/>
          <w:numId w:val="64"/>
        </w:numPr>
        <w:rPr>
          <w:rFonts w:ascii="Arial" w:cs="Arial" w:eastAsia="Arial" w:hAnsi="Arial"/>
          <w:sz w:val="18"/>
          <w:szCs w:val="18"/>
          <w:color w:val="auto"/>
        </w:rPr>
      </w:pPr>
      <w:r>
        <w:rPr>
          <w:rFonts w:ascii="Arial" w:cs="Arial" w:eastAsia="Arial" w:hAnsi="Arial"/>
          <w:sz w:val="18"/>
          <w:szCs w:val="18"/>
          <w:color w:val="auto"/>
        </w:rPr>
        <w:t>whether the Borrowing is to be comprised of LIBOR Rate Loans or Base Rate Loans; and</w:t>
      </w:r>
    </w:p>
    <w:p>
      <w:pPr>
        <w:spacing w:after="0" w:line="117" w:lineRule="exact"/>
        <w:rPr>
          <w:rFonts w:ascii="Arial" w:cs="Arial" w:eastAsia="Arial" w:hAnsi="Arial"/>
          <w:sz w:val="18"/>
          <w:szCs w:val="18"/>
          <w:color w:val="auto"/>
        </w:rPr>
      </w:pPr>
    </w:p>
    <w:p>
      <w:pPr>
        <w:ind w:left="1592" w:hanging="259"/>
        <w:spacing w:after="0"/>
        <w:tabs>
          <w:tab w:leader="none" w:pos="1592" w:val="left"/>
        </w:tabs>
        <w:numPr>
          <w:ilvl w:val="2"/>
          <w:numId w:val="64"/>
        </w:numPr>
        <w:rPr>
          <w:rFonts w:ascii="Arial" w:cs="Arial" w:eastAsia="Arial" w:hAnsi="Arial"/>
          <w:sz w:val="18"/>
          <w:szCs w:val="18"/>
          <w:color w:val="auto"/>
        </w:rPr>
      </w:pPr>
      <w:r>
        <w:rPr>
          <w:rFonts w:ascii="Arial" w:cs="Arial" w:eastAsia="Arial" w:hAnsi="Arial"/>
          <w:sz w:val="18"/>
          <w:szCs w:val="18"/>
          <w:color w:val="auto"/>
        </w:rPr>
        <w:t>if the Borrowing is to be comprised of LIBOR Rate Loans, the Interest Period applicable to such Loans.</w:t>
      </w:r>
    </w:p>
    <w:p>
      <w:pPr>
        <w:spacing w:after="0" w:line="225" w:lineRule="exact"/>
        <w:rPr>
          <w:rFonts w:ascii="Arial" w:cs="Arial" w:eastAsia="Arial" w:hAnsi="Arial"/>
          <w:sz w:val="18"/>
          <w:szCs w:val="18"/>
          <w:color w:val="auto"/>
        </w:rPr>
      </w:pPr>
    </w:p>
    <w:p>
      <w:pPr>
        <w:ind w:left="-8" w:right="460" w:firstLine="464"/>
        <w:spacing w:after="0" w:line="277" w:lineRule="auto"/>
        <w:tabs>
          <w:tab w:leader="none" w:pos="703"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receipt of a Notice of Borrowing, Agent will promptly notify each Revolving Lender and Term Lender, as applicable, of such Notice of Borrowing and of the amount of such Lender’s Commitment Percentage of the Borrowing.</w:t>
      </w:r>
    </w:p>
    <w:p>
      <w:pPr>
        <w:spacing w:after="0" w:line="170" w:lineRule="exact"/>
        <w:rPr>
          <w:rFonts w:ascii="Arial" w:cs="Arial" w:eastAsia="Arial" w:hAnsi="Arial"/>
          <w:sz w:val="18"/>
          <w:szCs w:val="18"/>
          <w:color w:val="auto"/>
        </w:rPr>
      </w:pPr>
    </w:p>
    <w:p>
      <w:pPr>
        <w:ind w:left="-8" w:right="80" w:firstLine="464"/>
        <w:spacing w:after="0" w:line="264" w:lineRule="auto"/>
        <w:tabs>
          <w:tab w:leader="none" w:pos="693" w:val="left"/>
        </w:tabs>
        <w:numPr>
          <w:ilvl w:val="1"/>
          <w:numId w:val="64"/>
        </w:numPr>
        <w:rPr>
          <w:rFonts w:ascii="Arial" w:cs="Arial" w:eastAsia="Arial" w:hAnsi="Arial"/>
          <w:sz w:val="18"/>
          <w:szCs w:val="18"/>
          <w:color w:val="auto"/>
        </w:rPr>
      </w:pPr>
      <w:r>
        <w:rPr>
          <w:rFonts w:ascii="Arial" w:cs="Arial" w:eastAsia="Arial" w:hAnsi="Arial"/>
          <w:sz w:val="18"/>
          <w:szCs w:val="18"/>
          <w:color w:val="auto"/>
        </w:rPr>
        <w:t>Unless Agent is otherwise directed in writing by the Borrower, the proceeds of each requested Borrowing after the Closing Date will be made available to the Borrower by Agent by wire transfer of such amount to the Borrower pursuant to the wire transfer instructions specified on the signature page hereto.</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Conversion and Continuation Elections</w:t>
      </w:r>
    </w:p>
    <w:p>
      <w:pPr>
        <w:spacing w:after="0" w:line="225" w:lineRule="exact"/>
        <w:rPr>
          <w:sz w:val="20"/>
          <w:szCs w:val="20"/>
          <w:color w:val="auto"/>
        </w:rPr>
      </w:pPr>
    </w:p>
    <w:p>
      <w:pPr>
        <w:ind w:left="-8" w:firstLine="464"/>
        <w:spacing w:after="0" w:line="290" w:lineRule="auto"/>
        <w:tabs>
          <w:tab w:leader="none" w:pos="693"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Subject to the last sentence of this </w:t>
      </w:r>
      <w:r>
        <w:rPr>
          <w:rFonts w:ascii="Arial" w:cs="Arial" w:eastAsia="Arial" w:hAnsi="Arial"/>
          <w:sz w:val="16"/>
          <w:szCs w:val="16"/>
          <w:u w:val="single" w:color="auto"/>
          <w:color w:val="auto"/>
        </w:rPr>
        <w:t>Section 2.6(a)</w:t>
      </w:r>
      <w:r>
        <w:rPr>
          <w:rFonts w:ascii="Arial" w:cs="Arial" w:eastAsia="Arial" w:hAnsi="Arial"/>
          <w:sz w:val="16"/>
          <w:szCs w:val="16"/>
          <w:color w:val="auto"/>
        </w:rPr>
        <w:t xml:space="preserve">, the Borrower shall have the option to (i) request that any Revolving Loan be made as a LIBOR Rate Loan, (ii) convert at any time all or any part of outstanding Loans (other than Swing Loans) from Base Rate Loans to LIBOR Rate Loans, (iii) convert any LIBOR Rate Loan to a Base Rate Loan,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if such conversion is made prior to the expiration of the Interest Period applicable thereto, or (iv) continue all or any portion of any Loan as a LIBOR Rate Loan upon the expiration of the applicable Interest Period. Any such election must be made by the Borrower by 2:00 p.m. on the third Business Day prior to (1) the date of any proposed Loan which is to bear interest at LIBOR, (2) the end of each Interest Period with respect to any LIBOR Rate Loans to be continued as such, or (3) the date on which the Borrower wishes to convert any Base Rate Loan to a LIBOR Rate Loan for an Interest Period designated by the Borrower in such election. If no election is received with respect to a LIBOR Rate Loan by 2:00 p.m. on the third Business Day prior to the end of the Interest Period with respect thereto, that LIBOR Rate Loan shall (x) continue with the</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72"/>
          </w:cols>
          <w:pgMar w:left="248" w:top="274" w:right="279" w:bottom="1440" w:gutter="0" w:footer="0" w:header="0"/>
        </w:sectPr>
      </w:pPr>
    </w:p>
    <w:bookmarkStart w:id="88" w:name="page89"/>
    <w:bookmarkEnd w:id="8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being deemed to have selected an Interest Period of one month’s duration if no Event of Default has occurred and is continuing and (y) otherwise be converted to a Base Rate Loan. The Borrower must make such election by notice to Agent in writing, including by Electronic Transmission. In the case of any conversion or continuation, such election must be made pursuant to a written notice (a “</w:t>
      </w:r>
      <w:r>
        <w:rPr>
          <w:rFonts w:ascii="Arial" w:cs="Arial" w:eastAsia="Arial" w:hAnsi="Arial"/>
          <w:sz w:val="16"/>
          <w:szCs w:val="16"/>
          <w:b w:val="1"/>
          <w:bCs w:val="1"/>
          <w:color w:val="auto"/>
        </w:rPr>
        <w:t>Notice of Conversion/Continuation</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2.6</w:t>
      </w:r>
      <w:r>
        <w:rPr>
          <w:rFonts w:ascii="Arial" w:cs="Arial" w:eastAsia="Arial" w:hAnsi="Arial"/>
          <w:sz w:val="16"/>
          <w:szCs w:val="16"/>
          <w:color w:val="auto"/>
        </w:rPr>
        <w:t xml:space="preserve"> or in a writing in any other form acceptable to Agent. No Loan shall be made, converted into or continued as a LIBOR Rate Loan, if (x) an Event of Default has occurred and is continuing and Agent or Required Lenders have determined not to make or continue any Loan as a LIBOR Rate Loan as a result thereof or (y) Agent is or Required Lenders are stayed by the Bankruptcy Code from making such determination.</w:t>
      </w:r>
    </w:p>
    <w:p>
      <w:pPr>
        <w:spacing w:after="0" w:line="165" w:lineRule="exact"/>
        <w:rPr>
          <w:sz w:val="20"/>
          <w:szCs w:val="20"/>
          <w:color w:val="auto"/>
        </w:rPr>
      </w:pPr>
    </w:p>
    <w:p>
      <w:pPr>
        <w:ind w:right="300" w:firstLine="464"/>
        <w:spacing w:after="0" w:line="279" w:lineRule="auto"/>
        <w:tabs>
          <w:tab w:leader="none" w:pos="7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receipt of a Notice of Conversion/Continuation, Agent will promptly notify each Lender thereof. In addition, Agent will, with reasonable promptness, notify the Borrower and the Lenders of each determination of LIBOR; provided that any failure to do so shall not relieve the Borrower of any liability hereunder or provide the basis for any claim against Agent. All conversions and continuations shall be made pro rata according to the respective outstanding principal amounts of the Loans held by each Lender with respect to which the notice was given.</w:t>
      </w:r>
    </w:p>
    <w:p>
      <w:pPr>
        <w:spacing w:after="0" w:line="171" w:lineRule="exact"/>
        <w:rPr>
          <w:rFonts w:ascii="Arial" w:cs="Arial" w:eastAsia="Arial" w:hAnsi="Arial"/>
          <w:sz w:val="17"/>
          <w:szCs w:val="17"/>
          <w:color w:val="auto"/>
        </w:rPr>
      </w:pPr>
    </w:p>
    <w:p>
      <w:pPr>
        <w:ind w:right="10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 other provision contained in this Agreement, after giving effect to any Borrowing, or to any continuation or conversion of any Loans, there shall not be more than seven (7) different Interest Periods in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Optional Prepayments and Reductions in Revolving Loan Commitments</w:t>
      </w:r>
    </w:p>
    <w:p>
      <w:pPr>
        <w:spacing w:after="0" w:line="225" w:lineRule="exact"/>
        <w:rPr>
          <w:sz w:val="20"/>
          <w:szCs w:val="20"/>
          <w:color w:val="auto"/>
        </w:rPr>
      </w:pPr>
    </w:p>
    <w:p>
      <w:pPr>
        <w:ind w:right="60" w:firstLine="464"/>
        <w:spacing w:after="0" w:line="254" w:lineRule="auto"/>
        <w:tabs>
          <w:tab w:leader="none" w:pos="70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Optional Prepayments Generally</w:t>
      </w:r>
      <w:r>
        <w:rPr>
          <w:rFonts w:ascii="Arial" w:cs="Arial" w:eastAsia="Arial" w:hAnsi="Arial"/>
          <w:sz w:val="18"/>
          <w:szCs w:val="18"/>
          <w:color w:val="auto"/>
        </w:rPr>
        <w:t xml:space="preserve">. The Borrower may at any time upon at least two (2) Business Days’ (or such shorter period as is acceptable to Agent) prior written notice by the Borrower to Agent, prepay the Loans in whole or in part in an amount greater than or equal to $100,000 (other than Revolving Loans and Swing Loans for which prior written notice is not required and for which no minimum shall apply), in each instance, without penalty or premium except as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Optional partial prepayments of Revolving Loans shall be applied in accordance with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Optional partial prepayments of Term Loans shall be applied pro rata among each Class of Term Loans based upon the respective outstanding principal balances thereof, and then shall, subject to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be applied to scheduled installments thereof, if any, as specified by the Borrower in such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same order of application shall apply to each Class of Term Loan and, in the absence of such direction, in the manner set forth in </w:t>
      </w:r>
      <w:r>
        <w:rPr>
          <w:rFonts w:ascii="Arial" w:cs="Arial" w:eastAsia="Arial" w:hAnsi="Arial"/>
          <w:sz w:val="18"/>
          <w:szCs w:val="18"/>
          <w:u w:val="single" w:color="auto"/>
          <w:color w:val="auto"/>
        </w:rPr>
        <w:t>Section 2.8(e)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720" w:hanging="256"/>
        <w:spacing w:after="0"/>
        <w:tabs>
          <w:tab w:leader="none" w:pos="7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Reductions in Commitments.</w:t>
      </w:r>
    </w:p>
    <w:p>
      <w:pPr>
        <w:spacing w:after="0" w:line="117" w:lineRule="exact"/>
        <w:rPr>
          <w:rFonts w:ascii="Arial" w:cs="Arial" w:eastAsia="Arial" w:hAnsi="Arial"/>
          <w:sz w:val="18"/>
          <w:szCs w:val="18"/>
          <w:color w:val="auto"/>
        </w:rPr>
      </w:pPr>
    </w:p>
    <w:p>
      <w:pPr>
        <w:ind w:left="920" w:right="40" w:firstLine="421"/>
        <w:spacing w:after="0" w:line="291" w:lineRule="auto"/>
        <w:tabs>
          <w:tab w:leader="none" w:pos="1555"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Reductions in Revolving Loan Commitments</w:t>
      </w:r>
      <w:r>
        <w:rPr>
          <w:rFonts w:ascii="Arial" w:cs="Arial" w:eastAsia="Arial" w:hAnsi="Arial"/>
          <w:sz w:val="16"/>
          <w:szCs w:val="16"/>
          <w:color w:val="auto"/>
        </w:rPr>
        <w:t>. The Borrower may at any time upon at least two (2) Business Days’ (or such shorter period as is acceptable to Agent) prior written notice by the Borrower to Agent permanently reduce the Aggregate Revolving Loan Commitment; provided that (i) such reductions shall be in an amount greater than or equal to $500,000, and (ii) after giving effect to such reduction, Revolving Availability shall be not less than $50,000,000. All reductions of the Aggregate Revolving Loan Commitment shall be allocated pro rata among all Lenders with a Revolving Loan Commitment. A permanent reduction of the Aggregate Revolving Loan Commitment shall not require a corresponding pro rata reduction in the L/C Sublimit or the Swingline Commitment; provided that the L/C Sublimit and/or the Swingline Commitment, as applicable, shall be permanently reduced by the amount thereof in excess of the Aggregate Revolving Loan Commitment.</w:t>
      </w:r>
    </w:p>
    <w:p>
      <w:pPr>
        <w:spacing w:after="0" w:line="59" w:lineRule="exact"/>
        <w:rPr>
          <w:rFonts w:ascii="Arial" w:cs="Arial" w:eastAsia="Arial" w:hAnsi="Arial"/>
          <w:sz w:val="16"/>
          <w:szCs w:val="16"/>
          <w:color w:val="auto"/>
        </w:rPr>
      </w:pPr>
    </w:p>
    <w:p>
      <w:pPr>
        <w:ind w:left="920" w:right="280" w:firstLine="421"/>
        <w:spacing w:after="0" w:line="264" w:lineRule="auto"/>
        <w:tabs>
          <w:tab w:leader="none" w:pos="160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Reductions in Initial Term Loan Commitments</w:t>
      </w:r>
      <w:r>
        <w:rPr>
          <w:rFonts w:ascii="Arial" w:cs="Arial" w:eastAsia="Arial" w:hAnsi="Arial"/>
          <w:sz w:val="18"/>
          <w:szCs w:val="18"/>
          <w:color w:val="auto"/>
        </w:rPr>
        <w:t>. The Borrower may at any time upon at least two (2) Business Days’ (or such shorter period as is acceptable to Agent) prior written notice by the Borrower to Agent permanently reduce the Aggregate Initial Term Loan Commitment; provided that such reductions shall be in an amount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89" w:name="page90"/>
    <w:bookmarkEnd w:id="89"/>
    <w:p>
      <w:pPr>
        <w:ind w:left="900"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greater than or equal to $500,000 or, if less, the remaining Aggregate Initial Term Loan Commitment. All reductions of the Aggregate Initial Term Loan Commitment shall be allocated pro rata among all Term Lenders holding Initial Term Loan Commitments.</w:t>
      </w:r>
    </w:p>
    <w:p>
      <w:pPr>
        <w:spacing w:after="0" w:line="147" w:lineRule="exact"/>
        <w:rPr>
          <w:sz w:val="20"/>
          <w:szCs w:val="20"/>
          <w:color w:val="auto"/>
        </w:rPr>
      </w:pPr>
    </w:p>
    <w:p>
      <w:pPr>
        <w:ind w:left="-20" w:right="20" w:firstLine="464"/>
        <w:spacing w:after="0" w:line="255" w:lineRule="auto"/>
        <w:tabs>
          <w:tab w:leader="none" w:pos="681"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 of prepayment or commitment reduction pursuant to clauses (a) and (b) above shall not thereafter be revocable by the Borrower (unless such notice expressly conditions such prepayment upon consummation of a transaction which is contemplated to result in prepayment of the Loans, in which event such notice may be revocable or conditioned upon such consummation) and Agent will promptly notify each Lender thereof and of such Lender’s Commitment Percentage of such prepayment or reduction. The payment amount specified in a notice of prepayment or reduction shall be due and payable on the date specified therein. Together with each prepayment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Borrower shall pay any amounts required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Mandatory Prepayments of Loans and Commitment Reductions</w:t>
      </w:r>
    </w:p>
    <w:p>
      <w:pPr>
        <w:spacing w:after="0" w:line="225" w:lineRule="exact"/>
        <w:rPr>
          <w:sz w:val="20"/>
          <w:szCs w:val="20"/>
          <w:color w:val="auto"/>
        </w:rPr>
      </w:pPr>
    </w:p>
    <w:p>
      <w:pPr>
        <w:ind w:left="680" w:hanging="23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Scheduled Term Loan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20" w:firstLine="421"/>
        <w:spacing w:after="0" w:line="302" w:lineRule="auto"/>
        <w:tabs>
          <w:tab w:leader="none" w:pos="153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principal amount of the Initial Term Loans shall be paid by the Borrower in installments on each January 1, April 1, July 1 and October 1 (commencing with October 1, 2017), each such installments to be equal to 1.25% of the aggregate original principal amount of Initial Loans that have been funded hereunder. The final scheduled installment of all Initial Term Loans shall, in any event, be in an amount equal to the entire remaining principal balance of the Initial Term Loans and shall be due and payable in full on the Term Loan Maturity Date.</w:t>
      </w:r>
    </w:p>
    <w:p>
      <w:pPr>
        <w:spacing w:after="0" w:line="46" w:lineRule="exact"/>
        <w:rPr>
          <w:rFonts w:ascii="Arial" w:cs="Arial" w:eastAsia="Arial" w:hAnsi="Arial"/>
          <w:sz w:val="16"/>
          <w:szCs w:val="16"/>
          <w:color w:val="auto"/>
        </w:rPr>
      </w:pPr>
    </w:p>
    <w:p>
      <w:pPr>
        <w:ind w:left="1580" w:hanging="259"/>
        <w:spacing w:after="0"/>
        <w:tabs>
          <w:tab w:leader="none" w:pos="15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Scheduled installments for any Incremental Term Loan shall be as specified in the applicable amendment or joinder agreement.</w:t>
      </w:r>
    </w:p>
    <w:p>
      <w:pPr>
        <w:spacing w:after="0" w:line="236" w:lineRule="exact"/>
        <w:rPr>
          <w:rFonts w:ascii="Arial" w:cs="Arial" w:eastAsia="Arial" w:hAnsi="Arial"/>
          <w:sz w:val="17"/>
          <w:szCs w:val="17"/>
          <w:color w:val="auto"/>
        </w:rPr>
      </w:pPr>
    </w:p>
    <w:p>
      <w:pPr>
        <w:ind w:left="-20" w:right="380" w:firstLine="464"/>
        <w:spacing w:after="0" w:line="308" w:lineRule="auto"/>
        <w:tabs>
          <w:tab w:leader="none" w:pos="691"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Revolving Loan</w:t>
      </w:r>
      <w:r>
        <w:rPr>
          <w:rFonts w:ascii="Arial" w:cs="Arial" w:eastAsia="Arial" w:hAnsi="Arial"/>
          <w:sz w:val="17"/>
          <w:szCs w:val="17"/>
          <w:color w:val="auto"/>
        </w:rPr>
        <w:t>. The Borrower shall repay to the Lenders in full on the date specified in clause (a) of the definition of “Revolving Termination Date” the aggregate principal amount of the Revolving Loans and Swing Loans outstanding on the Revolving Termination Date.</w:t>
      </w:r>
    </w:p>
    <w:p>
      <w:pPr>
        <w:spacing w:after="0" w:line="146" w:lineRule="exact"/>
        <w:rPr>
          <w:rFonts w:ascii="Arial" w:cs="Arial" w:eastAsia="Arial" w:hAnsi="Arial"/>
          <w:sz w:val="17"/>
          <w:szCs w:val="17"/>
          <w:color w:val="auto"/>
        </w:rPr>
      </w:pPr>
    </w:p>
    <w:p>
      <w:pPr>
        <w:ind w:left="680" w:hanging="23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Asset Dispositions; Events of Loss</w:t>
      </w:r>
      <w:r>
        <w:rPr>
          <w:rFonts w:ascii="Arial" w:cs="Arial" w:eastAsia="Arial" w:hAnsi="Arial"/>
          <w:sz w:val="18"/>
          <w:szCs w:val="18"/>
          <w:color w:val="auto"/>
        </w:rPr>
        <w:t>. If a Credit Party or any Restricted Subsidiary shall at any time or from time to time:</w:t>
      </w:r>
    </w:p>
    <w:p>
      <w:pPr>
        <w:spacing w:after="0" w:line="117" w:lineRule="exact"/>
        <w:rPr>
          <w:rFonts w:ascii="Arial" w:cs="Arial" w:eastAsia="Arial" w:hAnsi="Arial"/>
          <w:sz w:val="18"/>
          <w:szCs w:val="18"/>
          <w:color w:val="auto"/>
        </w:rPr>
      </w:pPr>
    </w:p>
    <w:p>
      <w:pPr>
        <w:ind w:left="1540" w:hanging="219"/>
        <w:spacing w:after="0"/>
        <w:tabs>
          <w:tab w:leader="none" w:pos="15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make a Disposition (other than sales or other dispositions expressly permitted under </w:t>
      </w:r>
      <w:r>
        <w:rPr>
          <w:rFonts w:ascii="Arial" w:cs="Arial" w:eastAsia="Arial" w:hAnsi="Arial"/>
          <w:sz w:val="16"/>
          <w:szCs w:val="16"/>
          <w:u w:val="single" w:color="auto"/>
          <w:color w:val="auto"/>
        </w:rPr>
        <w:t>Sections 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6.2(c</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6.2(l)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6.2(n)</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1580" w:hanging="259"/>
        <w:spacing w:after="0"/>
        <w:tabs>
          <w:tab w:leader="none" w:pos="1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suffer an Event of Loss;</w:t>
      </w:r>
    </w:p>
    <w:p>
      <w:pPr>
        <w:spacing w:after="0" w:line="117"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color w:val="auto"/>
        </w:rPr>
        <w:t xml:space="preserve">and the aggregate amount of the Net Proceeds received by the Credit Parties and their Restricted Subsidiaries in connection with such Disposition or Event of Loss and all other such Dispositions and Events of Loss occurring during the Fiscal Year exceeds $2,000,000, then (A) the Borrower shall promptly notify Agent of such proposed Disposition or Event of Loss (including the amount of the estimated Net Proceeds to be received by a Credit Party and/or such Restricted Subsidiary in respect thereof) and (B) promptly upon receipt by a Credit Party and/or such Restricted Subsidiary of the Net Proceeds of such Disposition or Event of Loss, the Borrower shall deliver, or cause to be delivered, such excess Net Proceeds to Agent for distribution to the Lenders as a prepayment of the Loans, which prepayment shall be applied in accordance with </w:t>
      </w:r>
      <w:r>
        <w:rPr>
          <w:rFonts w:ascii="Arial" w:cs="Arial" w:eastAsia="Arial" w:hAnsi="Arial"/>
          <w:sz w:val="17"/>
          <w:szCs w:val="17"/>
          <w:u w:val="single" w:color="auto"/>
          <w:color w:val="auto"/>
        </w:rPr>
        <w:t>Section 2.8(e)</w:t>
      </w:r>
      <w:r>
        <w:rPr>
          <w:rFonts w:ascii="Arial" w:cs="Arial" w:eastAsia="Arial" w:hAnsi="Arial"/>
          <w:sz w:val="17"/>
          <w:szCs w:val="17"/>
          <w:color w:val="auto"/>
        </w:rPr>
        <w:t xml:space="preserve"> hereof. Notwithstanding the foregoing and provided no Event of Default has occurred and is continuing, such prepayment shall not be required to the extent a Credit Party or such Restricted Subsidiary reinvests the Net Proceeds of such Disposition or Event of Loss in (x) productive assets (other than Inventory (except to the extent Inventory was subject to such an Event of Loss)) of a kind then used or usable in the business of the Borrower or such Restricted Subsidiary or (y)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60" w:top="274" w:right="259" w:bottom="1440" w:gutter="0" w:footer="0" w:header="0"/>
        </w:sectPr>
      </w:pPr>
    </w:p>
    <w:bookmarkStart w:id="90" w:name="page91"/>
    <w:bookmarkEnd w:id="90"/>
    <w:p>
      <w:pPr>
        <w:jc w:val="both"/>
        <w:ind w:left="420"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Acquisitions, within one hundred eighty (180) days after the date of such Disposition or Event of Loss, or enters into a binding commitment thereof within said one hundred eighty (180) day period and subsequently makes such reinvestment within an additional one hundred eighty (180) days thereafter; provided that the Borrower notifies Agent of the Borrower’s or such Restricted Subsidiary’s intent to reinvest and of the completion of such reinvestment at the time such proceeds are received and when such reinvestment occurs, respectively.</w:t>
      </w:r>
    </w:p>
    <w:p>
      <w:pPr>
        <w:spacing w:after="0" w:line="171" w:lineRule="exact"/>
        <w:rPr>
          <w:sz w:val="20"/>
          <w:szCs w:val="20"/>
          <w:color w:val="auto"/>
        </w:rPr>
      </w:pPr>
    </w:p>
    <w:p>
      <w:pPr>
        <w:ind w:left="-40" w:right="100" w:firstLine="464"/>
        <w:spacing w:after="0" w:line="312" w:lineRule="auto"/>
        <w:tabs>
          <w:tab w:leader="none" w:pos="67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Incurrence of Debt.</w:t>
      </w:r>
      <w:r>
        <w:rPr>
          <w:rFonts w:ascii="Arial" w:cs="Arial" w:eastAsia="Arial" w:hAnsi="Arial"/>
          <w:sz w:val="16"/>
          <w:szCs w:val="16"/>
          <w:color w:val="auto"/>
        </w:rPr>
        <w:t xml:space="preserve"> Immediately upon receipt by any Credit Party or any Restricted Subsidiary of any Credit Party of the Net Issuance Proceeds of the incurrence of Indebtedness (other than Net Issuance Proceeds from the incurrence of Indebtedness permitted hereunder), the Borrower shall deliver, or cause to be delivered, to Agent an amount equal to such Net Issuance Proceeds, for application to the Loans in accordance with </w:t>
      </w:r>
      <w:r>
        <w:rPr>
          <w:rFonts w:ascii="Arial" w:cs="Arial" w:eastAsia="Arial" w:hAnsi="Arial"/>
          <w:sz w:val="16"/>
          <w:szCs w:val="16"/>
          <w:u w:val="single" w:color="auto"/>
          <w:color w:val="auto"/>
        </w:rPr>
        <w:t>Section 2.8(e)</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40" w:firstLine="464"/>
        <w:spacing w:after="0" w:line="257" w:lineRule="auto"/>
        <w:tabs>
          <w:tab w:leader="none" w:pos="66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Application of Prepayments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any prepayments pursuant to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2.8(d)</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pro rata to each Class of Term Loan based upon the respective outstanding principal balances thereof and shall be applied to all remaining installments thereof, if any, pro rata against all such scheduled installments based upon the respective amounts thereof,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outstanding Swing Loans,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prepay outstanding Revolving Loans without permanent reduction of the Aggregate Revolving Loan Commitment and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cash collateralize Letters of Credit in an amount determined in accordance with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40" w:right="20" w:firstLine="464"/>
        <w:spacing w:after="0" w:line="308" w:lineRule="auto"/>
        <w:tabs>
          <w:tab w:leader="none" w:pos="641"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Implied Consent</w:t>
      </w:r>
      <w:r>
        <w:rPr>
          <w:rFonts w:ascii="Arial" w:cs="Arial" w:eastAsia="Arial" w:hAnsi="Arial"/>
          <w:sz w:val="17"/>
          <w:szCs w:val="17"/>
          <w:color w:val="auto"/>
        </w:rPr>
        <w:t xml:space="preserve">. Provisions contained in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for the application of proceeds of certain transactions shall not be deemed to constitute consent of the Lenders to transactions that are not otherwise permitted by the terms hereof or the other Loan Documents.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Fees.</w:t>
      </w:r>
    </w:p>
    <w:p>
      <w:pPr>
        <w:spacing w:after="0" w:line="225" w:lineRule="exact"/>
        <w:rPr>
          <w:sz w:val="20"/>
          <w:szCs w:val="20"/>
          <w:color w:val="auto"/>
        </w:rPr>
      </w:pPr>
    </w:p>
    <w:p>
      <w:pPr>
        <w:ind w:left="-40" w:right="60" w:firstLine="464"/>
        <w:spacing w:after="0" w:line="264" w:lineRule="auto"/>
        <w:tabs>
          <w:tab w:leader="none" w:pos="66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Borrower shall pay to Agent, for Agent’s own account or as otherwise provided therein, fees in the amounts and at the times set forth in a letter agreement between the Borrower and Agent dated of even date herewith (as amended, modified and/or supplemented from time to time in accordance with its terms, the “</w:t>
      </w:r>
      <w:r>
        <w:rPr>
          <w:rFonts w:ascii="Arial" w:cs="Arial" w:eastAsia="Arial" w:hAnsi="Arial"/>
          <w:sz w:val="18"/>
          <w:szCs w:val="18"/>
          <w:b w:val="1"/>
          <w:bCs w:val="1"/>
          <w:color w:val="auto"/>
        </w:rPr>
        <w:t>Fee Letter</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40" w:right="160" w:firstLine="464"/>
        <w:spacing w:after="0" w:line="282" w:lineRule="auto"/>
        <w:tabs>
          <w:tab w:leader="none" w:pos="67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Unused Revolving Commitment Fee</w:t>
      </w:r>
      <w:r>
        <w:rPr>
          <w:rFonts w:ascii="Arial" w:cs="Arial" w:eastAsia="Arial" w:hAnsi="Arial"/>
          <w:sz w:val="18"/>
          <w:szCs w:val="18"/>
          <w:color w:val="auto"/>
        </w:rPr>
        <w:t>. The Borrower shall pay to Agent a fee (the “</w:t>
      </w:r>
      <w:r>
        <w:rPr>
          <w:rFonts w:ascii="Arial" w:cs="Arial" w:eastAsia="Arial" w:hAnsi="Arial"/>
          <w:sz w:val="18"/>
          <w:szCs w:val="18"/>
          <w:b w:val="1"/>
          <w:bCs w:val="1"/>
          <w:color w:val="auto"/>
        </w:rPr>
        <w:t>Unused Revolving Commitment Fee</w:t>
      </w:r>
      <w:r>
        <w:rPr>
          <w:rFonts w:ascii="Arial" w:cs="Arial" w:eastAsia="Arial" w:hAnsi="Arial"/>
          <w:sz w:val="18"/>
          <w:szCs w:val="18"/>
          <w:color w:val="auto"/>
        </w:rPr>
        <w:t>”) for the ratable account of the Revolving Lenders in an amount calculated daily and aggregated for each calendar quarter equal to:</w:t>
      </w:r>
    </w:p>
    <w:p>
      <w:pPr>
        <w:spacing w:after="0" w:line="57" w:lineRule="exact"/>
        <w:rPr>
          <w:rFonts w:ascii="Arial" w:cs="Arial" w:eastAsia="Arial" w:hAnsi="Arial"/>
          <w:sz w:val="18"/>
          <w:szCs w:val="18"/>
          <w:color w:val="auto"/>
        </w:rPr>
      </w:pPr>
    </w:p>
    <w:p>
      <w:pPr>
        <w:ind w:left="1520" w:hanging="219"/>
        <w:spacing w:after="0"/>
        <w:tabs>
          <w:tab w:leader="none" w:pos="15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the ending daily balance of the Aggregate Revolving Loan Commitment, less</w:t>
      </w:r>
    </w:p>
    <w:p>
      <w:pPr>
        <w:spacing w:after="0" w:line="117" w:lineRule="exact"/>
        <w:rPr>
          <w:rFonts w:ascii="Arial" w:cs="Arial" w:eastAsia="Arial" w:hAnsi="Arial"/>
          <w:sz w:val="18"/>
          <w:szCs w:val="18"/>
          <w:color w:val="auto"/>
        </w:rPr>
      </w:pPr>
    </w:p>
    <w:p>
      <w:pPr>
        <w:ind w:left="880" w:right="80" w:firstLine="421"/>
        <w:spacing w:after="0" w:line="288" w:lineRule="auto"/>
        <w:tabs>
          <w:tab w:leader="none" w:pos="1565" w:val="left"/>
        </w:tabs>
        <w:numPr>
          <w:ilvl w:val="2"/>
          <w:numId w:val="71"/>
        </w:numPr>
        <w:rPr>
          <w:rFonts w:ascii="Arial" w:cs="Arial" w:eastAsia="Arial" w:hAnsi="Arial"/>
          <w:sz w:val="16"/>
          <w:szCs w:val="16"/>
          <w:color w:val="auto"/>
        </w:rPr>
      </w:pPr>
      <w:r>
        <w:rPr>
          <w:rFonts w:ascii="Arial" w:cs="Arial" w:eastAsia="Arial" w:hAnsi="Arial"/>
          <w:sz w:val="16"/>
          <w:szCs w:val="16"/>
          <w:color w:val="auto"/>
        </w:rPr>
        <w:t>the sum of (1) the ending daily balance of all Revolving Loans held by such Revolving Lender plus (2) the ending daily amount of Letter of Credit Obligations held by such Revolving Lender, plus (z) in the case of the Swing Lender, the ending daily balance of all outstanding Swing Loans held by such Swing Lender, in each case, for each day occurring during the preceding calendar quarter (the difference of (i) minus</w:t>
      </w:r>
    </w:p>
    <w:p>
      <w:pPr>
        <w:ind w:left="1140" w:hanging="259"/>
        <w:spacing w:after="0"/>
        <w:tabs>
          <w:tab w:leader="none" w:pos="11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is referred to as the “</w:t>
      </w:r>
      <w:r>
        <w:rPr>
          <w:rFonts w:ascii="Arial" w:cs="Arial" w:eastAsia="Arial" w:hAnsi="Arial"/>
          <w:sz w:val="16"/>
          <w:szCs w:val="16"/>
          <w:u w:val="single" w:color="auto"/>
          <w:color w:val="auto"/>
        </w:rPr>
        <w:t>Daily Unused Revolving Commitment</w:t>
      </w:r>
      <w:r>
        <w:rPr>
          <w:rFonts w:ascii="Arial" w:cs="Arial" w:eastAsia="Arial" w:hAnsi="Arial"/>
          <w:sz w:val="16"/>
          <w:szCs w:val="16"/>
          <w:color w:val="auto"/>
        </w:rPr>
        <w:t>”); provided, in no event shall the amount computed pursuant to clauses (i) and</w:t>
      </w:r>
    </w:p>
    <w:p>
      <w:pPr>
        <w:spacing w:after="0" w:line="32" w:lineRule="exact"/>
        <w:rPr>
          <w:rFonts w:ascii="Arial" w:cs="Arial" w:eastAsia="Arial" w:hAnsi="Arial"/>
          <w:sz w:val="16"/>
          <w:szCs w:val="16"/>
          <w:color w:val="auto"/>
        </w:rPr>
      </w:pPr>
    </w:p>
    <w:p>
      <w:pPr>
        <w:ind w:left="1140" w:hanging="259"/>
        <w:spacing w:after="0"/>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 respect to the Swing Lender be less than zero,</w:t>
      </w:r>
    </w:p>
    <w:p>
      <w:pPr>
        <w:spacing w:after="0" w:line="102" w:lineRule="exact"/>
        <w:rPr>
          <w:rFonts w:ascii="Arial" w:cs="Arial" w:eastAsia="Arial" w:hAnsi="Arial"/>
          <w:sz w:val="18"/>
          <w:szCs w:val="18"/>
          <w:color w:val="auto"/>
        </w:rPr>
      </w:pPr>
    </w:p>
    <w:p>
      <w:pPr>
        <w:ind w:left="1620" w:hanging="319"/>
        <w:spacing w:after="0"/>
        <w:tabs>
          <w:tab w:leader="none" w:pos="16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multiplied by the Applicable Margin for the Unused Revolving Commitment Fee for such day.</w:t>
      </w:r>
    </w:p>
    <w:p>
      <w:pPr>
        <w:spacing w:after="0" w:line="117" w:lineRule="exact"/>
        <w:rPr>
          <w:sz w:val="20"/>
          <w:szCs w:val="20"/>
          <w:color w:val="auto"/>
        </w:rPr>
      </w:pPr>
    </w:p>
    <w:p>
      <w:pPr>
        <w:ind w:left="420" w:right="160"/>
        <w:spacing w:after="0" w:line="308" w:lineRule="auto"/>
        <w:rPr>
          <w:sz w:val="20"/>
          <w:szCs w:val="20"/>
          <w:color w:val="auto"/>
        </w:rPr>
      </w:pPr>
      <w:r>
        <w:rPr>
          <w:rFonts w:ascii="Arial" w:cs="Arial" w:eastAsia="Arial" w:hAnsi="Arial"/>
          <w:sz w:val="17"/>
          <w:szCs w:val="17"/>
          <w:color w:val="auto"/>
        </w:rPr>
        <w:t xml:space="preserve">Such fee shall be payable quarterly in arrears on the first day of each calendar quarter following the date hereof. The Unused Revolving Commitment Fee provided in this </w:t>
      </w:r>
      <w:r>
        <w:rPr>
          <w:rFonts w:ascii="Arial" w:cs="Arial" w:eastAsia="Arial" w:hAnsi="Arial"/>
          <w:sz w:val="17"/>
          <w:szCs w:val="17"/>
          <w:u w:val="single" w:color="auto"/>
          <w:color w:val="auto"/>
        </w:rPr>
        <w:t>Section 2.9(b)</w:t>
      </w:r>
      <w:r>
        <w:rPr>
          <w:rFonts w:ascii="Arial" w:cs="Arial" w:eastAsia="Arial" w:hAnsi="Arial"/>
          <w:sz w:val="17"/>
          <w:szCs w:val="17"/>
          <w:color w:val="auto"/>
        </w:rPr>
        <w:t xml:space="preserve"> shall accrue at all times from and after the execution and delivery of this Agreement.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80" w:top="274" w:right="259" w:bottom="1440" w:gutter="0" w:footer="0" w:header="0"/>
        </w:sectPr>
      </w:pPr>
    </w:p>
    <w:bookmarkStart w:id="91" w:name="page92"/>
    <w:bookmarkEnd w:id="91"/>
    <w:p>
      <w:pPr>
        <w:ind w:left="-8" w:right="300" w:firstLine="464"/>
        <w:spacing w:after="0" w:line="288" w:lineRule="auto"/>
        <w:tabs>
          <w:tab w:leader="none" w:pos="693"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of Credit Fee</w:t>
      </w:r>
      <w:r>
        <w:rPr>
          <w:rFonts w:ascii="Arial" w:cs="Arial" w:eastAsia="Arial" w:hAnsi="Arial"/>
          <w:sz w:val="16"/>
          <w:szCs w:val="16"/>
          <w:color w:val="auto"/>
        </w:rPr>
        <w:t>. The Borrower agrees to pay to Agent for the ratable benefit of the Revolving Lenders, as compensation to such Lenders for Letter of Credit Obligations incurred hereunder, (i) without duplication of costs and expenses otherwise payable to Agent or Lenders hereunder or fees otherwise paid by the Borrower, all reasonable costs and expenses incurred by Agent or any Lender on account of such Letter of Credit Obligations, and</w:t>
      </w:r>
    </w:p>
    <w:p>
      <w:pPr>
        <w:ind w:left="-8" w:firstLine="8"/>
        <w:spacing w:after="0" w:line="267" w:lineRule="auto"/>
        <w:tabs>
          <w:tab w:leader="none" w:pos="2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for each calendar quarter during which any Letter of Credit Obligation shall remain outstanding, a fee (the “</w:t>
      </w:r>
      <w:r>
        <w:rPr>
          <w:rFonts w:ascii="Arial" w:cs="Arial" w:eastAsia="Arial" w:hAnsi="Arial"/>
          <w:sz w:val="17"/>
          <w:szCs w:val="17"/>
          <w:b w:val="1"/>
          <w:bCs w:val="1"/>
          <w:color w:val="auto"/>
        </w:rPr>
        <w:t>Letter of Credit Fee</w:t>
      </w:r>
      <w:r>
        <w:rPr>
          <w:rFonts w:ascii="Arial" w:cs="Arial" w:eastAsia="Arial" w:hAnsi="Arial"/>
          <w:sz w:val="17"/>
          <w:szCs w:val="17"/>
          <w:color w:val="auto"/>
        </w:rPr>
        <w:t xml:space="preserve">”) in an amount equal to the product of the daily undrawn face amount of all Letters of Credit Issued, guarantied or supported by risk participation agreements multiplied by a per annum rate equal to the Applicable Margin with respect to Revolving Loans which are LIBOR Rate Loans; provided, however, at Agent’s or Required Revolving Lenders’ option, while a Specified Event of Default exists (or automatically while an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xml:space="preserve"> exists), such rate shall be increased by two percent (2.00%) per annum. Such fee shall be paid to Agent for the benefit of the Revolving Lenders in arrears, on the first day of each calendar quarter and on the date on which all L/C Reimbursement Obligations have been discharged. In addition, the Borrower shall pay to any L/C Issuer or any prospective L/C Issuer, as appropriate, on demand, such L/C Issuer’s or prospective L/C Issuer’s customary fees at then prevailing rates, without duplication of fees otherwise payable hereunder (including all per annum fees), charges and expenses of such L/C Issuer or prospective L/C Issuer in respect of fronting risk with respect to such Letter of Credit and in respect of the application for, and the Issuance, negotiation, acceptance, amendment, transfer and payment of, each Letter of Credit or otherwise payable pursuant to the application and related documentation under which such Letter of Credit is Issued.</w:t>
      </w:r>
    </w:p>
    <w:p>
      <w:pPr>
        <w:spacing w:after="0" w:line="182" w:lineRule="exact"/>
        <w:rPr>
          <w:rFonts w:ascii="Arial" w:cs="Arial" w:eastAsia="Arial" w:hAnsi="Arial"/>
          <w:sz w:val="17"/>
          <w:szCs w:val="17"/>
          <w:color w:val="auto"/>
        </w:rPr>
      </w:pPr>
    </w:p>
    <w:p>
      <w:pPr>
        <w:ind w:left="-8" w:right="500" w:firstLine="464"/>
        <w:spacing w:after="0" w:line="282" w:lineRule="auto"/>
        <w:tabs>
          <w:tab w:leader="none" w:pos="70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Unused Initial Term Commitment Fee</w:t>
      </w:r>
      <w:r>
        <w:rPr>
          <w:rFonts w:ascii="Arial" w:cs="Arial" w:eastAsia="Arial" w:hAnsi="Arial"/>
          <w:sz w:val="18"/>
          <w:szCs w:val="18"/>
          <w:color w:val="auto"/>
        </w:rPr>
        <w:t>. The Borrower shall pay to Agent a fee (the “</w:t>
      </w:r>
      <w:r>
        <w:rPr>
          <w:rFonts w:ascii="Arial" w:cs="Arial" w:eastAsia="Arial" w:hAnsi="Arial"/>
          <w:sz w:val="18"/>
          <w:szCs w:val="18"/>
          <w:b w:val="1"/>
          <w:bCs w:val="1"/>
          <w:color w:val="auto"/>
        </w:rPr>
        <w:t>Unused Initial Term Commitment Fee</w:t>
      </w:r>
      <w:r>
        <w:rPr>
          <w:rFonts w:ascii="Arial" w:cs="Arial" w:eastAsia="Arial" w:hAnsi="Arial"/>
          <w:sz w:val="18"/>
          <w:szCs w:val="18"/>
          <w:color w:val="auto"/>
        </w:rPr>
        <w:t>”) for the ratable account of the Term Lenders holding Initial Term Loan Commitments in an amount equal to:</w:t>
      </w:r>
    </w:p>
    <w:p>
      <w:pPr>
        <w:spacing w:after="0" w:line="57" w:lineRule="exact"/>
        <w:rPr>
          <w:rFonts w:ascii="Arial" w:cs="Arial" w:eastAsia="Arial" w:hAnsi="Arial"/>
          <w:sz w:val="18"/>
          <w:szCs w:val="18"/>
          <w:color w:val="auto"/>
        </w:rPr>
      </w:pPr>
    </w:p>
    <w:p>
      <w:pPr>
        <w:ind w:left="1552" w:hanging="219"/>
        <w:spacing w:after="0"/>
        <w:tabs>
          <w:tab w:leader="none" w:pos="1552"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the daily balance of the Initial Term Loan Commitment during the preceding calendar quarter, </w:t>
      </w:r>
      <w:r>
        <w:rPr>
          <w:rFonts w:ascii="Arial" w:cs="Arial" w:eastAsia="Arial" w:hAnsi="Arial"/>
          <w:sz w:val="18"/>
          <w:szCs w:val="18"/>
          <w:u w:val="single" w:color="auto"/>
          <w:color w:val="auto"/>
        </w:rPr>
        <w:t>less</w:t>
      </w:r>
    </w:p>
    <w:p>
      <w:pPr>
        <w:spacing w:after="0" w:line="117" w:lineRule="exact"/>
        <w:rPr>
          <w:rFonts w:ascii="Arial" w:cs="Arial" w:eastAsia="Arial" w:hAnsi="Arial"/>
          <w:sz w:val="18"/>
          <w:szCs w:val="18"/>
          <w:color w:val="auto"/>
        </w:rPr>
      </w:pPr>
    </w:p>
    <w:p>
      <w:pPr>
        <w:ind w:left="1592" w:hanging="259"/>
        <w:spacing w:after="0"/>
        <w:tabs>
          <w:tab w:leader="none" w:pos="1592" w:val="left"/>
        </w:tabs>
        <w:numPr>
          <w:ilvl w:val="2"/>
          <w:numId w:val="74"/>
        </w:numPr>
        <w:rPr>
          <w:rFonts w:ascii="Arial" w:cs="Arial" w:eastAsia="Arial" w:hAnsi="Arial"/>
          <w:sz w:val="18"/>
          <w:szCs w:val="18"/>
          <w:color w:val="auto"/>
        </w:rPr>
      </w:pPr>
      <w:r>
        <w:rPr>
          <w:rFonts w:ascii="Arial" w:cs="Arial" w:eastAsia="Arial" w:hAnsi="Arial"/>
          <w:sz w:val="18"/>
          <w:szCs w:val="18"/>
          <w:color w:val="auto"/>
        </w:rPr>
        <w:t xml:space="preserve">the daily balance of the Initial Term Loans during the preceding calendar quarter,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w:t>
      </w:r>
    </w:p>
    <w:p>
      <w:pPr>
        <w:spacing w:after="0" w:line="117" w:lineRule="exact"/>
        <w:rPr>
          <w:rFonts w:ascii="Arial" w:cs="Arial" w:eastAsia="Arial" w:hAnsi="Arial"/>
          <w:sz w:val="18"/>
          <w:szCs w:val="18"/>
          <w:color w:val="auto"/>
        </w:rPr>
      </w:pPr>
    </w:p>
    <w:p>
      <w:pPr>
        <w:ind w:left="1652" w:hanging="319"/>
        <w:spacing w:after="0"/>
        <w:tabs>
          <w:tab w:leader="none" w:pos="1652" w:val="left"/>
        </w:tabs>
        <w:numPr>
          <w:ilvl w:val="2"/>
          <w:numId w:val="74"/>
        </w:numPr>
        <w:rPr>
          <w:rFonts w:ascii="Arial" w:cs="Arial" w:eastAsia="Arial" w:hAnsi="Arial"/>
          <w:sz w:val="18"/>
          <w:szCs w:val="18"/>
          <w:color w:val="auto"/>
        </w:rPr>
      </w:pPr>
      <w:r>
        <w:rPr>
          <w:rFonts w:ascii="Arial" w:cs="Arial" w:eastAsia="Arial" w:hAnsi="Arial"/>
          <w:sz w:val="18"/>
          <w:szCs w:val="18"/>
          <w:color w:val="auto"/>
        </w:rPr>
        <w:t>one half of one percent (0.50%) per annum.</w:t>
      </w:r>
    </w:p>
    <w:p>
      <w:pPr>
        <w:spacing w:after="0" w:line="117" w:lineRule="exact"/>
        <w:rPr>
          <w:sz w:val="20"/>
          <w:szCs w:val="20"/>
          <w:color w:val="auto"/>
        </w:rPr>
      </w:pPr>
    </w:p>
    <w:p>
      <w:pPr>
        <w:jc w:val="both"/>
        <w:ind w:left="452" w:right="60"/>
        <w:spacing w:after="0" w:line="264" w:lineRule="auto"/>
        <w:rPr>
          <w:sz w:val="20"/>
          <w:szCs w:val="20"/>
          <w:color w:val="auto"/>
        </w:rPr>
      </w:pPr>
      <w:r>
        <w:rPr>
          <w:rFonts w:ascii="Arial" w:cs="Arial" w:eastAsia="Arial" w:hAnsi="Arial"/>
          <w:sz w:val="18"/>
          <w:szCs w:val="18"/>
          <w:color w:val="auto"/>
        </w:rPr>
        <w:t xml:space="preserve">Such fee shall be payable quarterly in arrears on the first day of each calendar quarter following the date hereof. The Unused Initial Term Commitment Fee provided in this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shall accrue at all times from and after the execution and delivery of this Agreement through the Initial Term Loan Commitment Expiration Date.</w:t>
      </w:r>
    </w:p>
    <w:p>
      <w:pPr>
        <w:spacing w:after="0" w:line="181" w:lineRule="exact"/>
        <w:rPr>
          <w:sz w:val="20"/>
          <w:szCs w:val="20"/>
          <w:color w:val="auto"/>
        </w:rPr>
      </w:pPr>
    </w:p>
    <w:p>
      <w:pPr>
        <w:ind w:left="452" w:right="3740" w:firstLine="4"/>
        <w:spacing w:after="0" w:line="501" w:lineRule="auto"/>
        <w:tabs>
          <w:tab w:leader="none" w:pos="69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All fees payable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applied in accordance with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2.10 </w:t>
      </w:r>
      <w:r>
        <w:rPr>
          <w:rFonts w:ascii="Arial" w:cs="Arial" w:eastAsia="Arial" w:hAnsi="Arial"/>
          <w:sz w:val="18"/>
          <w:szCs w:val="18"/>
          <w:u w:val="single" w:color="auto"/>
          <w:color w:val="auto"/>
        </w:rPr>
        <w:t>Payments by the Borrower</w:t>
      </w:r>
    </w:p>
    <w:p>
      <w:pPr>
        <w:ind w:left="-8" w:firstLine="464"/>
        <w:spacing w:after="0" w:line="271" w:lineRule="auto"/>
        <w:tabs>
          <w:tab w:leader="none" w:pos="693"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All payments (including prepayments) to be made by each Credit Party on account of principal, interest, fees and other amounts required hereunder shall be made without set-off, recoupment, counterclaim or deduction of any kind, shall, except as otherwise expressly provided herein, be made to Agent and for the ratable account of the Persons holding the applicable Obligations at the address for payment specified in the signature page hereof in relation to Agent (or such other address as Agent may from time to time specify in accordance with </w:t>
      </w:r>
      <w:r>
        <w:rPr>
          <w:rFonts w:ascii="Arial" w:cs="Arial" w:eastAsia="Arial" w:hAnsi="Arial"/>
          <w:sz w:val="17"/>
          <w:szCs w:val="17"/>
          <w:u w:val="single" w:color="auto"/>
          <w:color w:val="auto"/>
        </w:rPr>
        <w:t>Section 10.2</w:t>
      </w:r>
      <w:r>
        <w:rPr>
          <w:rFonts w:ascii="Arial" w:cs="Arial" w:eastAsia="Arial" w:hAnsi="Arial"/>
          <w:sz w:val="17"/>
          <w:szCs w:val="17"/>
          <w:color w:val="auto"/>
        </w:rPr>
        <w:t>), including payments utilizing the ACH system, and shall be made in Dollars and by wire transfer or ACH transfer in immediately available funds (which shall be the exclusive means of payment hereunder), no later than 1:00 p.m. on the date due. Any payment which is received by Agent later than 1:00 p.m. may in Agent’s discretion be deemed to have been received on the immediately succeeding Business Day and any applicable interest or fee shall continue to accrue. The Borrower and each other Credit Party hereby irrevocably waives the right to</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92"/>
          </w:cols>
          <w:pgMar w:left="248" w:top="274" w:right="259" w:bottom="1440" w:gutter="0" w:footer="0" w:header="0"/>
        </w:sectPr>
      </w:pPr>
    </w:p>
    <w:bookmarkStart w:id="92" w:name="page93"/>
    <w:bookmarkEnd w:id="92"/>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the application during the continuance of an Event of Default of any and all payments in respect of any Obligation and any proceeds of Collateral. The Borrower hereby authorizes Agent and each Lender to make a Revolving Loan (which shall be a Base Rate Loan and which may be a Swing Loan) to pay</w:t>
      </w:r>
    </w:p>
    <w:p>
      <w:pPr>
        <w:jc w:val="both"/>
        <w:ind w:right="340" w:firstLine="8"/>
        <w:spacing w:after="0" w:line="302" w:lineRule="auto"/>
        <w:tabs>
          <w:tab w:leader="none" w:pos="2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interest, principal (including Swing Loans), L/C Reimbursement Obligations, fees payable under the Fee Letter, Unused Revolving Commitment Fees, Unused Initial Term Commitment Fees and Letter of Credit Fees, in each instance, on the date due, or (ii) after five (5) days’ prior notice to the Borrower, other fees, costs or expenses payable by the Borrower or any of its Restricted Subsidiaries hereunder or under the other Loan Documents.</w:t>
      </w:r>
    </w:p>
    <w:p>
      <w:pPr>
        <w:spacing w:after="0" w:line="155" w:lineRule="exact"/>
        <w:rPr>
          <w:rFonts w:ascii="Arial" w:cs="Arial" w:eastAsia="Arial" w:hAnsi="Arial"/>
          <w:sz w:val="16"/>
          <w:szCs w:val="16"/>
          <w:color w:val="auto"/>
        </w:rPr>
      </w:pPr>
    </w:p>
    <w:p>
      <w:pPr>
        <w:ind w:firstLine="464"/>
        <w:spacing w:after="0" w:line="297" w:lineRule="auto"/>
        <w:tabs>
          <w:tab w:leader="none" w:pos="711" w:val="left"/>
        </w:tabs>
        <w:numPr>
          <w:ilvl w:val="1"/>
          <w:numId w:val="77"/>
        </w:numPr>
        <w:rPr>
          <w:rFonts w:ascii="Arial" w:cs="Arial" w:eastAsia="Arial" w:hAnsi="Arial"/>
          <w:sz w:val="16"/>
          <w:szCs w:val="16"/>
          <w:color w:val="auto"/>
        </w:rPr>
      </w:pPr>
      <w:r>
        <w:rPr>
          <w:rFonts w:ascii="Arial" w:cs="Arial" w:eastAsia="Arial" w:hAnsi="Arial"/>
          <w:sz w:val="16"/>
          <w:szCs w:val="16"/>
          <w:color w:val="auto"/>
        </w:rPr>
        <w:t>Subject to the provisions set forth in the definition of “Interest Period” herein, if any payment hereunder shall be stated to be due on a day other than a Business Day, such payment shall be made on the next succeeding Business Day, and such extension of time shall in such case be excluded in the computation, and if applicable, payment, of interest or fees, as the case may be, on such next succeeding Business Day; provided that such extension of time shall be included in the next succeeding computation and payment of interest and fees; provided further that if the scheduled payment date is the maturity date of any Loan such extension of time shall include such interest and fees, which shall be payable on such next succeeding Business Day.</w:t>
      </w:r>
    </w:p>
    <w:p>
      <w:pPr>
        <w:spacing w:after="0" w:line="158" w:lineRule="exact"/>
        <w:rPr>
          <w:rFonts w:ascii="Arial" w:cs="Arial" w:eastAsia="Arial" w:hAnsi="Arial"/>
          <w:sz w:val="16"/>
          <w:szCs w:val="16"/>
          <w:color w:val="auto"/>
        </w:rPr>
      </w:pPr>
    </w:p>
    <w:p>
      <w:pPr>
        <w:ind w:right="200" w:firstLine="464"/>
        <w:spacing w:after="0" w:line="259" w:lineRule="auto"/>
        <w:tabs>
          <w:tab w:leader="none" w:pos="701"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 During the continuance of an Event of Default, Agent may, and shall upon the direction of Required Lenders apply any and all payments received by Agent in respect of any Obligation in accordance with clauses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below; and (ii) notwithstanding any provision herein to the contrary, all payments made by Credit Parties to Agent after any or all of the Obligations under the Loan Documents have been accelerated (so long as such acceleration has not been rescinded), including proceeds of Collateral, shall be applied as follows:</w:t>
      </w:r>
    </w:p>
    <w:p>
      <w:pPr>
        <w:spacing w:after="0" w:line="79" w:lineRule="exact"/>
        <w:rPr>
          <w:sz w:val="20"/>
          <w:szCs w:val="20"/>
          <w:color w:val="auto"/>
        </w:rPr>
      </w:pPr>
    </w:p>
    <w:p>
      <w:pPr>
        <w:ind w:left="920" w:right="240" w:firstLine="420"/>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costs and expenses, including Attorney Costs, of Agent payable or reimbursable by the Credit Parties under the Loan Documents;</w:t>
      </w:r>
    </w:p>
    <w:p>
      <w:pPr>
        <w:spacing w:after="0" w:line="62" w:lineRule="exact"/>
        <w:rPr>
          <w:sz w:val="20"/>
          <w:szCs w:val="20"/>
          <w:color w:val="auto"/>
        </w:rPr>
      </w:pPr>
    </w:p>
    <w:p>
      <w:pPr>
        <w:ind w:left="1340" w:right="1580"/>
        <w:spacing w:after="0" w:line="42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payment of Attorney Costs of Lenders payable or reimbursable by the Credit Parties under this Agreement; </w:t>
      </w:r>
      <w:r>
        <w:rPr>
          <w:rFonts w:ascii="Arial" w:cs="Arial" w:eastAsia="Arial" w:hAnsi="Arial"/>
          <w:sz w:val="16"/>
          <w:szCs w:val="16"/>
          <w:u w:val="single" w:color="auto"/>
          <w:color w:val="auto"/>
        </w:rPr>
        <w:t>third</w:t>
      </w:r>
      <w:r>
        <w:rPr>
          <w:rFonts w:ascii="Arial" w:cs="Arial" w:eastAsia="Arial" w:hAnsi="Arial"/>
          <w:sz w:val="16"/>
          <w:szCs w:val="16"/>
          <w:color w:val="auto"/>
        </w:rPr>
        <w:t>, to payment of all accrued unpaid interest on the Obligations and fees owed to Agent, Lenders and L/C Issuers;</w:t>
      </w:r>
    </w:p>
    <w:p>
      <w:pPr>
        <w:spacing w:after="0" w:line="1" w:lineRule="exact"/>
        <w:rPr>
          <w:sz w:val="20"/>
          <w:szCs w:val="20"/>
          <w:color w:val="auto"/>
        </w:rPr>
      </w:pPr>
    </w:p>
    <w:p>
      <w:pPr>
        <w:ind w:left="920" w:right="400" w:firstLine="420"/>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principal of the Obligations (including L/C Reimbursement Obligations) then due and payable, the Secured Rate Contract Obligations then due and payable, the Secured Cash Management Obligations then due and payable, and cash collateralization of unmatured L/C Reimbursement Obligations to the extent not then due and payable;</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payment of any other amounts owing constituting Obligations; and</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any remainder shall be for the account of and paid to whoever may be lawfully entitled thereto.</w:t>
      </w:r>
    </w:p>
    <w:p>
      <w:pPr>
        <w:spacing w:after="0" w:line="117" w:lineRule="exact"/>
        <w:rPr>
          <w:sz w:val="20"/>
          <w:szCs w:val="20"/>
          <w:color w:val="auto"/>
        </w:rPr>
      </w:pPr>
    </w:p>
    <w:p>
      <w:pPr>
        <w:ind w:left="460" w:right="80" w:firstLine="438"/>
        <w:spacing w:after="0" w:line="273" w:lineRule="auto"/>
        <w:rPr>
          <w:sz w:val="20"/>
          <w:szCs w:val="20"/>
          <w:color w:val="auto"/>
        </w:rPr>
      </w:pPr>
      <w:r>
        <w:rPr>
          <w:rFonts w:ascii="Arial" w:cs="Arial" w:eastAsia="Arial" w:hAnsi="Arial"/>
          <w:sz w:val="17"/>
          <w:szCs w:val="17"/>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Rate Contract Obligation. Notwithstanding the foregoing, Secured Rate Contract Obligations and Secured Cash Management Obligations with parties that are not Affiliates of Agent shall be excluded from the application described above unless at least three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93" w:name="page94"/>
    <w:bookmarkEnd w:id="93"/>
    <w:p>
      <w:pPr>
        <w:ind w:left="46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Days prior to any distribution, Agent has received written notice from the applicable Secured Swap Provider or Secured Cash Management Bank of the amount of Secured Rate Contract Obligations or Secured Cash Management Obligations then due and payable, together with such supporting documentation as Agent may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Payments by the Lenders to Agent; Settlement</w:t>
      </w:r>
    </w:p>
    <w:p>
      <w:pPr>
        <w:spacing w:after="0" w:line="225" w:lineRule="exact"/>
        <w:rPr>
          <w:sz w:val="20"/>
          <w:szCs w:val="20"/>
          <w:color w:val="auto"/>
        </w:rPr>
      </w:pPr>
    </w:p>
    <w:p>
      <w:pPr>
        <w:ind w:right="20" w:firstLine="464"/>
        <w:spacing w:after="0" w:line="270" w:lineRule="auto"/>
        <w:tabs>
          <w:tab w:leader="none" w:pos="7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Agent may, on behalf of Lenders, disburse funds to the Borrower for Loans requested. Each Lender shall reimburse Agent on demand for all funds disbursed on its behalf by Agent, or if Agent so requests, each Lender will remit to Agent its Commitment Percentage of any Loan before Agent disburses same to the Borrower. If Agent elects to require that each Lender make funds available to Agent prior to disbursement by Agent to the Borrower, Agent shall advise each Lender by telephone or fax of the amount of such Lender’s Commitment Percentage of the Loan requested by the Borrower no later than the Business Day prior to the scheduled Borrowing date applicable thereto, and each such Lender shall pay Agent such Lender’s Commitment Percentage of such requested Loan, in same day funds, by wire transfer to Agent’s account, as designated in writing by the Agent to the Borrower from time to time, no later than 1:00 p.m. on such scheduled Borrowing date. Nothing in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or elsewhere in this Agreement or the other Loan Documents, including the remaining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shall be deemed to require Agent to advance funds on behalf of any Lender or to relieve any Lender from its obligation to fulfill its Commitments hereunder or to prejudice any rights that Agent any Lender or the Borrower may have against any Lender as a result of any default by such Lender hereunder.</w:t>
      </w:r>
    </w:p>
    <w:p>
      <w:pPr>
        <w:spacing w:after="0" w:line="173" w:lineRule="exact"/>
        <w:rPr>
          <w:rFonts w:ascii="Arial" w:cs="Arial" w:eastAsia="Arial" w:hAnsi="Arial"/>
          <w:sz w:val="17"/>
          <w:szCs w:val="17"/>
          <w:color w:val="auto"/>
        </w:rPr>
      </w:pPr>
    </w:p>
    <w:p>
      <w:pPr>
        <w:ind w:firstLine="464"/>
        <w:spacing w:after="0" w:line="289" w:lineRule="auto"/>
        <w:tabs>
          <w:tab w:leader="none" w:pos="711"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least once each calendar week or more frequently at Agent’s election (each, a “</w:t>
      </w:r>
      <w:r>
        <w:rPr>
          <w:rFonts w:ascii="Arial" w:cs="Arial" w:eastAsia="Arial" w:hAnsi="Arial"/>
          <w:sz w:val="16"/>
          <w:szCs w:val="16"/>
          <w:b w:val="1"/>
          <w:bCs w:val="1"/>
          <w:color w:val="auto"/>
        </w:rPr>
        <w:t>Settlement Date</w:t>
      </w:r>
      <w:r>
        <w:rPr>
          <w:rFonts w:ascii="Arial" w:cs="Arial" w:eastAsia="Arial" w:hAnsi="Arial"/>
          <w:sz w:val="16"/>
          <w:szCs w:val="16"/>
          <w:color w:val="auto"/>
        </w:rPr>
        <w:t xml:space="preserve">”), Agent shall advise each Lender by telephone or fax of the amount of such Lender’s Commitment Percentage of principal, interest and Fees paid by Borrower for the benefit of Lenders with respect to each applicable Loan. Agent shall pay to each Lender such Lender’s Commitment Percentage (except as otherwise provided in </w:t>
      </w:r>
      <w:r>
        <w:rPr>
          <w:rFonts w:ascii="Arial" w:cs="Arial" w:eastAsia="Arial" w:hAnsi="Arial"/>
          <w:sz w:val="16"/>
          <w:szCs w:val="16"/>
          <w:u w:val="single" w:color="auto"/>
          <w:color w:val="auto"/>
        </w:rPr>
        <w:t>Section 2.1(c)(vi)</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22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Section 2.11(e)(iv)</w:t>
      </w:r>
      <w:r>
        <w:rPr>
          <w:rFonts w:ascii="Arial" w:cs="Arial" w:eastAsia="Arial" w:hAnsi="Arial"/>
          <w:sz w:val="16"/>
          <w:szCs w:val="16"/>
          <w:color w:val="auto"/>
        </w:rPr>
        <w:t>) of principal, interest and fees paid by the Borrower since the previous Settlement Date for the benefit of such Lender on the Loans held by it; payments shall be made by wire transfer to such Lender) not later than 2:00 p.m. on the next Business Day following each Settlement Date.</w:t>
      </w:r>
    </w:p>
    <w:p>
      <w:pPr>
        <w:spacing w:after="0" w:line="138" w:lineRule="exact"/>
        <w:rPr>
          <w:rFonts w:ascii="Arial" w:cs="Arial" w:eastAsia="Arial" w:hAnsi="Arial"/>
          <w:sz w:val="16"/>
          <w:szCs w:val="16"/>
          <w:color w:val="auto"/>
        </w:rPr>
      </w:pPr>
    </w:p>
    <w:p>
      <w:pPr>
        <w:ind w:right="120" w:firstLine="464"/>
        <w:spacing w:after="0" w:line="288" w:lineRule="auto"/>
        <w:tabs>
          <w:tab w:leader="none" w:pos="701"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Availability of Lender’s Commitment Percentage</w:t>
      </w:r>
      <w:r>
        <w:rPr>
          <w:rFonts w:ascii="Arial" w:cs="Arial" w:eastAsia="Arial" w:hAnsi="Arial"/>
          <w:sz w:val="16"/>
          <w:szCs w:val="16"/>
          <w:color w:val="auto"/>
        </w:rPr>
        <w:t xml:space="preserve">. Agent may assume that each Revolving Lender will make its Commitment Percentage of each Revolving Loan available to Agent on each Borrowing date. If such Commitment Percentage is not, in fact, paid to Agent by such Revolving Lender when due, Agent will be entitled to recover such amount on demand from such Revolving Lender without setoff, counterclaim or deduction of any kind. If any Revolving Lender fails to pay the amount of its Commitment Percentage forthwith upon Agent’s demand, Agent shall promptly notify the Borrower, and the Borrower shall immediately repay such amount to Agent. Nothing in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elsewhere in this Agreement or the other Loan Documents shall be deemed to require Agent to advance funds on behalf of any Revolving Lender or to relieve any Revolving Lender from its obligation to fulfill its Commitments hereunder or to prejudice any rights that the Borrower may have against any Revolving Lender as a result of any default by such Revolving Lender hereunder. Without limiting the provisions of </w:t>
      </w:r>
      <w:r>
        <w:rPr>
          <w:rFonts w:ascii="Arial" w:cs="Arial" w:eastAsia="Arial" w:hAnsi="Arial"/>
          <w:sz w:val="16"/>
          <w:szCs w:val="16"/>
          <w:u w:val="single" w:color="auto"/>
          <w:color w:val="auto"/>
        </w:rPr>
        <w:t>Section 2.11(b)</w:t>
      </w:r>
      <w:r>
        <w:rPr>
          <w:rFonts w:ascii="Arial" w:cs="Arial" w:eastAsia="Arial" w:hAnsi="Arial"/>
          <w:sz w:val="16"/>
          <w:szCs w:val="16"/>
          <w:color w:val="auto"/>
        </w:rPr>
        <w:t>, to the extent that Agent advances funds to the Borrower on behalf of any Revolving Lender and is not reimbursed therefor on the same Business Day as such advance is made, Agent shall be entitled to retain for its account all interest accrued on such advance from the date such advance was made until reimbursed by the applicable Revolving Lender.</w:t>
      </w:r>
    </w:p>
    <w:p>
      <w:pPr>
        <w:spacing w:after="0" w:line="169" w:lineRule="exact"/>
        <w:rPr>
          <w:rFonts w:ascii="Arial" w:cs="Arial" w:eastAsia="Arial" w:hAnsi="Arial"/>
          <w:sz w:val="16"/>
          <w:szCs w:val="16"/>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360" w:firstLine="421"/>
        <w:spacing w:after="0" w:line="264" w:lineRule="auto"/>
        <w:tabs>
          <w:tab w:leader="none" w:pos="15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Agent pays an amount to a Lender under this Agreement in the belief or expectation that a related payment has been or will be received by Agent from the Borrower and such related payment is not received by Agent, then Agent will be entitled to recover such amount from such Lender on demand without setoff, counterclaim or deduction of any kind.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94" w:name="page95"/>
    <w:bookmarkEnd w:id="94"/>
    <w:p>
      <w:pPr>
        <w:ind w:left="460" w:right="80" w:firstLine="421"/>
        <w:spacing w:after="0" w:line="293" w:lineRule="auto"/>
        <w:tabs>
          <w:tab w:leader="none" w:pos="1145"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Agent determines at any time that any amount received by Agent under this Agreement or any other Loan Document must be returned to any Credit Party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the Borrower or such other Person, without setoff, counterclaim or deduction of any kind, and Agent will be entitled to set-off against future distributions to such Lender any such amounts (with interest) that are not repaid on demand.</w:t>
      </w:r>
    </w:p>
    <w:p>
      <w:pPr>
        <w:spacing w:after="0" w:line="164" w:lineRule="exact"/>
        <w:rPr>
          <w:rFonts w:ascii="Arial" w:cs="Arial" w:eastAsia="Arial" w:hAnsi="Arial"/>
          <w:sz w:val="16"/>
          <w:szCs w:val="16"/>
          <w:color w:val="auto"/>
        </w:rPr>
      </w:pPr>
    </w:p>
    <w:p>
      <w:pPr>
        <w:ind w:left="240" w:hanging="236"/>
        <w:spacing w:after="0"/>
        <w:tabs>
          <w:tab w:leader="none" w:pos="2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80" w:firstLine="421"/>
        <w:spacing w:after="0" w:line="255" w:lineRule="auto"/>
        <w:tabs>
          <w:tab w:leader="none" w:pos="1095"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Responsibility</w:t>
      </w:r>
      <w:r>
        <w:rPr>
          <w:rFonts w:ascii="Arial" w:cs="Arial" w:eastAsia="Arial" w:hAnsi="Arial"/>
          <w:sz w:val="18"/>
          <w:szCs w:val="18"/>
          <w:color w:val="auto"/>
        </w:rPr>
        <w:t>. The failure of any Defaulting Lender to make any Revolving Loan, or to fund any purchase of any participation to be made or funded by it (including with respect to any Letter of Credit or Swing Loan), or to make any payment required by it under any Loan Document on the date specified therefor shall not relieve any other Lender of its obligations to make such loan, fund the purchase of any such participation, or make any other such required payment on such date, and neither Agent nor, other than as expressly set forth herein, any other Lender shall be responsible for the failure of any Defaulting Lender to make a loan, fund the purchase of a participation or make any other required payment under any Loan Document.</w:t>
      </w:r>
    </w:p>
    <w:p>
      <w:pPr>
        <w:spacing w:after="0" w:line="85" w:lineRule="exact"/>
        <w:rPr>
          <w:sz w:val="20"/>
          <w:szCs w:val="20"/>
          <w:color w:val="auto"/>
        </w:rPr>
      </w:pPr>
    </w:p>
    <w:p>
      <w:pPr>
        <w:ind w:left="460" w:right="40" w:firstLine="421"/>
        <w:spacing w:after="0" w:line="289" w:lineRule="auto"/>
        <w:tabs>
          <w:tab w:leader="none" w:pos="114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Reallocation</w:t>
      </w:r>
      <w:r>
        <w:rPr>
          <w:rFonts w:ascii="Arial" w:cs="Arial" w:eastAsia="Arial" w:hAnsi="Arial"/>
          <w:sz w:val="16"/>
          <w:szCs w:val="16"/>
          <w:color w:val="auto"/>
        </w:rPr>
        <w:t>. If any Revolving Lender is a Defaulting Lender, all or a portion of such Defaulting Lender’s Letter of Credit Obligations (unless such Lender is the L/C Issuer that Issued such Letter of Credit) and reimbursement obligations with respect to Swing Loans shall, at Agent’s election at any time or upon any L/C Issuer’s or Swing Lender’s, as applicable, written request delivered to Agent (whether before or after the occurrence of any Default or Event of Default), be reallocated to and assumed by the Revolving Lenders that are not Defaulting Lenders pro rata in accordance with their Commitment Percentages of the Aggregate Revolving Loan Commitment (calculated as if the Defaulting Lender’s Commitment Percentage was reduced to zero and each other Revolving Lender’s (other than any other Defaulting Lender’s) Commitment Percentage had been increased proportionately), provided that no Revolving Lender shall be reallocated any such amounts or be required to fund any amounts that would cause the sum of its outstanding Revolving Loans, outstanding Letter of Credit Obligations, amounts of its participations in Swing Loans and its pro rata share of unparticipated amounts in Swing Loans to exceed its Revolving Loan Commitment.</w:t>
      </w:r>
    </w:p>
    <w:p>
      <w:pPr>
        <w:spacing w:after="0" w:line="58" w:lineRule="exact"/>
        <w:rPr>
          <w:rFonts w:ascii="Arial" w:cs="Arial" w:eastAsia="Arial" w:hAnsi="Arial"/>
          <w:sz w:val="16"/>
          <w:szCs w:val="16"/>
          <w:color w:val="auto"/>
        </w:rPr>
      </w:pPr>
    </w:p>
    <w:p>
      <w:pPr>
        <w:ind w:left="460" w:firstLine="421"/>
        <w:spacing w:after="0" w:line="270" w:lineRule="auto"/>
        <w:tabs>
          <w:tab w:leader="none" w:pos="119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xml:space="preserve">. Notwithstanding anything set forth herein to the contrary, including </w:t>
      </w:r>
      <w:r>
        <w:rPr>
          <w:rFonts w:ascii="Arial" w:cs="Arial" w:eastAsia="Arial" w:hAnsi="Arial"/>
          <w:sz w:val="17"/>
          <w:szCs w:val="17"/>
          <w:u w:val="single" w:color="auto"/>
          <w:color w:val="auto"/>
        </w:rPr>
        <w:t>Section 10.1</w:t>
      </w:r>
      <w:r>
        <w:rPr>
          <w:rFonts w:ascii="Arial" w:cs="Arial" w:eastAsia="Arial" w:hAnsi="Arial"/>
          <w:sz w:val="17"/>
          <w:szCs w:val="17"/>
          <w:color w:val="auto"/>
        </w:rPr>
        <w:t>, a Defaulting Lender (other than a Defaulting Lender who only holds fully funded Term Loans) shall not have any voting or consent rights under or with respect to any Loan Document or constitute a “Lender” or a “Revolving Lender” or a “Term Lender</w:t>
      </w:r>
      <w:r>
        <w:rPr>
          <w:rFonts w:ascii="Arial" w:cs="Arial" w:eastAsia="Arial" w:hAnsi="Arial"/>
          <w:sz w:val="17"/>
          <w:szCs w:val="17"/>
          <w:b w:val="1"/>
          <w:bCs w:val="1"/>
          <w:color w:val="auto"/>
        </w:rPr>
        <w:t>”</w:t>
      </w:r>
      <w:r>
        <w:rPr>
          <w:rFonts w:ascii="Arial" w:cs="Arial" w:eastAsia="Arial" w:hAnsi="Arial"/>
          <w:sz w:val="17"/>
          <w:szCs w:val="17"/>
          <w:color w:val="auto"/>
        </w:rPr>
        <w:t xml:space="preserve"> (or be, or have its Loans and Commitments, included in the determination of “Required Lenders”, “Required Revolving Lenders” or “Lenders directly affected”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for any voting or consent rights under or with respect to any Loan Document, provided that (A) the Commitment of a Defaulting Lender may not be increased, extended or reinstated, (B) the principal of a Defaulting Lender’s Loans may not be reduced or forgiven, and (C) the interest rate applicable to Obligations under the Loan Documents owing to a Defaulting Lender may not be reduced in such a manner that by its terms affects such Defaulting Lender more adversely than other Lenders, in each case, without the consent of such Defaulting Lender. Moreover, for the purposes of determining Required Lenders and Required Revolving Lenders, the Loans, Letter of Credit Obligations, and Commitments held by Defaulting Lenders shall be excluded from the total Loans and Commitments outstanding.</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95" w:name="page96"/>
    <w:bookmarkEnd w:id="95"/>
    <w:p>
      <w:pPr>
        <w:ind w:left="-1" w:firstLine="421"/>
        <w:spacing w:after="0" w:line="267" w:lineRule="auto"/>
        <w:tabs>
          <w:tab w:leader="none" w:pos="724"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Payments to a Defaulting Lender</w:t>
      </w:r>
      <w:r>
        <w:rPr>
          <w:rFonts w:ascii="Arial" w:cs="Arial" w:eastAsia="Arial" w:hAnsi="Arial"/>
          <w:sz w:val="17"/>
          <w:szCs w:val="17"/>
          <w:color w:val="auto"/>
        </w:rPr>
        <w:t xml:space="preserve">. Agent shall be authorized to use all payments received by Agent for the benefit of any Defaulting Lender pursuant to this Agreement to pay in full the Aggregate Excess Funding Amount to the appropriate Secured Parties. Agent shall be entitled to hold as cash collateral in a non-interest bearing account up to an amount equal to such Defaulting Lender’s pro rata share, without giving effect to any reallocation pursuant to </w:t>
      </w:r>
      <w:r>
        <w:rPr>
          <w:rFonts w:ascii="Arial" w:cs="Arial" w:eastAsia="Arial" w:hAnsi="Arial"/>
          <w:sz w:val="17"/>
          <w:szCs w:val="17"/>
          <w:u w:val="single" w:color="auto"/>
          <w:color w:val="auto"/>
        </w:rPr>
        <w:t>Section 2.11(e)(ii)</w:t>
      </w:r>
      <w:r>
        <w:rPr>
          <w:rFonts w:ascii="Arial" w:cs="Arial" w:eastAsia="Arial" w:hAnsi="Arial"/>
          <w:sz w:val="17"/>
          <w:szCs w:val="17"/>
          <w:color w:val="auto"/>
        </w:rPr>
        <w:t>, of all Letter of Credit Obligations until the Facility Termination Date. Upon any such unfunded obligations owing by a Defaulting Lender becoming due and payable, Agent shall be authorized to use such cash collateral to make such payment on behalf of such Defaulting Lender. With respect to such Defaulting Lender’s failure to fund Revolving Loans or Term Loans, or purchase participations in Letters of Credit or Letter of Credit Obligations, any amounts applied by Agent to satisfy such funding shortfalls shall be deemed to constitute a Revolving Loan or amount of the participation required to be funded and, if necessary to effectuate the foregoing with respect to Revolving Loans, the other Revolving Lenders shall be deemed to have sold, and such Defaulting Lender shall be deemed to have purchased, Revolving Loans or Letter of Credit participation interests from the other Revolving Lenders until such time as the aggregate amount of the Revolving Loans and participations in Letters of Credit and Letter of Credit Obligations are held by the Revolving Lenders in accordance with their Commitment Percentages of the Aggregate Revolving Loan Commitment. Any amounts owing by a Defaulting Lender to Agent which are not paid when due shall accrue interest at the interest rate applicable during such period to Revolving Loans or Term Loans, as applicable, that are Base Rate Loans. In the event that Agent is holding cash collateral of a Defaulting Lender that cures pursuant to clause (v) below or ceases to be a Defaulting Lender pursuant to the definition of Defaulting Lender, Agent shall return the unused portion of such cash collateral to such Lender. The “</w:t>
      </w:r>
      <w:r>
        <w:rPr>
          <w:rFonts w:ascii="Arial" w:cs="Arial" w:eastAsia="Arial" w:hAnsi="Arial"/>
          <w:sz w:val="17"/>
          <w:szCs w:val="17"/>
          <w:b w:val="1"/>
          <w:bCs w:val="1"/>
          <w:color w:val="auto"/>
        </w:rPr>
        <w:t>Aggregate Excess Funding Amount</w:t>
      </w:r>
      <w:r>
        <w:rPr>
          <w:rFonts w:ascii="Arial" w:cs="Arial" w:eastAsia="Arial" w:hAnsi="Arial"/>
          <w:sz w:val="17"/>
          <w:szCs w:val="17"/>
          <w:color w:val="auto"/>
        </w:rPr>
        <w:t xml:space="preserve">” of a Defaulting Lender shall be the aggregate amount of (A) all unpaid obligations owing by such Lender to Agent, L/C Issuers, Swing Lender, and other Lenders under the Loan Documents, including such Lender’s pro rata share of all Revolving Loans, Letter of Credit Obligations and Swing Loans, plus, without duplication, (B) all amounts of such Defaulting Lender’s Letter of Credit Obligations and reimbursement obligations with respect to Swing Loans reallocated to other Lenders pursuant to </w:t>
      </w:r>
      <w:r>
        <w:rPr>
          <w:rFonts w:ascii="Arial" w:cs="Arial" w:eastAsia="Arial" w:hAnsi="Arial"/>
          <w:sz w:val="17"/>
          <w:szCs w:val="17"/>
          <w:u w:val="single" w:color="auto"/>
          <w:color w:val="auto"/>
        </w:rPr>
        <w:t>Section 2.11(e)(ii)</w:t>
      </w:r>
      <w:r>
        <w:rPr>
          <w:rFonts w:ascii="Arial" w:cs="Arial" w:eastAsia="Arial" w:hAnsi="Arial"/>
          <w:sz w:val="17"/>
          <w:szCs w:val="17"/>
          <w:color w:val="auto"/>
        </w:rPr>
        <w:t>.</w:t>
      </w:r>
    </w:p>
    <w:p>
      <w:pPr>
        <w:spacing w:after="0" w:line="80" w:lineRule="exact"/>
        <w:rPr>
          <w:rFonts w:ascii="Arial" w:cs="Arial" w:eastAsia="Arial" w:hAnsi="Arial"/>
          <w:sz w:val="17"/>
          <w:szCs w:val="17"/>
          <w:color w:val="auto"/>
        </w:rPr>
      </w:pPr>
    </w:p>
    <w:p>
      <w:pPr>
        <w:ind w:left="-1" w:right="280" w:firstLine="421"/>
        <w:spacing w:after="0" w:line="291" w:lineRule="auto"/>
        <w:tabs>
          <w:tab w:leader="none" w:pos="674"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Cure</w:t>
      </w:r>
      <w:r>
        <w:rPr>
          <w:rFonts w:ascii="Arial" w:cs="Arial" w:eastAsia="Arial" w:hAnsi="Arial"/>
          <w:sz w:val="16"/>
          <w:szCs w:val="16"/>
          <w:color w:val="auto"/>
        </w:rPr>
        <w:t>. A Lender may cure its status as a Defaulting Lender under clause (a) of the definition of Defaulting Lender if such (A) Lender fully pays to Agent, on behalf of the applicable Secured Parties, the Aggregate Excess Funding Amount, plus all interest due thereon and</w:t>
      </w:r>
    </w:p>
    <w:p>
      <w:pPr>
        <w:ind w:left="-1" w:right="220" w:firstLine="1"/>
        <w:spacing w:after="0" w:line="290" w:lineRule="auto"/>
        <w:tabs>
          <w:tab w:leader="none" w:pos="2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timely funds the next Revolving Loan required to be funded by such Lender or makes the next reimbursement required to be made by such Lender. Any such cure shall not relieve any Lender from liability for breaching its contractual obligations hereunder.</w:t>
      </w:r>
    </w:p>
    <w:p>
      <w:pPr>
        <w:spacing w:after="0" w:line="53" w:lineRule="exact"/>
        <w:rPr>
          <w:rFonts w:ascii="Arial" w:cs="Arial" w:eastAsia="Arial" w:hAnsi="Arial"/>
          <w:sz w:val="17"/>
          <w:szCs w:val="17"/>
          <w:color w:val="auto"/>
        </w:rPr>
      </w:pPr>
    </w:p>
    <w:p>
      <w:pPr>
        <w:ind w:left="-1" w:right="20" w:firstLine="421"/>
        <w:spacing w:after="0" w:line="255" w:lineRule="auto"/>
        <w:tabs>
          <w:tab w:leader="none" w:pos="724"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 Lender that is a Defaulting Lender pursuant to clause (a) of the definition of Defaulting Lender shall not earn and shall not be entitled to receive, and the Borrower shall not be required to pay, such Lender’s portion of the Unused Revolving Commitment Fee or Unused Initial Term Commitment Fee during the time such Lender is a Defaulting Lender pursuant to clause (a) thereof. In the event that any reallocation of Letter of Credit Obligations occurs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 during the period of time that such reallocation remains in effect, the Letter of Credit Fee payable with respect to such reallocated portion shall be payable to (A) all Revolving Lenders based on their pro rata share of such reallocation or (B) the L/C Issuer for any remaining portion not reallocated to any other Revolving Lenders. So long as a Lender is a Defaulting Lender,</w:t>
      </w:r>
    </w:p>
    <w:p>
      <w:pPr>
        <w:spacing w:after="0" w:line="122"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499"/>
          </w:cols>
          <w:pgMar w:left="1161" w:top="274" w:right="239" w:bottom="1440" w:gutter="0" w:footer="0" w:header="0"/>
        </w:sectPr>
      </w:pPr>
    </w:p>
    <w:bookmarkStart w:id="96" w:name="page97"/>
    <w:bookmarkEnd w:id="96"/>
    <w:p>
      <w:pPr>
        <w:ind w:left="92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Letter of Credit Fee payable with respect to any Letter of Credit Obligation of such Defaulting Lender that has not been reallocated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 xml:space="preserve"> shall be payable to the L/C Issuer.</w:t>
      </w:r>
    </w:p>
    <w:p>
      <w:pPr>
        <w:spacing w:after="0" w:line="170" w:lineRule="exact"/>
        <w:rPr>
          <w:sz w:val="20"/>
          <w:szCs w:val="20"/>
          <w:color w:val="auto"/>
        </w:rPr>
      </w:pPr>
    </w:p>
    <w:p>
      <w:pPr>
        <w:ind w:firstLine="464"/>
        <w:spacing w:after="0" w:line="259" w:lineRule="auto"/>
        <w:tabs>
          <w:tab w:leader="none" w:pos="68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Agent is hereby authorized by each Credit Party and each other Secured Party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w:t>
      </w:r>
    </w:p>
    <w:p>
      <w:pPr>
        <w:spacing w:after="0" w:line="186"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Cashless Settlement</w:t>
      </w:r>
      <w:r>
        <w:rPr>
          <w:rFonts w:ascii="Arial" w:cs="Arial" w:eastAsia="Arial" w:hAnsi="Arial"/>
          <w:sz w:val="18"/>
          <w:szCs w:val="18"/>
          <w:color w:val="auto"/>
        </w:rPr>
        <w:t>. Notwithstanding anything to the contrary contained in this Agreement, any Lender may exchange, continue or rollover all or a portion of its Loans or Commitments in connection with any refinancing, extension, loan modification or similar transaction permitted by the terms of this Agreement, pursuant to a cashless settlement mechanism approved by the Borrower, Agent and such Lender.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xml:space="preserve">. The obligation of each Lender to make its initial Loans and of each L/C Issuer to Issue, or cause to be Issued, the initial Letters of Credit hereunder is subject to satisfaction of the following conditions on or prior to the Closing Date in a manner satisfactory to Agent, except to the extent expressly permitted to be delivered after the Closing Date by a date required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81" w:lineRule="exact"/>
        <w:rPr>
          <w:sz w:val="20"/>
          <w:szCs w:val="20"/>
          <w:color w:val="auto"/>
        </w:rPr>
      </w:pPr>
    </w:p>
    <w:p>
      <w:pPr>
        <w:ind w:right="340" w:firstLine="464"/>
        <w:spacing w:after="0" w:line="302" w:lineRule="auto"/>
        <w:tabs>
          <w:tab w:leader="none" w:pos="70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Agent shall have received on or before the Closing Date this Agreement duly executed by Agent, all Lenders named on the signature pages hereto, Holdings, the Borrower and all Restricted Subsidiaries of the Borrower (other than Excluded Subsidiaries), together with all other agreements, documents, instruments and other items set forth on the closing checklist attached hereto as </w:t>
      </w:r>
      <w:r>
        <w:rPr>
          <w:rFonts w:ascii="Arial" w:cs="Arial" w:eastAsia="Arial" w:hAnsi="Arial"/>
          <w:sz w:val="16"/>
          <w:szCs w:val="16"/>
          <w:u w:val="single" w:color="auto"/>
          <w:color w:val="auto"/>
        </w:rPr>
        <w:t>Exhibit 3.1</w:t>
      </w:r>
      <w:r>
        <w:rPr>
          <w:rFonts w:ascii="Arial" w:cs="Arial" w:eastAsia="Arial" w:hAnsi="Arial"/>
          <w:sz w:val="16"/>
          <w:szCs w:val="16"/>
          <w:color w:val="auto"/>
        </w:rPr>
        <w:t>, including the Flood Insurance Requirements in the case of any Mortgages to be delivered on the Closing Date each in form and substance reasonably satisfactory to Agent;</w:t>
      </w:r>
    </w:p>
    <w:p>
      <w:pPr>
        <w:spacing w:after="0" w:line="154" w:lineRule="exact"/>
        <w:rPr>
          <w:rFonts w:ascii="Arial" w:cs="Arial" w:eastAsia="Arial" w:hAnsi="Arial"/>
          <w:sz w:val="16"/>
          <w:szCs w:val="16"/>
          <w:color w:val="auto"/>
        </w:rPr>
      </w:pPr>
    </w:p>
    <w:p>
      <w:pPr>
        <w:ind w:right="380" w:firstLine="464"/>
        <w:spacing w:after="0" w:line="291" w:lineRule="auto"/>
        <w:tabs>
          <w:tab w:leader="none" w:pos="71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No Default; Representations and Warranties</w:t>
      </w:r>
      <w:r>
        <w:rPr>
          <w:rFonts w:ascii="Arial" w:cs="Arial" w:eastAsia="Arial" w:hAnsi="Arial"/>
          <w:sz w:val="16"/>
          <w:szCs w:val="16"/>
          <w:color w:val="auto"/>
        </w:rPr>
        <w:t>. As of the Closing Date, (i) no Default or Event of Default has occurred and is continuing or could reasonably be expected to result after giving effect to the Loans made (and the incurrence of any Letter of Credit Obligations) on the Closing Date and</w:t>
      </w:r>
    </w:p>
    <w:p>
      <w:pPr>
        <w:ind w:right="160" w:firstLine="8"/>
        <w:spacing w:after="0" w:line="261" w:lineRule="auto"/>
        <w:tabs>
          <w:tab w:leader="none" w:pos="2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representation or warranty made by a Credit Party contained herein or in any other Loan Document shall be true and correct in all material respects (without duplication of any materiality qualifier contained herein or therein);</w:t>
      </w:r>
    </w:p>
    <w:p>
      <w:pPr>
        <w:spacing w:after="0" w:line="183" w:lineRule="exact"/>
        <w:rPr>
          <w:rFonts w:ascii="Arial" w:cs="Arial" w:eastAsia="Arial" w:hAnsi="Arial"/>
          <w:sz w:val="18"/>
          <w:szCs w:val="18"/>
          <w:color w:val="auto"/>
        </w:rPr>
      </w:pPr>
    </w:p>
    <w:p>
      <w:pPr>
        <w:ind w:right="380" w:firstLine="464"/>
        <w:spacing w:after="0" w:line="342" w:lineRule="auto"/>
        <w:tabs>
          <w:tab w:leader="none" w:pos="70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the funding and disbursement of the Loans made on the Closing Date and the other Indebtedness contemplated herein,, and the payment and accrual of all transaction costs in connection with the foregoing, each of the Borrower and the Guarantors will be Solvent;</w:t>
      </w:r>
    </w:p>
    <w:p>
      <w:pPr>
        <w:spacing w:after="0" w:line="123" w:lineRule="exact"/>
        <w:rPr>
          <w:rFonts w:ascii="Arial" w:cs="Arial" w:eastAsia="Arial" w:hAnsi="Arial"/>
          <w:sz w:val="16"/>
          <w:szCs w:val="16"/>
          <w:color w:val="auto"/>
        </w:rPr>
      </w:pPr>
    </w:p>
    <w:p>
      <w:pPr>
        <w:ind w:right="420" w:firstLine="464"/>
        <w:spacing w:after="0" w:line="264" w:lineRule="auto"/>
        <w:tabs>
          <w:tab w:leader="none" w:pos="711"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xml:space="preserve">. Agent shall have received a certificate from the Borrower’s insurance broker or other evidence satisfactory to it that all insurance required to be maintained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is in full force and effect, together with endorsements naming the Agent, for the benefit of Lenders, as additional insured and loss payee thereunder to the extent required under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60" w:firstLine="464"/>
        <w:spacing w:after="0" w:line="342" w:lineRule="auto"/>
        <w:tabs>
          <w:tab w:leader="none" w:pos="701"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Leverage</w:t>
      </w:r>
      <w:r>
        <w:rPr>
          <w:rFonts w:ascii="Arial" w:cs="Arial" w:eastAsia="Arial" w:hAnsi="Arial"/>
          <w:sz w:val="16"/>
          <w:szCs w:val="16"/>
          <w:color w:val="auto"/>
        </w:rPr>
        <w:t>. The Borrower shall have delivered evidence to the satisfaction of Agent demonstrating that the ratio of (x) Consolidated Total Indebtedness of the Credit Parties less Subordinated Indebtedness of the Credit Parties, in each instance, as of the Closing Date after giving effect to the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97" w:name="page98"/>
    <w:bookmarkEnd w:id="97"/>
    <w:p>
      <w:pPr>
        <w:ind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all costs and expenses in connection herewith, funding of the initial Loans and Issuance of the initial Letters of Credit, to (y) Consolidated EBITDA of the Borrower for the twelve (12) month period ending February 28, 2017 shall not exceed 2.50:1.00;</w:t>
      </w:r>
    </w:p>
    <w:p>
      <w:pPr>
        <w:spacing w:after="0" w:line="170" w:lineRule="exact"/>
        <w:rPr>
          <w:sz w:val="20"/>
          <w:szCs w:val="20"/>
          <w:color w:val="auto"/>
        </w:rPr>
      </w:pPr>
    </w:p>
    <w:p>
      <w:pPr>
        <w:ind w:right="80" w:firstLine="464"/>
        <w:spacing w:after="0" w:line="264" w:lineRule="auto"/>
        <w:tabs>
          <w:tab w:leader="none" w:pos="68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shall not exist any action, suit, investigation, litigation or proceeding pending or threatened in or before any Governmental Authority that challenges the credit facilities hereunder, and there shall not exist any order, injunction or decree of any Governmental Authority restraining or prohibiting the funding of the Loans hereunder or the transactions contemplated hereby;</w:t>
      </w:r>
    </w:p>
    <w:p>
      <w:pPr>
        <w:spacing w:after="0" w:line="181"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Agent and Lenders shall have received payment for all fees and expenses required to be paid on the Closing Date pursuant to any Loan Document or other applicable Contractual Obligation;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December 31, 2016, there shall not have occurred any Material Adverse Effect.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For the purpose of determining satisfaction with the conditions specified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each Lender that has signed and delivered this Agreement shall be deemed to have accepted, and to be satisfied with, each document or other matter required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unless Agent shall have received written notice from such Lender prior to the Closing Date specifying its objection thereto.</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Conditions to Certain Revolving Commitment Borrowings</w:t>
      </w:r>
      <w:r>
        <w:rPr>
          <w:rFonts w:ascii="Arial" w:cs="Arial" w:eastAsia="Arial" w:hAnsi="Arial"/>
          <w:sz w:val="18"/>
          <w:szCs w:val="18"/>
          <w:color w:val="auto"/>
        </w:rPr>
        <w:t>. Except as otherwise expressly provided herein, no Lender or L/C Issuer shall be obligated to fund any Revolving Loan or Swing Loan or incur any Letter of Credit Obligation, if, as of the date thereof:</w:t>
      </w:r>
    </w:p>
    <w:p>
      <w:pPr>
        <w:spacing w:after="0" w:line="170" w:lineRule="exact"/>
        <w:rPr>
          <w:sz w:val="20"/>
          <w:szCs w:val="20"/>
          <w:color w:val="auto"/>
        </w:rPr>
      </w:pPr>
    </w:p>
    <w:p>
      <w:pPr>
        <w:ind w:right="40" w:firstLine="464"/>
        <w:spacing w:after="0" w:line="276" w:lineRule="auto"/>
        <w:tabs>
          <w:tab w:leader="none" w:pos="701"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Agent or Required Revolving Lenders have determined not to make such Loan or incur such Letter of Credit Obligation as a result of the fact that such representation or warranty is untrue or incorrect;</w:t>
      </w:r>
    </w:p>
    <w:p>
      <w:pPr>
        <w:spacing w:after="0" w:line="172" w:lineRule="exact"/>
        <w:rPr>
          <w:rFonts w:ascii="Arial" w:cs="Arial" w:eastAsia="Arial" w:hAnsi="Arial"/>
          <w:sz w:val="17"/>
          <w:szCs w:val="17"/>
          <w:color w:val="auto"/>
        </w:rPr>
      </w:pPr>
    </w:p>
    <w:p>
      <w:pPr>
        <w:ind w:right="160" w:firstLine="464"/>
        <w:spacing w:after="0" w:line="312" w:lineRule="auto"/>
        <w:tabs>
          <w:tab w:leader="none" w:pos="711"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Revolving Loans, Swing Loans or Issuances of Letters of Credit, any Default or Event of Default has occurred and is continuing or would reasonably be expected to result after giving effect to such Loan (or the incurrence of any Letter of Credit Obligation), and Agent or Required Revolving Lenders shall have determined not to make such Loan or incur such Letter of Credit Obligation as a result of that Default or Event of Default; or</w:t>
      </w:r>
    </w:p>
    <w:p>
      <w:pPr>
        <w:spacing w:after="0" w:line="146" w:lineRule="exact"/>
        <w:rPr>
          <w:rFonts w:ascii="Arial" w:cs="Arial" w:eastAsia="Arial" w:hAnsi="Arial"/>
          <w:sz w:val="16"/>
          <w:szCs w:val="16"/>
          <w:color w:val="auto"/>
        </w:rPr>
      </w:pPr>
    </w:p>
    <w:p>
      <w:pPr>
        <w:ind w:right="160" w:firstLine="464"/>
        <w:spacing w:after="0" w:line="277" w:lineRule="auto"/>
        <w:tabs>
          <w:tab w:leader="none" w:pos="7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after giving effect to any Revolving Loan or Swing Loan (or the incurrence of any Letter of Credit Obligations), the aggregate outstanding amount of the Revolving Loans would exceed the Maximum Revolving Loan Balance; and</w:t>
      </w:r>
    </w:p>
    <w:p>
      <w:pPr>
        <w:spacing w:after="0" w:line="170" w:lineRule="exact"/>
        <w:rPr>
          <w:rFonts w:ascii="Arial" w:cs="Arial" w:eastAsia="Arial" w:hAnsi="Arial"/>
          <w:sz w:val="18"/>
          <w:szCs w:val="18"/>
          <w:color w:val="auto"/>
        </w:rPr>
      </w:pPr>
    </w:p>
    <w:p>
      <w:pPr>
        <w:ind w:firstLine="464"/>
        <w:spacing w:after="0" w:line="259" w:lineRule="auto"/>
        <w:tabs>
          <w:tab w:leader="none" w:pos="71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after giving effect to any Revolving Loan or Swing Loan (or the incurrence of any Letter of Credit Obligations), the ratio of (i) all Consolidated Total Indebtedness less Subordinated Indebtedness of the Credit Parties, in each case as of the date of such Borrowing or incurrence, to (ii) Consolidated Adjusted EBITDA for the most recent twelve month period ending on or prior to such date for which financial statements have been delivered (or are required to have been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would exceed 4.25:1.00.</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request by the Borrower and acceptance by the Borrower of the proceeds of any Revolving Loan, Swing Loan or the incurrence of any Letter of Credit Obligations shall be deemed to constitute, as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98" w:name="page99"/>
    <w:bookmarkEnd w:id="9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thereof, (i) a representation and warranty by the Borrower that the conditions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(without regard to any determination or agreement made or to be made by Agent or Required Revolving Lenders) have been satisfied and (ii) a reaffirmation by each Credit Party of the granting and continuance of Agent’s Liens, on behalf of itself and the Secured Parties, pursuant to the Collateral Documents.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Term Loan Borrowings</w:t>
      </w:r>
      <w:r>
        <w:rPr>
          <w:rFonts w:ascii="Arial" w:cs="Arial" w:eastAsia="Arial" w:hAnsi="Arial"/>
          <w:sz w:val="18"/>
          <w:szCs w:val="18"/>
          <w:color w:val="auto"/>
        </w:rPr>
        <w:t>. No Term Lender shall be obligated to fund any Term Loan, if, as of the date thereof:</w:t>
      </w:r>
    </w:p>
    <w:p>
      <w:pPr>
        <w:spacing w:after="0" w:line="225" w:lineRule="exact"/>
        <w:rPr>
          <w:sz w:val="20"/>
          <w:szCs w:val="20"/>
          <w:color w:val="auto"/>
        </w:rPr>
      </w:pPr>
    </w:p>
    <w:p>
      <w:pPr>
        <w:ind w:firstLine="464"/>
        <w:spacing w:after="0" w:line="284" w:lineRule="auto"/>
        <w:tabs>
          <w:tab w:leader="none" w:pos="701"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the Persons providing such Term Loans have determined not to make such Term Loan as a result of the fact that such representation or warranty is untrue or incorrect;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proceeds of such Term Loan are being used to finance a Limited Condition Acquisition and (ii) such Limited Condition Acquisition is consummated on or prior to the date that is ninety (90) days following the date of the signing of the related Limited Condition Acquisition Agreement, then no Term Lender shall be obligated to fund such Term Loan with respect thereto unless</w:t>
      </w:r>
    </w:p>
    <w:p>
      <w:pPr>
        <w:spacing w:after="0" w:line="2" w:lineRule="exact"/>
        <w:rPr>
          <w:rFonts w:ascii="Arial" w:cs="Arial" w:eastAsia="Arial" w:hAnsi="Arial"/>
          <w:sz w:val="16"/>
          <w:szCs w:val="16"/>
          <w:color w:val="auto"/>
        </w:rPr>
      </w:pPr>
    </w:p>
    <w:p>
      <w:pPr>
        <w:ind w:right="20" w:firstLine="8"/>
        <w:spacing w:after="0" w:line="268" w:lineRule="auto"/>
        <w:tabs>
          <w:tab w:leader="none" w:pos="29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as of the date of the signing of such Limited Condition Acquisition Agreement, all representations and warranties under the Loan Documents are true and correct in all material respects (without duplication of any materiality qualifier contained therein)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(B) as of the funding of such Term Loan, the representations and warranties (i) of the Borrower and the other Credit Parties contained in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4.1(b)(ii)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4.2(a)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4.5(a)</w:t>
      </w:r>
      <w:r>
        <w:rPr>
          <w:rFonts w:ascii="Arial" w:cs="Arial" w:eastAsia="Arial" w:hAnsi="Arial"/>
          <w:sz w:val="17"/>
          <w:szCs w:val="17"/>
          <w:color w:val="auto"/>
        </w:rPr>
        <w:t xml:space="preserve">,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4.23</w:t>
      </w:r>
      <w:r>
        <w:rPr>
          <w:rFonts w:ascii="Arial" w:cs="Arial" w:eastAsia="Arial" w:hAnsi="Arial"/>
          <w:sz w:val="17"/>
          <w:szCs w:val="17"/>
          <w:color w:val="auto"/>
        </w:rPr>
        <w:t xml:space="preserve"> of this Agreement and Section 4.2 of the Guaranty and Security Agreement shall be true and correct in all material respects (without duplication of any materiality qualifier contained therein) and (ii) contained in the Limited Condition Acquisition Agreement as are material to the interests of Agent and the Lenders shall be true and correct in all material respects (without duplication of any materiality qualifier contained therein), but only to the extent that a Credit Party, or an Affiliate of a Credit Party, has the right to terminate its obligations under such agreement or to not consummate the Acquisition as a result of the failure of such representations and warranties to be true and correct as set forth above;</w:t>
      </w:r>
    </w:p>
    <w:p>
      <w:pPr>
        <w:spacing w:after="0" w:line="179" w:lineRule="exact"/>
        <w:rPr>
          <w:rFonts w:ascii="Arial" w:cs="Arial" w:eastAsia="Arial" w:hAnsi="Arial"/>
          <w:sz w:val="17"/>
          <w:szCs w:val="17"/>
          <w:color w:val="auto"/>
        </w:rPr>
      </w:pPr>
    </w:p>
    <w:p>
      <w:pPr>
        <w:ind w:right="40" w:firstLine="464"/>
        <w:spacing w:after="0" w:line="257" w:lineRule="auto"/>
        <w:tabs>
          <w:tab w:leader="none" w:pos="711"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any Default or Event of Default has occurred and is continuing or would reasonably be expected to result after giving effect to such Term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Term Loan are being used to finance a Limited Condition Acquisition, no Term Lender shall be obligated to fund the Term Loan with respect thereto unless (i) as of the date the signing of the Limited Condition Acquisition Agreement, no Default or Event of Default shall have occurred and be continuing and (ii) as of the date of the funding of such Term Loan, no Default or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8.1(g)</w:t>
      </w:r>
      <w:r>
        <w:rPr>
          <w:rFonts w:ascii="Arial" w:cs="Arial" w:eastAsia="Arial" w:hAnsi="Arial"/>
          <w:sz w:val="18"/>
          <w:szCs w:val="18"/>
          <w:color w:val="auto"/>
        </w:rPr>
        <w:t xml:space="preserve"> shall have occurred and is continuing at such time of funding;</w:t>
      </w:r>
    </w:p>
    <w:p>
      <w:pPr>
        <w:spacing w:after="0" w:line="188" w:lineRule="exact"/>
        <w:rPr>
          <w:rFonts w:ascii="Arial" w:cs="Arial" w:eastAsia="Arial" w:hAnsi="Arial"/>
          <w:sz w:val="18"/>
          <w:szCs w:val="18"/>
          <w:color w:val="auto"/>
        </w:rPr>
      </w:pPr>
    </w:p>
    <w:p>
      <w:pPr>
        <w:ind w:right="180" w:firstLine="464"/>
        <w:spacing w:after="0" w:line="264" w:lineRule="auto"/>
        <w:tabs>
          <w:tab w:leader="none" w:pos="701"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proceeds of such Term Loan would not be used solely to finance or refinance the purchase price of, and to pay fees, costs and expenses in connection with, a Permitted Acquisition consummated substantially concurrently with the incurrence thereof or within forty-five (45) days prior to the date of incurrence;</w:t>
      </w:r>
    </w:p>
    <w:p>
      <w:pPr>
        <w:spacing w:after="0" w:line="181" w:lineRule="exact"/>
        <w:rPr>
          <w:rFonts w:ascii="Arial" w:cs="Arial" w:eastAsia="Arial" w:hAnsi="Arial"/>
          <w:sz w:val="18"/>
          <w:szCs w:val="18"/>
          <w:color w:val="auto"/>
        </w:rPr>
      </w:pPr>
    </w:p>
    <w:p>
      <w:pPr>
        <w:ind w:right="200" w:firstLine="464"/>
        <w:spacing w:after="0" w:line="342" w:lineRule="auto"/>
        <w:tabs>
          <w:tab w:leader="none" w:pos="711" w:val="left"/>
        </w:tabs>
        <w:numPr>
          <w:ilvl w:val="1"/>
          <w:numId w:val="90"/>
        </w:numPr>
        <w:rPr>
          <w:rFonts w:ascii="Arial" w:cs="Arial" w:eastAsia="Arial" w:hAnsi="Arial"/>
          <w:sz w:val="16"/>
          <w:szCs w:val="16"/>
          <w:color w:val="auto"/>
        </w:rPr>
      </w:pPr>
      <w:r>
        <w:rPr>
          <w:rFonts w:ascii="Arial" w:cs="Arial" w:eastAsia="Arial" w:hAnsi="Arial"/>
          <w:sz w:val="16"/>
          <w:szCs w:val="16"/>
          <w:color w:val="auto"/>
        </w:rPr>
        <w:t>with respect to Initial Term Loans, (i) the amount of the requested Initial Term Loan shall exceed the remaining amount of Aggregate Initial Term Loan Commitment or (ii) the requested funding date of such Initial Term Loan would occur after the Initial Term Loan Commitment Expiration Date; or</w:t>
      </w:r>
    </w:p>
    <w:p>
      <w:pPr>
        <w:spacing w:after="0" w:line="123" w:lineRule="exact"/>
        <w:rPr>
          <w:rFonts w:ascii="Arial" w:cs="Arial" w:eastAsia="Arial" w:hAnsi="Arial"/>
          <w:sz w:val="16"/>
          <w:szCs w:val="16"/>
          <w:color w:val="auto"/>
        </w:rPr>
      </w:pPr>
    </w:p>
    <w:p>
      <w:pPr>
        <w:ind w:right="500" w:firstLine="464"/>
        <w:spacing w:after="0" w:line="342" w:lineRule="auto"/>
        <w:tabs>
          <w:tab w:leader="none" w:pos="701" w:val="left"/>
        </w:tabs>
        <w:numPr>
          <w:ilvl w:val="1"/>
          <w:numId w:val="90"/>
        </w:numPr>
        <w:rPr>
          <w:rFonts w:ascii="Arial" w:cs="Arial" w:eastAsia="Arial" w:hAnsi="Arial"/>
          <w:sz w:val="16"/>
          <w:szCs w:val="16"/>
          <w:color w:val="auto"/>
        </w:rPr>
      </w:pPr>
      <w:r>
        <w:rPr>
          <w:rFonts w:ascii="Arial" w:cs="Arial" w:eastAsia="Arial" w:hAnsi="Arial"/>
          <w:sz w:val="16"/>
          <w:szCs w:val="16"/>
          <w:color w:val="auto"/>
        </w:rPr>
        <w:t xml:space="preserve">as of the last day of the most recent Fiscal Quarter for which financial statements have been delivered (or are required to have been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the Senior Leverage Ratio recomputed on a pro forma basis and giving effect to the making of such Term Loan and the use of</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99" w:name="page100"/>
    <w:bookmarkEnd w:id="99"/>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proceeds thereof shall exceed 3.75:1.00; provided that if the proceeds of such Term Loan are being used to finance a Limited Condition Acquisition, the Senior Leverage Ratio shall be determined as of the date that the applicable Limited Condition Acquisition Agreement is entered into, and calculated as if such Limited Condition Acquisition (and any other pending Limited Condition Acquisition) and other pro forma events in connection therewith were consummated on such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request by the Borrower and acceptance by the Borrower of the proceeds of any Term Loan shall be deemed to constitute, as of the date thereof,</w:t>
      </w:r>
    </w:p>
    <w:p>
      <w:pPr>
        <w:spacing w:after="0" w:line="46" w:lineRule="exact"/>
        <w:rPr>
          <w:sz w:val="20"/>
          <w:szCs w:val="20"/>
          <w:color w:val="auto"/>
        </w:rPr>
      </w:pPr>
    </w:p>
    <w:p>
      <w:pPr>
        <w:ind w:firstLine="8"/>
        <w:spacing w:after="0" w:line="255" w:lineRule="auto"/>
        <w:tabs>
          <w:tab w:leader="none" w:pos="2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representation and warranty by the Borrower that the conditions in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have been satisfied (without regard to any determination or agreement made or to be made by the Persons providing such Term Loans) and (ii) a reaffirmation by each Credit Party of the granting and continuance of Agent’s Liens, on behalf of itself and the Secured Parties, pursuant to the Collateral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Credit Parties, jointly and severally, represent and warrant to Agent and each Lender that the following are, and after giving effect to the transactions contemplated hereunder will be, true, correct and complete:</w:t>
      </w:r>
    </w:p>
    <w:p>
      <w:pPr>
        <w:spacing w:after="0" w:line="170"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Each Credit Party and each of their respective Restricted Subsidiaries: (a) is a corporation, limited liability company or limited partnership, as applicable, duly organized, validly existing and in good standing under the laws of the jurisdiction of its incorporation, organization or formation, as applicable; (b) has the power and authority and all governmental licenses, authorizations, Permits, consents and approvals to</w:t>
      </w:r>
    </w:p>
    <w:p>
      <w:pPr>
        <w:ind w:right="80" w:firstLine="8"/>
        <w:spacing w:after="0" w:line="271" w:lineRule="auto"/>
        <w:tabs>
          <w:tab w:leader="none" w:pos="215" w:val="left"/>
        </w:tabs>
        <w:numPr>
          <w:ilvl w:val="0"/>
          <w:numId w:val="92"/>
        </w:numPr>
        <w:rPr>
          <w:rFonts w:ascii="Arial" w:cs="Arial" w:eastAsia="Arial" w:hAnsi="Arial"/>
          <w:sz w:val="17"/>
          <w:szCs w:val="17"/>
          <w:color w:val="auto"/>
        </w:rPr>
      </w:pPr>
      <w:r>
        <w:rPr>
          <w:rFonts w:ascii="Arial" w:cs="Arial" w:eastAsia="Arial" w:hAnsi="Arial"/>
          <w:sz w:val="17"/>
          <w:szCs w:val="17"/>
          <w:color w:val="auto"/>
        </w:rPr>
        <w:t>own its assets and carry on its business and (ii) execute, deliver, and perform its obligations under the Loan Documents to which it is a party; (c) is duly qualified as a foreign corporation, limited liability company or limited partnership, as applicable, and licensed and in good standing, under the laws of each jurisdiction where its ownership, lease or operation of Property or the conduct of its business requires such qualification or license; and (d) is in compliance with all Requirements of Law; except, in each case referred to in clause (b)(i), (c) or clause (d), to the extent that the failure to do so would not reasonably be expected to have, either individually or in the aggregate, a Material Adverse Effect.</w:t>
      </w:r>
    </w:p>
    <w:p>
      <w:pPr>
        <w:spacing w:after="0" w:line="17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Corporate Authorization; No Contravention</w:t>
      </w:r>
      <w:r>
        <w:rPr>
          <w:rFonts w:ascii="Arial" w:cs="Arial" w:eastAsia="Arial" w:hAnsi="Arial"/>
          <w:sz w:val="16"/>
          <w:szCs w:val="16"/>
          <w:color w:val="auto"/>
        </w:rPr>
        <w:t>. The execution, delivery and performance by the Credit Parties of this Agreement and by each Credit Party of any other Loan Document to which such Person is party, have been duly authorized by all necessary action, and do not and will not (a) contravene the terms of any of that Person’s Organization Documents; (b) conflict with or result in any material breach or contravention of, or result in the creation of any Lien (other than Liens in favor of Agent created under the Loan Documents) under, any document evidencing any material Contractual Obligation to which such Person is a party or any order, injunction, writ or decree of any Governmental Authority to which such Person or its Property is subject, (c) affect any Credit Party’s or any Restricted Subsidiary of a Credit Party’s right to receive, or reduce the amount of, payments and reimbursements from Third Party Payors, or materially adversely affect any Regulatory Permit; or (d) violate any material Requirement of Law in any material respect.</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 approval, consent, exemption, authorization, or other action by, or notice to, or filing with, any Governmental Authority is necessary or required in connection with the execution, delivery or performance by, or enforcement against, any Credit Party of this Agreement or any other Loan Document except (a) for recordings and filings in connection with the Liens granted to Agent under the Collateral Documents and (b) those obtained or made on or prior to the Closing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4" w:right="259" w:bottom="1440" w:gutter="0" w:footer="0" w:header="0"/>
        </w:sectPr>
      </w:pPr>
    </w:p>
    <w:bookmarkStart w:id="100" w:name="page101"/>
    <w:bookmarkEnd w:id="100"/>
    <w:p>
      <w:pPr>
        <w:ind w:right="2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each other Loan Document to which any Credit Party is a party constitute the legal, valid and binding obligations of each such Credit Party which is a party thereto, enforceable against such Credit Party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specifically disclosed in </w:t>
      </w:r>
      <w:r>
        <w:rPr>
          <w:rFonts w:ascii="Arial" w:cs="Arial" w:eastAsia="Arial" w:hAnsi="Arial"/>
          <w:sz w:val="18"/>
          <w:szCs w:val="18"/>
          <w:u w:val="single" w:color="auto"/>
          <w:color w:val="auto"/>
        </w:rPr>
        <w:t>Schedule 4.5</w:t>
      </w:r>
      <w:r>
        <w:rPr>
          <w:rFonts w:ascii="Arial" w:cs="Arial" w:eastAsia="Arial" w:hAnsi="Arial"/>
          <w:sz w:val="18"/>
          <w:szCs w:val="18"/>
          <w:color w:val="auto"/>
        </w:rPr>
        <w:t>, there are no actions, suits, proceedings, claims or disputes pending, or to the best knowledge of each Credit Party, threatened or contemplated, at law, in equity, in arbitration or before any Governmental Authority, against any Credit Party, any Restricted Subsidiary of any Credit Party or any of their respective Properties which:</w:t>
      </w:r>
    </w:p>
    <w:p>
      <w:pPr>
        <w:spacing w:after="0" w:line="181"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purport to affect or pertain to this Agreement, any other Loan Document, or any of the transactions contemplated hereby or thereby;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seek an injunction or other equitable relief which would reasonably be expected to have a Material Adverse Effect.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 As of the Closing Date, no Credit Party or any Restricted Subsidiary of any Credit Party is the subject of an audit or, to each Credit Party’s knowledge, any review or investigation by any Governmental Authority (excluding the IRS and other taxing authorities) concerning the violation or possible violation of any Requirement of Law. As of the Closing Date, there are no actions, suits, proceedings, claims or disputes pending, or to the best knowledge of each Credit Party, threatened or contemplated, at law, in equity, in arbitration or before any Governmental Authority, against any Credit Party, any Restricted Subsidiary of any Credit Party or any of their respective Properties which would reasonably be expected to result in monetary judgment(s) or relief, individually or in the aggregate, in excess of $2,500,000 (excluding amounts bonded over or covered by insurance to the extent the relevant independent third party insurer has not denied coverage therefor).</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exists or would result from the incurring of any Obligations by any Credit Party or the grant or perfection of Agent’s Liens on the Collateral or the consummation of the transactions contemplated hereunder. No Credit Party and no Restricted Subsidiary of any Credit Party is in default under or with respect to any Contractual Obligation in any respect which, individually or together with all such defaults, would reasonably be expected to have a Material Adverse Effect.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ERISA Compliance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sets forth, as of the Closing Date, a complete and correct list of, and that separately identifies, (a) all Title IV Plans and (b) all Multiemployer Plans. Each Title IV Plan, and each trust thereunder, intended to qualify for tax exempt status under Section 401 or 501 of the Code or other Requirements of Law so qualifies. Each Benefit Plan is in compliance with applicable provisions of ERISA, the Code and other Requirements of Law, except where a failure to be in compliance could not, in the aggregate, reasonably be expected to have a Material Adverse Effect. There are no existing or pending (or to the knowledge of any Credit Party or any Subsidiary of a Credit Party, threatened) claims (other than routine claims for benefits in the normal course), sanctions, actions, lawsuits or other proceedings or investigation involving any Benefit Plan to which any Credit Party or any Subsidiary of a Credit Party incurs or otherwise has or could have an obligation or any Liability, that could, in the aggregate, reasonably be expected to have a Material Adverse Effect. No ERISA Event has occurred or is reasonably expected to occur. On the Closing Date, no ERISA Event has occurred in connection with which material obligations or material Liabilities of a Credit Party or a Subsidiary of a Credit Party remain outstanding.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01" w:name="page102"/>
    <w:bookmarkEnd w:id="101"/>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4.8 </w:t>
      </w: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 xml:space="preserve">. The proceeds of the Loans are intended to be and shall be used solely for the purposes set forth in and permitted by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No Credit Party and no Subsidiary of any Credit Party is engaged in the business of purchasing or selling Margin Stock or extending credit for the purpose of purchasing or carrying Margin Stock. As of the Closing Date, except as set forth on </w:t>
      </w:r>
      <w:r>
        <w:rPr>
          <w:rFonts w:ascii="Arial" w:cs="Arial" w:eastAsia="Arial" w:hAnsi="Arial"/>
          <w:sz w:val="18"/>
          <w:szCs w:val="18"/>
          <w:u w:val="single" w:color="auto"/>
          <w:color w:val="auto"/>
        </w:rPr>
        <w:t>Schedule 4.8</w:t>
      </w:r>
      <w:r>
        <w:rPr>
          <w:rFonts w:ascii="Arial" w:cs="Arial" w:eastAsia="Arial" w:hAnsi="Arial"/>
          <w:sz w:val="18"/>
          <w:szCs w:val="18"/>
          <w:color w:val="auto"/>
        </w:rPr>
        <w:t>, no Credit Party and no Subsidiary of any Credit Party owns any Margin Stock.</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xml:space="preserve">. As of the Closing Date, the Real Estate listed in </w:t>
      </w:r>
      <w:r>
        <w:rPr>
          <w:rFonts w:ascii="Arial" w:cs="Arial" w:eastAsia="Arial" w:hAnsi="Arial"/>
          <w:sz w:val="18"/>
          <w:szCs w:val="18"/>
          <w:u w:val="single" w:color="auto"/>
          <w:color w:val="auto"/>
        </w:rPr>
        <w:t>Schedule 4.9</w:t>
      </w:r>
      <w:r>
        <w:rPr>
          <w:rFonts w:ascii="Arial" w:cs="Arial" w:eastAsia="Arial" w:hAnsi="Arial"/>
          <w:sz w:val="18"/>
          <w:szCs w:val="18"/>
          <w:color w:val="auto"/>
        </w:rPr>
        <w:t xml:space="preserve"> constitutes all of the Real Estate of each Credit Party and each of their respective Restricted Subsidiaries. Each of the Credit Parties and each of their respective Restricted Subsidiaries has good record title or valid leasehold interests in all Real Estate and personal property and valid leasehold interests in all leased personal property, in each instance, necessary or used in the ordinary conduct of their respective businesses. None of the Property of any Credit Party or any Restricted Subsidiary of any Credit Party is subject to any Liens other than Permitted Liens.</w:t>
      </w:r>
    </w:p>
    <w:p>
      <w:pPr>
        <w:spacing w:after="0" w:line="184"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Taxes</w:t>
      </w:r>
      <w:r>
        <w:rPr>
          <w:rFonts w:ascii="Arial" w:cs="Arial" w:eastAsia="Arial" w:hAnsi="Arial"/>
          <w:sz w:val="17"/>
          <w:szCs w:val="17"/>
          <w:color w:val="auto"/>
        </w:rPr>
        <w:t>. All federal, state, local and foreign income and franchise and other material Tax returns, reports and statements (collectively,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Returns</w:t>
      </w:r>
      <w:r>
        <w:rPr>
          <w:rFonts w:ascii="Arial" w:cs="Arial" w:eastAsia="Arial" w:hAnsi="Arial"/>
          <w:sz w:val="17"/>
          <w:szCs w:val="17"/>
          <w:color w:val="auto"/>
        </w:rPr>
        <w:t>”) required to be filed by any Tax Affiliate have been filed with the appropriate Governmental Authorities, all such Tax Returns are true and correct</w:t>
      </w:r>
      <w:r>
        <w:rPr>
          <w:rFonts w:ascii="Arial" w:cs="Arial" w:eastAsia="Arial" w:hAnsi="Arial"/>
          <w:sz w:val="17"/>
          <w:szCs w:val="17"/>
          <w:b w:val="1"/>
          <w:bCs w:val="1"/>
          <w:color w:val="auto"/>
        </w:rPr>
        <w:t xml:space="preserve"> </w:t>
      </w:r>
      <w:r>
        <w:rPr>
          <w:rFonts w:ascii="Arial" w:cs="Arial" w:eastAsia="Arial" w:hAnsi="Arial"/>
          <w:sz w:val="17"/>
          <w:szCs w:val="17"/>
          <w:color w:val="auto"/>
        </w:rPr>
        <w:t>in all material respects, and all Taxes reflected therein or otherwise due and payable have been paid prior to the date on which any Liability may be added thereto for non-payment thereof except for those contested in good faith by appropriate proceedings diligently conducted and for which adequate reserves are maintained on the books of the appropriate Tax Affiliate in accordance with GAAP. As of the Closing Date, no Tax Return is under audit or examination by any Governmental Authority and no notice of any audit or examination or any assertion of any claim for Taxes has been given or made by any Governmental Authority. Proper and accurate amounts have been withheld by each Tax Affiliate from their respective employees for all periods in full and complete compliance with the Tax, social security and unemployment withholding provisions of applicable Requirements of Law and such withholdings have been timely paid to the respective Governmental Authorities. No Tax Affiliate has participated in a “reportable transaction” within the meaning of Treasury Regulation Section 1.6011-4(b) or has been a member of an affiliated, combined or unitary group other than the group of which a Tax Affiliate is the common parent.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ind w:right="40" w:firstLine="464"/>
        <w:spacing w:after="0" w:line="259" w:lineRule="auto"/>
        <w:tabs>
          <w:tab w:leader="none" w:pos="7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of (i) the audited consolidated balance sheet of Holdings and its Subsidiaries dated December 31, 2016, and the related audited consolidated statements of income or operations, shareholders’ equity and cash flows for the Fiscal Year ended on that date and (ii) the unaudited interim consolidated balance sheet of Holdings and its Subsidiaries dated February 28, 2017 and the related unaudited consolidated statements of income, shareholders’ equity and cash flows for the two fiscal months then ended:</w:t>
      </w:r>
    </w:p>
    <w:p>
      <w:pPr>
        <w:spacing w:after="0" w:line="78"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were prepared in accordance with GAAP consistently applied throughout the respective periods covered thereby, except as otherwise expressly noted therein, subject to, in the case of the unaudited interim financial statements, normal year-end adjustments and the lack of footnote disclosures; and</w:t>
      </w:r>
    </w:p>
    <w:p>
      <w:pPr>
        <w:spacing w:after="0" w:line="73" w:lineRule="exact"/>
        <w:rPr>
          <w:rFonts w:ascii="Arial" w:cs="Arial" w:eastAsia="Arial" w:hAnsi="Arial"/>
          <w:sz w:val="18"/>
          <w:szCs w:val="18"/>
          <w:color w:val="auto"/>
        </w:rPr>
      </w:pPr>
    </w:p>
    <w:p>
      <w:pPr>
        <w:ind w:left="920" w:right="300" w:firstLine="421"/>
        <w:spacing w:after="0" w:line="277" w:lineRule="auto"/>
        <w:tabs>
          <w:tab w:leader="none" w:pos="15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present fairly in all material respects the consolidated financial condition of Holdings and its Subsidiaries as of the dates thereof and results of operations for the periods covered thereby.</w:t>
      </w:r>
    </w:p>
    <w:p>
      <w:pPr>
        <w:spacing w:after="0" w:line="170" w:lineRule="exact"/>
        <w:rPr>
          <w:rFonts w:ascii="Arial" w:cs="Arial" w:eastAsia="Arial" w:hAnsi="Arial"/>
          <w:sz w:val="18"/>
          <w:szCs w:val="18"/>
          <w:color w:val="auto"/>
        </w:rPr>
      </w:pPr>
    </w:p>
    <w:p>
      <w:pPr>
        <w:ind w:right="280" w:firstLine="464"/>
        <w:spacing w:after="0" w:line="279" w:lineRule="auto"/>
        <w:tabs>
          <w:tab w:leader="none" w:pos="711"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pro forma unaudited consolidated balance sheet of Holdings and its Subsidiaries dated February 28, 2017 delivered on the Closing Date was prepared by Holdings giving pro forma effect to the funding of the Loans and consummation of the transactions contemplated hereby, was based on the unaudited consolidated and consolidating balance sheets of Holdings and its Subsidiaries dated February 28, 2017, and was prepared in accordance with GAAP, with only such adjustments thereto as would be required in a manner consistent with GAAP.</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02" w:name="page103"/>
    <w:bookmarkEnd w:id="102"/>
    <w:p>
      <w:pPr>
        <w:ind w:right="80" w:firstLine="464"/>
        <w:spacing w:after="0" w:line="277" w:lineRule="auto"/>
        <w:tabs>
          <w:tab w:leader="none" w:pos="701"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December 31, 2016, there has been no Material Adverse Effect or any event or circumstance which would reasonably be expected to result in a Material Adverse Effect.</w:t>
      </w:r>
    </w:p>
    <w:p>
      <w:pPr>
        <w:spacing w:after="0" w:line="170" w:lineRule="exact"/>
        <w:rPr>
          <w:rFonts w:ascii="Arial" w:cs="Arial" w:eastAsia="Arial" w:hAnsi="Arial"/>
          <w:sz w:val="18"/>
          <w:szCs w:val="18"/>
          <w:color w:val="auto"/>
        </w:rPr>
      </w:pPr>
    </w:p>
    <w:p>
      <w:pPr>
        <w:ind w:right="20" w:firstLine="464"/>
        <w:spacing w:after="0" w:line="302" w:lineRule="auto"/>
        <w:tabs>
          <w:tab w:leader="none" w:pos="7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financial performance projections delivered to Agent, including the financial performance projections delivered on or prior to the Closing Date, represent the Borrower’s good faith estimate of future financial performance and are based on assumptions believed by the Borrower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 and such differences may be material.</w:t>
      </w:r>
    </w:p>
    <w:p>
      <w:pPr>
        <w:spacing w:after="0" w:line="15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and except where any failures to comply would not reasonably be expected to result in, either individually or in the aggregate, Material Environmental Liabilities to the Credit Parties and their Restricted Subsidiaries, each Credit Party and each Restricted Subsidiary of each Credit Party (a) are and during the five (5) calendar years immediately preceding the Closing Date have been in compliance with all applicable Environmental Laws, including obtaining and maintaining all Permits required by any applicable Environmental Law, (b) is not party to, and no Real Estate currently (or to the knowledge of any Credit Party previously) owned, leased, subleased, operated or otherwise occupied by any Credit Party or any Restricted Subsidiary of a Credit Party is subject to or the subject of, any Contractual Obligation or any pending or, to the knowledge of any Credit Party, threatened, order, action, investigation, suit, proceeding, audit, Lien, claim, demand, dispute or notice of violation or of potential liability or similar written notice relating in any manner to any Environmental Law, (c) has not caused or suffered to occur a Release of Hazardous Materials at, to or from any Real Estate in violation of any Environmental Law, (d) currently (or to the knowledge of any Credit Party, previously) owns, leases, subleases, operates or otherwise occupies no Real Estate that is contaminated by any Hazardous Materials, (e) is not, and has not been, engaged in, and has no knowledge of any current or former tenant to engage in, operations in violation of any Environmental Law and (f) has not received during the five</w:t>
      </w:r>
    </w:p>
    <w:p>
      <w:pPr>
        <w:spacing w:after="0" w:line="5" w:lineRule="exact"/>
        <w:rPr>
          <w:sz w:val="20"/>
          <w:szCs w:val="20"/>
          <w:color w:val="auto"/>
        </w:rPr>
      </w:pPr>
    </w:p>
    <w:p>
      <w:pPr>
        <w:ind w:right="140" w:firstLine="8"/>
        <w:spacing w:after="0" w:line="323"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calendar years immediately preceding the Closing Date any notice of a violation of any Environmental Law, including receipt of any information request or notice of potential responsibility under the Comprehensive Environmental Response, Compensation and Liability Act or similar Environmental Laws.</w:t>
      </w:r>
    </w:p>
    <w:p>
      <w:pPr>
        <w:spacing w:after="0" w:line="1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Regulated Entities</w:t>
      </w:r>
      <w:r>
        <w:rPr>
          <w:rFonts w:ascii="Arial" w:cs="Arial" w:eastAsia="Arial" w:hAnsi="Arial"/>
          <w:sz w:val="18"/>
          <w:szCs w:val="18"/>
          <w:color w:val="auto"/>
        </w:rPr>
        <w:t>. None of any Credit Party, any Person controlling any Credit Party, or any Subsidiary of any Credit Party, is (a) an “investment company” within the meaning of the Investment Company Act of 1940 or (b) subject to regulation under the Federal Power Act, the Interstate Commerce Act, any state public utilities code, or any other federal or state statute, rule or regulation limiting its ability to incur Indebtedness, pledge its assets or perform its obligations under the Loan Documents.</w:t>
      </w:r>
    </w:p>
    <w:p>
      <w:pPr>
        <w:spacing w:after="0" w:line="18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Solvency</w:t>
      </w:r>
      <w:r>
        <w:rPr>
          <w:rFonts w:ascii="Arial" w:cs="Arial" w:eastAsia="Arial" w:hAnsi="Arial"/>
          <w:sz w:val="16"/>
          <w:szCs w:val="16"/>
          <w:color w:val="auto"/>
        </w:rPr>
        <w:t>. Both before and after giving effect to (a) the Loans made and Letters of Credit Issued on or prior to the date this representation and warranty is made or remade, (b) the disbursement of the proceeds of such Loans to or as directed by the Borrower, (c) the consummation of the transactions contemplated hereby and (d) the payment and accrual of all transaction costs in connection with the foregoing, each Credit Party is Solvent.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Labor Relations</w:t>
      </w:r>
      <w:r>
        <w:rPr>
          <w:rFonts w:ascii="Arial" w:cs="Arial" w:eastAsia="Arial" w:hAnsi="Arial"/>
          <w:sz w:val="18"/>
          <w:szCs w:val="18"/>
          <w:color w:val="auto"/>
        </w:rPr>
        <w:t xml:space="preserve">. There are no strikes, work stoppages, slowdowns or lockouts existing, pending (or, to the knowledge of any Credit Party, threatened) against or involving any Credit Party or any Restricted Subsidiary of any Credit Party, except for those that would not, in the aggregate, reasonably be expected to have a Material Adverse Effect. Except as set forth on </w:t>
      </w:r>
      <w:r>
        <w:rPr>
          <w:rFonts w:ascii="Arial" w:cs="Arial" w:eastAsia="Arial" w:hAnsi="Arial"/>
          <w:sz w:val="18"/>
          <w:szCs w:val="18"/>
          <w:u w:val="single" w:color="auto"/>
          <w:color w:val="auto"/>
        </w:rPr>
        <w:t>Schedule 4.15</w:t>
      </w:r>
      <w:r>
        <w:rPr>
          <w:rFonts w:ascii="Arial" w:cs="Arial" w:eastAsia="Arial" w:hAnsi="Arial"/>
          <w:sz w:val="18"/>
          <w:szCs w:val="18"/>
          <w:color w:val="auto"/>
        </w:rPr>
        <w:t>, as of the Closing Date, (a) there is no collective bargaining or similar agreement with any union, labor organization, works council or similar representative covering any employee of any Credit Party or any Restricted Subsidiary of any Credit Party, (b) no petition for certification or election of any such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03" w:name="page104"/>
    <w:bookmarkEnd w:id="10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 is existing or pending with respect to any employee of any Credit Party or any Restricted Subsidiary of any Credit Party and (c) to the Credit Parties’ knowledge, no such representative has sought certification or recognition with respect to any employee of any Credit Party or any Restricted Subsidiary of any Credit Party.</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Each Credit Party and each Restricted Subsidiary of each Credit Party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each Credit Party, (a) the conduct and operations of the businesses of each Credit Party and each Restricted Subsidiary of each Credit Party does not infringe, misappropriate, dilute or violate any Intellectual Property owned by any other Person and (b) no other Person has contested in writing any right, title or interest of any Credit Party or any Restricted Subsidiary of any Credit Party in, or relating to, any Intellectual Property, other than, in each case, as would not, in the aggregate, reasonably be expected to have a Material Adverse Effect.</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Brokers’ Fees; Transaction Fees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4.17</w:t>
      </w:r>
      <w:r>
        <w:rPr>
          <w:rFonts w:ascii="Arial" w:cs="Arial" w:eastAsia="Arial" w:hAnsi="Arial"/>
          <w:sz w:val="18"/>
          <w:szCs w:val="18"/>
          <w:color w:val="auto"/>
        </w:rPr>
        <w:t xml:space="preserve"> and except for fees payable to Agent and Lenders, none of the Credit Parties or any of their respective Subsidiaries has any obligation to any Person in respect of any finder’s, broker’s or investment banker’s fee in connection with the transactions contemplated hereby.</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Ventures, Subsidiaries and Affiliates; Outstanding Stock</w:t>
      </w:r>
      <w:r>
        <w:rPr>
          <w:rFonts w:ascii="Arial" w:cs="Arial" w:eastAsia="Arial" w:hAnsi="Arial"/>
          <w:sz w:val="17"/>
          <w:szCs w:val="17"/>
          <w:color w:val="auto"/>
        </w:rPr>
        <w:t xml:space="preserve">. All issued and outstanding Stock of each of the Credit Parties and each of their respective Restricted Subsidiaries are duly authorized and validly issued, fully paid, non-assessable, and free and clear of all Liens other than, with respect to the Stock of the Borrower and Restricted Subsidiaries of the Borrower, those in favor of Agent, for the benefit of the Secured Parties. All such securities were issued in compliance with all applicable state and federal laws concerning the issuance of securities. As of the Closing Date, all of the issued and outstanding Stock of each Credit Party and each Subsidiary of each Credit Party is owned by each of the Persons and in the amounts set forth in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on the Closing Date, there are no pre-emptive or other outstanding rights to purchase, options, warrants or similar rights or agreements pursuant to which any Credit Party may be required to issue, sell, repurchase or redeem any of its Stock or any Stock of its Restricted Subsidiaries. Set forth in </w:t>
      </w:r>
      <w:r>
        <w:rPr>
          <w:rFonts w:ascii="Arial" w:cs="Arial" w:eastAsia="Arial" w:hAnsi="Arial"/>
          <w:sz w:val="17"/>
          <w:szCs w:val="17"/>
          <w:u w:val="single" w:color="auto"/>
          <w:color w:val="auto"/>
        </w:rPr>
        <w:t>Schedule 4.18</w:t>
      </w:r>
      <w:r>
        <w:rPr>
          <w:rFonts w:ascii="Arial" w:cs="Arial" w:eastAsia="Arial" w:hAnsi="Arial"/>
          <w:sz w:val="17"/>
          <w:szCs w:val="17"/>
          <w:color w:val="auto"/>
        </w:rPr>
        <w:t xml:space="preserve"> is a true and complete organizational chart of the Credit Parties, all of their Subsidiaries and all joint ventures or partnerships with any other Person as of the Closing Date and, as supplemented in writing to the Agent from time to time, on any other date this representation is given. As of the Closing Date there are no Unrestricted Subsidiaries.</w:t>
      </w:r>
    </w:p>
    <w:p>
      <w:pPr>
        <w:spacing w:after="0" w:line="17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Jurisdiction of Organization; Chief Executive Office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lists each Credit Party’s jurisdiction of organization, legal name and organizational identification number, if any, and the location of such Credit Party’s chief executive office or sole place of business, in each case as of the date hereof, and such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also lists all jurisdictions of organization and legal names of such Credit Party for the five years preceding the Closing Date.</w:t>
      </w:r>
    </w:p>
    <w:p>
      <w:pPr>
        <w:spacing w:after="0" w:line="14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Deposit Accounts and Other Accounts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4.20</w:t>
      </w:r>
      <w:r>
        <w:rPr>
          <w:rFonts w:ascii="Arial" w:cs="Arial" w:eastAsia="Arial" w:hAnsi="Arial"/>
          <w:sz w:val="17"/>
          <w:szCs w:val="17"/>
          <w:color w:val="auto"/>
        </w:rPr>
        <w:t xml:space="preserve"> lists all banks and other financial institutions securities intermediary or commodity intermediary at which any Credit Party maintains deposit, securities, commodities or similar accounts as of the Closing Date, and such Schedule correctly identifies the name, address and any other relevant contact information reasonably requested by Agent with respect to each depository or intermediary, the name in which the account is held, a description of the purpose of the account, and the complete account number therefor.</w:t>
      </w:r>
    </w:p>
    <w:p>
      <w:pPr>
        <w:spacing w:after="0" w:line="17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Full Disclosure</w:t>
      </w:r>
      <w:r>
        <w:rPr>
          <w:rFonts w:ascii="Arial" w:cs="Arial" w:eastAsia="Arial" w:hAnsi="Arial"/>
          <w:sz w:val="18"/>
          <w:szCs w:val="18"/>
          <w:color w:val="auto"/>
        </w:rPr>
        <w:t>. None of the statements contained in each exhibit, report, statement or certificate furnished by or on behalf of any Credit Party or any of their Subsidiaries in connection with the Loan Documents and the Transactions (including the offering and disclosure materials, if any, delivered by or on behalf of any Credit Party to Agent or the Lenders prior to the Closing Date, but excluding 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104" w:name="page105"/>
    <w:bookmarkEnd w:id="104"/>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performance projections), when taken as a whole, contains any untrue statement of a material fact or omits any material fact required to be stated therein or necessary to make the statements made therein, in light of the circumstances under which they are made, not materially misleading as of the time when made or delivered.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Regulatory Matters</w:t>
      </w:r>
    </w:p>
    <w:p>
      <w:pPr>
        <w:spacing w:after="0" w:line="225" w:lineRule="exact"/>
        <w:rPr>
          <w:sz w:val="20"/>
          <w:szCs w:val="20"/>
          <w:color w:val="auto"/>
        </w:rPr>
      </w:pPr>
    </w:p>
    <w:p>
      <w:pPr>
        <w:ind w:right="60" w:firstLine="464"/>
        <w:spacing w:after="0" w:line="255"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Compliance with Health Care Laws</w:t>
      </w:r>
      <w:r>
        <w:rPr>
          <w:rFonts w:ascii="Arial" w:cs="Arial" w:eastAsia="Arial" w:hAnsi="Arial"/>
          <w:sz w:val="18"/>
          <w:szCs w:val="18"/>
          <w:color w:val="auto"/>
        </w:rPr>
        <w:t xml:space="preserve">. Each Credit Party and each of their respective Subsidiaries is, and at all times during the three calendar years immediately preceding the Closing Date has been, in material compliance with all Health Care Laws and requirements of Third Party Payor Programs applicable to it, its assets, business or operations. No circumstance exists or event has occurred which would reasonably be expected to result in a material violation of any Health Care Law or any requirement of any Third Party Payor Program. Except as set forth on </w:t>
      </w:r>
      <w:r>
        <w:rPr>
          <w:rFonts w:ascii="Arial" w:cs="Arial" w:eastAsia="Arial" w:hAnsi="Arial"/>
          <w:sz w:val="18"/>
          <w:szCs w:val="18"/>
          <w:u w:val="single" w:color="auto"/>
          <w:color w:val="auto"/>
        </w:rPr>
        <w:t>Schedule 4.22</w:t>
      </w:r>
      <w:r>
        <w:rPr>
          <w:rFonts w:ascii="Arial" w:cs="Arial" w:eastAsia="Arial" w:hAnsi="Arial"/>
          <w:sz w:val="18"/>
          <w:szCs w:val="18"/>
          <w:color w:val="auto"/>
        </w:rPr>
        <w:t>, no material Proceeding against or affecting any Credit Party or any of its Subsidiaries relating to any actual or alleged non-compliance with any Health Care Law is pending or, to the knowledge of any Credit Party, is threatened.</w:t>
      </w:r>
    </w:p>
    <w:p>
      <w:pPr>
        <w:spacing w:after="0" w:line="193" w:lineRule="exact"/>
        <w:rPr>
          <w:rFonts w:ascii="Arial" w:cs="Arial" w:eastAsia="Arial" w:hAnsi="Arial"/>
          <w:sz w:val="18"/>
          <w:szCs w:val="18"/>
          <w:color w:val="auto"/>
        </w:rPr>
      </w:pPr>
    </w:p>
    <w:p>
      <w:pPr>
        <w:ind w:firstLine="464"/>
        <w:spacing w:after="0" w:line="270" w:lineRule="auto"/>
        <w:tabs>
          <w:tab w:leader="none" w:pos="71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Regulatory Permits; Accreditation</w:t>
      </w:r>
      <w:r>
        <w:rPr>
          <w:rFonts w:ascii="Arial" w:cs="Arial" w:eastAsia="Arial" w:hAnsi="Arial"/>
          <w:sz w:val="17"/>
          <w:szCs w:val="17"/>
          <w:color w:val="auto"/>
        </w:rPr>
        <w:t>. Each Credit Party and each of their respective Subsidiaries holds, and at all times during the three calendar years immediately preceding the Closing Date has held, all Regulatory Permits necessary for it to own, lease, sublease or operate its assets or to conduct its business or operations (including to provide home and community based personal care services and to participate in and obtain reimbursement under all Third Party Payor Programs in which such Persons participate. All such Regulatory Permits are, and at all times during the three calendar years immediately preceding the Closing Date have been, in full force and effect and there is and has been no default under, violation of, or other noncompliance with the terms and conditions thereof, except as would not reasonably be expected to have, in the aggregate, a Material Adverse Effect. To the Credit Parties’ knowledge, no condition exists or event has occurred which, in itself or with the giving of notice or lapse of time or both, has resulted or would reasonably be expected to result in the suspension, revocation, termination, limitation, modification or non-renewal of any material Regulatory Permit. No Governmental Authority has taken, or to the knowledge of any Credit Party intends to take, action to suspend, revoke, terminate, place on probation, restrict, limit, modify or not renew any Regulatory Permit of any Credit Party or any Subsidiary of any Credit Party.</w:t>
      </w:r>
    </w:p>
    <w:p>
      <w:pPr>
        <w:spacing w:after="0" w:line="177" w:lineRule="exact"/>
        <w:rPr>
          <w:rFonts w:ascii="Arial" w:cs="Arial" w:eastAsia="Arial" w:hAnsi="Arial"/>
          <w:sz w:val="17"/>
          <w:szCs w:val="17"/>
          <w:color w:val="auto"/>
        </w:rPr>
      </w:pPr>
    </w:p>
    <w:p>
      <w:pPr>
        <w:ind w:right="40" w:firstLine="464"/>
        <w:spacing w:after="0" w:line="255"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Third Party Payor Authorizations</w:t>
      </w:r>
      <w:r>
        <w:rPr>
          <w:rFonts w:ascii="Arial" w:cs="Arial" w:eastAsia="Arial" w:hAnsi="Arial"/>
          <w:sz w:val="18"/>
          <w:szCs w:val="18"/>
          <w:color w:val="auto"/>
        </w:rPr>
        <w:t>. Each Credit Party and each of their respective Subsidiaries holds, and at all times during the three calendar years immediately preceding the Closing Date has held, in full force and effect, all Third Party Payor Authorizations necessary to participate in and be reimbursed by all Third Party Payor Programs in which any Credit Party or any Subsidiary of any Credit Party participates. There is no investigation, audit, claim review, or other action pending, or to the knowledge of any Credit Party, threatened, which would be reasonably likely to result in a suspension, revocation, termination or non-renewal of any Third Party Payor Authorization or result in any Credit Party’s or any of their Subsidiaries’ exclusion from any Third Party Payor Program.</w:t>
      </w:r>
    </w:p>
    <w:p>
      <w:pPr>
        <w:spacing w:after="0" w:line="193" w:lineRule="exact"/>
        <w:rPr>
          <w:rFonts w:ascii="Arial" w:cs="Arial" w:eastAsia="Arial" w:hAnsi="Arial"/>
          <w:sz w:val="18"/>
          <w:szCs w:val="18"/>
          <w:color w:val="auto"/>
        </w:rPr>
      </w:pPr>
    </w:p>
    <w:p>
      <w:pPr>
        <w:ind w:right="20" w:firstLine="464"/>
        <w:spacing w:after="0" w:line="302" w:lineRule="auto"/>
        <w:tabs>
          <w:tab w:leader="none" w:pos="71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Material Statements</w:t>
      </w:r>
      <w:r>
        <w:rPr>
          <w:rFonts w:ascii="Arial" w:cs="Arial" w:eastAsia="Arial" w:hAnsi="Arial"/>
          <w:sz w:val="16"/>
          <w:szCs w:val="16"/>
          <w:color w:val="auto"/>
        </w:rPr>
        <w:t>. None of the Credit Parties, their Subsidiaries, or, to the knowledge of the Credit Parties, the officers, affiliates, employees or agents of the Credit Parties or their Subsidiaries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would reasonably be expected to constitute a material violation of any Health Care Law.</w:t>
      </w:r>
    </w:p>
    <w:p>
      <w:pPr>
        <w:spacing w:after="0" w:line="154" w:lineRule="exact"/>
        <w:rPr>
          <w:rFonts w:ascii="Arial" w:cs="Arial" w:eastAsia="Arial" w:hAnsi="Arial"/>
          <w:sz w:val="16"/>
          <w:szCs w:val="16"/>
          <w:color w:val="auto"/>
        </w:rPr>
      </w:pPr>
    </w:p>
    <w:p>
      <w:pPr>
        <w:jc w:val="both"/>
        <w:ind w:right="160" w:firstLine="464"/>
        <w:spacing w:after="0" w:line="264"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Prohibited Transactions</w:t>
      </w:r>
      <w:r>
        <w:rPr>
          <w:rFonts w:ascii="Arial" w:cs="Arial" w:eastAsia="Arial" w:hAnsi="Arial"/>
          <w:sz w:val="18"/>
          <w:szCs w:val="18"/>
          <w:color w:val="auto"/>
        </w:rPr>
        <w:t>. None of the Credit Parties, their Subsidiaries, or, to the knowledge of the Credit Parties, the officers, affiliates, employees or agents of the Credit Parties or their Subsidiaries, directly or indirectly, has (i) offered or paid or solicited or received any remuneration, in cash or in kind, or made any financial arrangements, in violation of any Health Care Law; (ii) given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05" w:name="page106"/>
    <w:bookmarkEnd w:id="10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agreed to give, or is aware that there has been made or that there is any agreement to make, any gift or gratuitous payment of any kind, nature or description (whether in money, property or services) in violation of any Health Care Law; (iii) made or agreed to make, or is aware that there has been made or that there is any agreement to make, any contribution, payment or gift of funds or property to, or for the private use of, any governmental official, employee or agent where either the contribution, payment or gift or the purpose of such contribution, payment or gift is or was illegal under the laws of any Governmental Authority having jurisdiction over such payment, contribution or gift; (iv) established or maintained any unrecorded fund or asset for any purpose or made any misleading, false or artificial entries on any of its books or records for any reason; or (v) made, or agreed to make, or is aware that there has been made or that there is any agreement to make, any payment to any person with the intention or understanding that any part of such payment would be in violation of any Health Care Law or used or was given for any purpose other than that described in the documents supporting such payment. To the knowledge of each Credit Party, except as set forth on </w:t>
      </w:r>
      <w:r>
        <w:rPr>
          <w:rFonts w:ascii="Arial" w:cs="Arial" w:eastAsia="Arial" w:hAnsi="Arial"/>
          <w:sz w:val="16"/>
          <w:szCs w:val="16"/>
          <w:u w:val="single" w:color="auto"/>
          <w:color w:val="auto"/>
        </w:rPr>
        <w:t>Schedule 4.22</w:t>
      </w:r>
      <w:r>
        <w:rPr>
          <w:rFonts w:ascii="Arial" w:cs="Arial" w:eastAsia="Arial" w:hAnsi="Arial"/>
          <w:sz w:val="16"/>
          <w:szCs w:val="16"/>
          <w:color w:val="auto"/>
        </w:rPr>
        <w:t>, no person has filed or has threatened to file against any Credit Party or any of their Affiliates an action under any federal or state whistleblower statute, including under the False Claims Act of 1863 (31 U.S.C. § 3729 et seq.).</w:t>
      </w:r>
    </w:p>
    <w:p>
      <w:pPr>
        <w:spacing w:after="0" w:line="169" w:lineRule="exact"/>
        <w:rPr>
          <w:sz w:val="20"/>
          <w:szCs w:val="20"/>
          <w:color w:val="auto"/>
        </w:rPr>
      </w:pPr>
    </w:p>
    <w:p>
      <w:pPr>
        <w:ind w:firstLine="464"/>
        <w:spacing w:after="0" w:line="289" w:lineRule="auto"/>
        <w:tabs>
          <w:tab w:leader="none" w:pos="68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Exclusion</w:t>
      </w:r>
      <w:r>
        <w:rPr>
          <w:rFonts w:ascii="Arial" w:cs="Arial" w:eastAsia="Arial" w:hAnsi="Arial"/>
          <w:sz w:val="16"/>
          <w:szCs w:val="16"/>
          <w:color w:val="auto"/>
        </w:rPr>
        <w:t xml:space="preserve">. No Credit Party and no Subsidiary of any Credit Party, nor, to the knowledge of the Credit Parties, any owner, officer, director, partner, agent, managing employee or Person with a “direct or indirect ownership interest” (as that phrase is defined in 42 C.F.R. § 420.201) in any Credit Party or any Subsidiary of any Credit Party has been (or, has been threatened to be) (i) excluded from any Third Party Payor Program pursuant to 42 U.S.C. § 1320a-7 and related regulations, (ii) “suspended” or “debarred” from selling products to the U.S. government or its agencies pursuant to the Federal Acquisition Regulation, relating to debarment and suspension applicable to federal government agencies generally (42 C.F.R. Subpart 9.4), or other applicable laws or regulations, (iii) debarred, disqualified, suspended or excluded from participation in any Third Party Payor Program or is listed on the General Services Administration list of excluded parties, nor, to the knowledge of the Credit Parties, is any such debarment, disqualification, suspension or exclusion threatened or pending, or (iv) except as set forth on </w:t>
      </w:r>
      <w:r>
        <w:rPr>
          <w:rFonts w:ascii="Arial" w:cs="Arial" w:eastAsia="Arial" w:hAnsi="Arial"/>
          <w:sz w:val="16"/>
          <w:szCs w:val="16"/>
          <w:u w:val="single" w:color="auto"/>
          <w:color w:val="auto"/>
        </w:rPr>
        <w:t>Schedule 4.22</w:t>
      </w:r>
      <w:r>
        <w:rPr>
          <w:rFonts w:ascii="Arial" w:cs="Arial" w:eastAsia="Arial" w:hAnsi="Arial"/>
          <w:sz w:val="16"/>
          <w:szCs w:val="16"/>
          <w:color w:val="auto"/>
        </w:rPr>
        <w:t>, made a party to any other action by any Governmental Authority that may prohibit it from selling products or providing services to any governmental or other purchaser pursuant to any federal, state or local laws or regulations.</w:t>
      </w:r>
    </w:p>
    <w:p>
      <w:pPr>
        <w:spacing w:after="0" w:line="166" w:lineRule="exact"/>
        <w:rPr>
          <w:rFonts w:ascii="Arial" w:cs="Arial" w:eastAsia="Arial" w:hAnsi="Arial"/>
          <w:sz w:val="16"/>
          <w:szCs w:val="16"/>
          <w:color w:val="auto"/>
        </w:rPr>
      </w:pPr>
    </w:p>
    <w:p>
      <w:pPr>
        <w:ind w:right="80" w:firstLine="464"/>
        <w:spacing w:after="0" w:line="257" w:lineRule="auto"/>
        <w:tabs>
          <w:tab w:leader="none" w:pos="71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Corporate Integrity Agreement</w:t>
      </w:r>
      <w:r>
        <w:rPr>
          <w:rFonts w:ascii="Arial" w:cs="Arial" w:eastAsia="Arial" w:hAnsi="Arial"/>
          <w:sz w:val="18"/>
          <w:szCs w:val="18"/>
          <w:color w:val="auto"/>
        </w:rPr>
        <w:t>. None of the Credit Parties, their Subsidiaries, or, to the knowledge of the Credit Parties, any of their owners, officers, directors, partners, agents, managing employees or Persons with a “direct or indirect ownership interest” (as that phrase is defined in 42 C.F.R. §1001.1001) in any Credit Party or any of its Subsidiaries is a party to, or bound by, any order, individual integrity agreement, corporate integrity agreement, corporate compliance agreement, deferred prosecution agreement, or other formal or informal agreement with any Governmental Authority concerning compliance with Health Care Laws.</w:t>
      </w:r>
    </w:p>
    <w:p>
      <w:pPr>
        <w:spacing w:after="0" w:line="188" w:lineRule="exact"/>
        <w:rPr>
          <w:rFonts w:ascii="Arial" w:cs="Arial" w:eastAsia="Arial" w:hAnsi="Arial"/>
          <w:sz w:val="18"/>
          <w:szCs w:val="18"/>
          <w:color w:val="auto"/>
        </w:rPr>
      </w:pPr>
    </w:p>
    <w:p>
      <w:pPr>
        <w:ind w:right="60" w:firstLine="464"/>
        <w:spacing w:after="0" w:line="279" w:lineRule="auto"/>
        <w:tabs>
          <w:tab w:leader="none" w:pos="71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Accreditation</w:t>
      </w:r>
      <w:r>
        <w:rPr>
          <w:rFonts w:ascii="Arial" w:cs="Arial" w:eastAsia="Arial" w:hAnsi="Arial"/>
          <w:sz w:val="17"/>
          <w:szCs w:val="17"/>
          <w:color w:val="auto"/>
        </w:rPr>
        <w:t>. Each Credit Party and each of their respective Subsidiaries has obtained and maintains accreditation in good standing and without limitation or impairment by all applicable accrediting organizations, to the extent prudent and customary in the industry in which it is engaged or required by law (including any foreign law or equivalent regulation), except where the failure to have or maintain such accreditation in good standing or imposition of limitation or impairment would not reasonably be expected to have, in the aggregate, a Material Adverse Effect.</w:t>
      </w:r>
    </w:p>
    <w:p>
      <w:pPr>
        <w:spacing w:after="0" w:line="171" w:lineRule="exact"/>
        <w:rPr>
          <w:rFonts w:ascii="Arial" w:cs="Arial" w:eastAsia="Arial" w:hAnsi="Arial"/>
          <w:sz w:val="17"/>
          <w:szCs w:val="17"/>
          <w:color w:val="auto"/>
        </w:rPr>
      </w:pPr>
    </w:p>
    <w:p>
      <w:pPr>
        <w:ind w:right="160" w:firstLine="464"/>
        <w:spacing w:after="0" w:line="255" w:lineRule="auto"/>
        <w:tabs>
          <w:tab w:leader="none" w:pos="67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Proceedings; Audits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4.22</w:t>
      </w:r>
      <w:r>
        <w:rPr>
          <w:rFonts w:ascii="Arial" w:cs="Arial" w:eastAsia="Arial" w:hAnsi="Arial"/>
          <w:sz w:val="18"/>
          <w:szCs w:val="18"/>
          <w:color w:val="auto"/>
        </w:rPr>
        <w:t>, there are no pending (or, to the knowledge of any Credit Party, threatened) Proceedings against or affecting any Credit Party or any Subsidiary of any Credit Party relating to any actual or alleged non-compliance with any Health Care Law or requirement of any Third Party Payor Program other than Third Party Payor Program audits in the Ordinary Course of Business. There currently exist no restrictions, deficiencies, required plans of correction or other such remedial measures with respect to any Regulatory Permit of any Credit Party or any Subsidiary of any Credit Party, or any of their participation in any Third Party Payor Program, except deficiencies, restrictions or other remedial issues capable of being cured by the applicable Credit Party in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106" w:name="page107"/>
    <w:bookmarkEnd w:id="10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ordinary course and prior to the expiration of the time frame (subject to any additional cure periods) allowed by any applicable Governmental Authority with respect thereto. Without limiting the foregoing, no validation review, program integrity review, audit or other investigation related to any Credit Party or any Subsidiary of any Credit Party or their respective operations, or the consummation of the transactions contemplated in the Loan Documents or related to the Collateral (i) has been conducted by or on behalf of any Governmental Authority, or (ii) to the Credit Parties’ knowledge is scheduled, pending or threatened.</w:t>
      </w:r>
    </w:p>
    <w:p>
      <w:pPr>
        <w:spacing w:after="0" w:line="188" w:lineRule="exact"/>
        <w:rPr>
          <w:sz w:val="20"/>
          <w:szCs w:val="20"/>
          <w:color w:val="auto"/>
        </w:rPr>
      </w:pPr>
    </w:p>
    <w:p>
      <w:pPr>
        <w:ind w:right="20" w:firstLine="464"/>
        <w:spacing w:after="0" w:line="279" w:lineRule="auto"/>
        <w:tabs>
          <w:tab w:leader="none" w:pos="67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Overpayments.</w:t>
      </w:r>
      <w:r>
        <w:rPr>
          <w:rFonts w:ascii="Arial" w:cs="Arial" w:eastAsia="Arial" w:hAnsi="Arial"/>
          <w:sz w:val="17"/>
          <w:szCs w:val="17"/>
          <w:color w:val="auto"/>
        </w:rPr>
        <w:t xml:space="preserve"> No Credit Party and no Subsidiary of any Credit Party (i) has retained an overpayment received from, or failed to refund any amount due to, any Third Party Payor in violation of any Health Care Law or contract; and (ii) has received written notice of, or has knowledge of, any overpayment or refunds due to any Third Party Payor, other than overpayments received and refunds or other adjustments owed by the Credit Parties or any Subsidiaries of the Credit Parties in the Ordinary Course of Business and in compliance with applicable Health Care Laws and contracts.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Foreign Assets Control Regulations; Anti-Money Laundering; Anti-Corruption Practices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Credit Party and each Subsidiary of each Credit Party is in compliance in all material respects with all U.S. economic sanctions laws, Executive Orders and implementing regulations (“</w:t>
      </w:r>
      <w:r>
        <w:rPr>
          <w:rFonts w:ascii="Arial" w:cs="Arial" w:eastAsia="Arial" w:hAnsi="Arial"/>
          <w:sz w:val="17"/>
          <w:szCs w:val="17"/>
          <w:b w:val="1"/>
          <w:bCs w:val="1"/>
          <w:color w:val="auto"/>
        </w:rPr>
        <w:t>Sanctions</w:t>
      </w:r>
      <w:r>
        <w:rPr>
          <w:rFonts w:ascii="Arial" w:cs="Arial" w:eastAsia="Arial" w:hAnsi="Arial"/>
          <w:sz w:val="17"/>
          <w:szCs w:val="17"/>
          <w:color w:val="auto"/>
        </w:rPr>
        <w:t>”) as administered by the U.S. Treasury Department’s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and the U.S. State Department. No Credit Party and no Subsidiary of a Credit Party (i) is a Person on the list of the Specially Designated Nationals and Blocked Persons (the “</w:t>
      </w:r>
      <w:r>
        <w:rPr>
          <w:rFonts w:ascii="Arial" w:cs="Arial" w:eastAsia="Arial" w:hAnsi="Arial"/>
          <w:sz w:val="17"/>
          <w:szCs w:val="17"/>
          <w:b w:val="1"/>
          <w:bCs w:val="1"/>
          <w:color w:val="auto"/>
        </w:rPr>
        <w:t>SDN List</w:t>
      </w:r>
      <w:r>
        <w:rPr>
          <w:rFonts w:ascii="Arial" w:cs="Arial" w:eastAsia="Arial" w:hAnsi="Arial"/>
          <w:sz w:val="17"/>
          <w:szCs w:val="17"/>
          <w:color w:val="auto"/>
        </w:rPr>
        <w:t>”), (ii) is a person who is otherwise the target of U.S. economic sanctions laws such that a U.S. person cannot deal or otherwise engage in business transactions with such person, (iii) is a Person organized or resident in a country or territory subject to comprehensive Sanctions (a “</w:t>
      </w:r>
      <w:r>
        <w:rPr>
          <w:rFonts w:ascii="Arial" w:cs="Arial" w:eastAsia="Arial" w:hAnsi="Arial"/>
          <w:sz w:val="17"/>
          <w:szCs w:val="17"/>
          <w:b w:val="1"/>
          <w:bCs w:val="1"/>
          <w:color w:val="auto"/>
        </w:rPr>
        <w:t>Sanctioned Country</w:t>
      </w:r>
      <w:r>
        <w:rPr>
          <w:rFonts w:ascii="Arial" w:cs="Arial" w:eastAsia="Arial" w:hAnsi="Arial"/>
          <w:sz w:val="17"/>
          <w:szCs w:val="17"/>
          <w:color w:val="auto"/>
        </w:rPr>
        <w:t>”), or (iv) is owned or controlled by (including by virtue of such Person being a director or owning voting shares or interests), or acts, directly or indirectly, for or on behalf of, any Person on the SDN List or a government of a Sanctioned Country such that the entry into, or performance under, this Agreement or any other Loan Document would be prohibited by U.S. law.</w:t>
      </w:r>
    </w:p>
    <w:p>
      <w:pPr>
        <w:spacing w:after="0" w:line="174" w:lineRule="exact"/>
        <w:rPr>
          <w:rFonts w:ascii="Arial" w:cs="Arial" w:eastAsia="Arial" w:hAnsi="Arial"/>
          <w:sz w:val="17"/>
          <w:szCs w:val="17"/>
          <w:color w:val="auto"/>
        </w:rPr>
      </w:pPr>
    </w:p>
    <w:p>
      <w:pPr>
        <w:ind w:firstLine="464"/>
        <w:spacing w:after="0" w:line="273" w:lineRule="auto"/>
        <w:tabs>
          <w:tab w:leader="none" w:pos="71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Credit Party and each Subsidiary of each Credit Party is in compliance with all laws related to terrorism or money laundering (“</w:t>
      </w:r>
      <w:r>
        <w:rPr>
          <w:rFonts w:ascii="Arial" w:cs="Arial" w:eastAsia="Arial" w:hAnsi="Arial"/>
          <w:sz w:val="17"/>
          <w:szCs w:val="17"/>
          <w:b w:val="1"/>
          <w:bCs w:val="1"/>
          <w:color w:val="auto"/>
        </w:rPr>
        <w:t>Anti-Money</w:t>
      </w:r>
      <w:r>
        <w:rPr>
          <w:rFonts w:ascii="Arial" w:cs="Arial" w:eastAsia="Arial" w:hAnsi="Arial"/>
          <w:sz w:val="17"/>
          <w:szCs w:val="17"/>
          <w:color w:val="auto"/>
        </w:rPr>
        <w:t xml:space="preserve"> </w:t>
      </w:r>
      <w:r>
        <w:rPr>
          <w:rFonts w:ascii="Arial" w:cs="Arial" w:eastAsia="Arial" w:hAnsi="Arial"/>
          <w:sz w:val="17"/>
          <w:szCs w:val="17"/>
          <w:b w:val="1"/>
          <w:bCs w:val="1"/>
          <w:color w:val="auto"/>
        </w:rPr>
        <w:t>Laundering Laws</w:t>
      </w:r>
      <w:r>
        <w:rPr>
          <w:rFonts w:ascii="Arial" w:cs="Arial" w:eastAsia="Arial" w:hAnsi="Arial"/>
          <w:sz w:val="17"/>
          <w:szCs w:val="17"/>
          <w:color w:val="auto"/>
        </w:rPr>
        <w:t>”) including: (i) all applicable requirements of the Currency and Foreign Transactions Reporting Act of 1970 (31 U.S.C. 5311 et. seq.,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Secrecy Act)), as amended by Title III of the USA Patriot Act, (ii) the Trading with the Enemy Act, (iii) Executive Order No. 13224 on Terrorist Financing, effective September 24, 2001 (66 Fed. Reg. 49079), any other enabling legislation, executive order or regulations issued pursuant or relating thereto and (iv) other applicable federal or state laws relating to “know your customer” or anti-money laundering rules and regulations. No action, suit or proceeding by or before any court or Governmental Authority with respect to compliance with such Anti-Money Laundering Laws is pending or threatened to the knowledge of each Credit Party and each Subsidiary of each Credit Party.</w:t>
      </w:r>
    </w:p>
    <w:p>
      <w:pPr>
        <w:spacing w:after="0" w:line="176" w:lineRule="exact"/>
        <w:rPr>
          <w:rFonts w:ascii="Arial" w:cs="Arial" w:eastAsia="Arial" w:hAnsi="Arial"/>
          <w:sz w:val="17"/>
          <w:szCs w:val="17"/>
          <w:color w:val="auto"/>
        </w:rPr>
      </w:pPr>
    </w:p>
    <w:p>
      <w:pPr>
        <w:ind w:firstLine="464"/>
        <w:spacing w:after="0" w:line="279" w:lineRule="auto"/>
        <w:tabs>
          <w:tab w:leader="none" w:pos="701"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Credit Party and each Subsidiary of each Credit Party is in compliance in all material respects with all applicable anti-corruption and bribery laws, including the U.S. Foreign Corrupt Practices Act of 1977 (“</w:t>
      </w:r>
      <w:r>
        <w:rPr>
          <w:rFonts w:ascii="Arial" w:cs="Arial" w:eastAsia="Arial" w:hAnsi="Arial"/>
          <w:sz w:val="17"/>
          <w:szCs w:val="17"/>
          <w:b w:val="1"/>
          <w:bCs w:val="1"/>
          <w:color w:val="auto"/>
        </w:rPr>
        <w:t>FCPA</w:t>
      </w:r>
      <w:r>
        <w:rPr>
          <w:rFonts w:ascii="Arial" w:cs="Arial" w:eastAsia="Arial" w:hAnsi="Arial"/>
          <w:sz w:val="17"/>
          <w:szCs w:val="17"/>
          <w:color w:val="auto"/>
        </w:rPr>
        <w:t>”) and the U.K. Bribery Act 2010 (“</w:t>
      </w:r>
      <w:r>
        <w:rPr>
          <w:rFonts w:ascii="Arial" w:cs="Arial" w:eastAsia="Arial" w:hAnsi="Arial"/>
          <w:sz w:val="17"/>
          <w:szCs w:val="17"/>
          <w:b w:val="1"/>
          <w:bCs w:val="1"/>
          <w:color w:val="auto"/>
        </w:rPr>
        <w:t>Anti-Corruption Laws</w:t>
      </w:r>
      <w:r>
        <w:rPr>
          <w:rFonts w:ascii="Arial" w:cs="Arial" w:eastAsia="Arial" w:hAnsi="Arial"/>
          <w:sz w:val="17"/>
          <w:szCs w:val="17"/>
          <w:color w:val="auto"/>
        </w:rPr>
        <w:t>”). None of the Credit Party or any Subsidiary, nor to the knowledge of the Credit Party, any director, officer, agent, employee, or other person acting on behalf of the Credit Party or any Subsidiary, has taken any action, directly or indirectly, that would result in a violation of applicable Anti-Corruption Laws.</w:t>
      </w:r>
    </w:p>
    <w:p>
      <w:pPr>
        <w:spacing w:after="0" w:line="171" w:lineRule="exact"/>
        <w:rPr>
          <w:rFonts w:ascii="Arial" w:cs="Arial" w:eastAsia="Arial" w:hAnsi="Arial"/>
          <w:sz w:val="17"/>
          <w:szCs w:val="17"/>
          <w:color w:val="auto"/>
        </w:rPr>
      </w:pPr>
    </w:p>
    <w:p>
      <w:pPr>
        <w:ind w:right="340" w:firstLine="464"/>
        <w:spacing w:after="0" w:line="264" w:lineRule="auto"/>
        <w:tabs>
          <w:tab w:leader="none" w:pos="71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Credit Party and each Subsidiary has instituted and will continue to maintain policies and procedures designed to ensure compliance by the Credit Parties, their Subsidiaries and their respective directors, officers, employees and agents with Sanctions, Anti-Money Laundering Laws and Anti-Corruption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07" w:name="page108"/>
    <w:bookmarkEnd w:id="107"/>
    <w:p>
      <w:pPr>
        <w:ind w:right="7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4.24 </w:t>
      </w:r>
      <w:r>
        <w:rPr>
          <w:rFonts w:ascii="Arial" w:cs="Arial" w:eastAsia="Arial" w:hAnsi="Arial"/>
          <w:sz w:val="18"/>
          <w:szCs w:val="18"/>
          <w:u w:val="single" w:color="auto"/>
          <w:color w:val="auto"/>
        </w:rPr>
        <w:t>Subordinated Debt</w:t>
      </w:r>
      <w:r>
        <w:rPr>
          <w:rFonts w:ascii="Arial" w:cs="Arial" w:eastAsia="Arial" w:hAnsi="Arial"/>
          <w:sz w:val="18"/>
          <w:szCs w:val="18"/>
          <w:color w:val="auto"/>
        </w:rPr>
        <w:t>. All Obligations, including the L/C Reimbursement Obligations, constitute Indebtedness entitled to the benefits of the subordination provisions contained in the applicable Subordination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Each Credit Party shall maintain, and shall cause each of its Restricted Subsidiaries to maintain, a system of accounting established and administered in accordance with sound business practices to permit the preparation of financial statements in conformity with GAAP (provided that unaudited interim financial statements shall not be required to have footnote disclosures and are subject to normal year-end adjustments). The Borrower shall deliver to Agent and each Lender by Electronic Transmission and in detail reasonably satisfactory to Agent and the Required Lenders:</w:t>
      </w:r>
    </w:p>
    <w:p>
      <w:pPr>
        <w:spacing w:after="0" w:line="154" w:lineRule="exact"/>
        <w:rPr>
          <w:sz w:val="20"/>
          <w:szCs w:val="20"/>
          <w:color w:val="auto"/>
        </w:rPr>
      </w:pPr>
    </w:p>
    <w:p>
      <w:pPr>
        <w:ind w:right="40" w:firstLine="464"/>
        <w:spacing w:after="0" w:line="255" w:lineRule="auto"/>
        <w:tabs>
          <w:tab w:leader="none" w:pos="7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as soon as available, but not later than one-hundred and twenty (120) days after the end of each Fiscal Year, a copy of the audited consolidated and consolidating balance sheets of Holdings and its Subsidiaries as at the end of such Fiscal Year and the related consolidated statements of income or operations, shareholders’ equity and cash flows for such Fiscal Year, setting forth in each case in comparative form the figures for the previous Fiscal Year, and accompanied by the report of any “Big Four” or other nationally-recognized independent certified public accounting firm reasonably acceptable to Agent which report shall (i) contain an unqualified opinion, stating that such consolidated financial statements present fairly in all material respects the financial position for the periods indicated in conformity with GAAP applied on a basis consistent with prior years and (ii) not include any explanatory paragraph expressing substantial doubt as to going concern status;</w:t>
      </w:r>
    </w:p>
    <w:p>
      <w:pPr>
        <w:spacing w:after="0" w:line="189" w:lineRule="exact"/>
        <w:rPr>
          <w:rFonts w:ascii="Arial" w:cs="Arial" w:eastAsia="Arial" w:hAnsi="Arial"/>
          <w:sz w:val="18"/>
          <w:szCs w:val="18"/>
          <w:color w:val="auto"/>
        </w:rPr>
      </w:pPr>
    </w:p>
    <w:p>
      <w:pPr>
        <w:ind w:firstLine="464"/>
        <w:spacing w:after="0" w:line="297" w:lineRule="auto"/>
        <w:tabs>
          <w:tab w:leader="none" w:pos="71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 soon as available, but not later than forty-five (45) days after the end of each of the first three Fiscal Quarters of each year, a copy of the unaudited consolidated and consolidating balance sheets of Holdings and its Subsidiaries, and the related consolidated statements of income, shareholders’ equity and cash flows as of the end of such Fiscal Quarter and for the portion of the Fiscal Year then ended, all certified by an appropriate Responsible Officer of the Borrower as being complete and correct and fairly presenting, in all material respects, in accordance with GAAP, the financial position and the results of operations of Holdings and its Subsidiaries, subject to normal year-end adjustments and absence of footnote disclosures.</w:t>
      </w:r>
    </w:p>
    <w:p>
      <w:pPr>
        <w:spacing w:after="0" w:line="158"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The Borrower shall furnish to Agent (and Agent shall thereafter make available to each Lender) by Electronic Transmission:</w:t>
      </w:r>
    </w:p>
    <w:p>
      <w:pPr>
        <w:spacing w:after="0" w:line="170" w:lineRule="exact"/>
        <w:rPr>
          <w:sz w:val="20"/>
          <w:szCs w:val="20"/>
          <w:color w:val="auto"/>
        </w:rPr>
      </w:pPr>
    </w:p>
    <w:p>
      <w:pPr>
        <w:ind w:right="120" w:firstLine="464"/>
        <w:spacing w:after="0" w:line="286" w:lineRule="auto"/>
        <w:tabs>
          <w:tab w:leader="none" w:pos="70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annual and quarterly financial statements referred to in </w:t>
      </w:r>
      <w:r>
        <w:rPr>
          <w:rFonts w:ascii="Arial" w:cs="Arial" w:eastAsia="Arial" w:hAnsi="Arial"/>
          <w:sz w:val="17"/>
          <w:szCs w:val="17"/>
          <w:u w:val="single" w:color="auto"/>
          <w:color w:val="auto"/>
        </w:rPr>
        <w:t>Sections 5.1(a)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5.1(b)</w:t>
      </w:r>
      <w:r>
        <w:rPr>
          <w:rFonts w:ascii="Arial" w:cs="Arial" w:eastAsia="Arial" w:hAnsi="Arial"/>
          <w:sz w:val="17"/>
          <w:szCs w:val="17"/>
          <w:color w:val="auto"/>
        </w:rPr>
        <w:t xml:space="preserve">, (i) a fully and properly completed certificate in the form of </w:t>
      </w:r>
      <w:r>
        <w:rPr>
          <w:rFonts w:ascii="Arial" w:cs="Arial" w:eastAsia="Arial" w:hAnsi="Arial"/>
          <w:sz w:val="17"/>
          <w:szCs w:val="17"/>
          <w:u w:val="single" w:color="auto"/>
          <w:color w:val="auto"/>
        </w:rPr>
        <w:t>Exhibit 5.2(a</w:t>
      </w:r>
      <w:r>
        <w:rPr>
          <w:rFonts w:ascii="Arial" w:cs="Arial" w:eastAsia="Arial" w:hAnsi="Arial"/>
          <w:sz w:val="17"/>
          <w:szCs w:val="17"/>
          <w:color w:val="auto"/>
        </w:rPr>
        <w:t>) (a “</w:t>
      </w:r>
      <w:r>
        <w:rPr>
          <w:rFonts w:ascii="Arial" w:cs="Arial" w:eastAsia="Arial" w:hAnsi="Arial"/>
          <w:sz w:val="17"/>
          <w:szCs w:val="17"/>
          <w:b w:val="1"/>
          <w:bCs w:val="1"/>
          <w:color w:val="auto"/>
        </w:rPr>
        <w:t>Compliance Certificate</w:t>
      </w:r>
      <w:r>
        <w:rPr>
          <w:rFonts w:ascii="Arial" w:cs="Arial" w:eastAsia="Arial" w:hAnsi="Arial"/>
          <w:sz w:val="17"/>
          <w:szCs w:val="17"/>
          <w:color w:val="auto"/>
        </w:rPr>
        <w:t>”), certified by a Responsible Officer of the Borrower and (ii) a reconciliation excluding the assets liabilities, revenue, expenses and net income of Unrestricted Subsidiaries from such financial statements;</w:t>
      </w:r>
    </w:p>
    <w:p>
      <w:pPr>
        <w:spacing w:after="0" w:line="165" w:lineRule="exact"/>
        <w:rPr>
          <w:rFonts w:ascii="Arial" w:cs="Arial" w:eastAsia="Arial" w:hAnsi="Arial"/>
          <w:sz w:val="17"/>
          <w:szCs w:val="17"/>
          <w:color w:val="auto"/>
        </w:rPr>
      </w:pPr>
    </w:p>
    <w:p>
      <w:pPr>
        <w:ind w:right="20" w:firstLine="464"/>
        <w:spacing w:after="0" w:line="259" w:lineRule="auto"/>
        <w:tabs>
          <w:tab w:leader="none" w:pos="7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promptly after the same are sent, copies of all financial statements and reports (excluding any packages delivered solely to the board of directors (or other similar body)) which any Credit Party sends to its shareholders or other equity holders, as applicable, generally and promptly after the same are filed, copies of all financial statements and regular, periodic or special reports which such Person may make to, or file with, the Securities and Exchange Commission or any successor or similar Governmental Authority;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108" w:name="page109"/>
    <w:bookmarkEnd w:id="108"/>
    <w:p>
      <w:pPr>
        <w:ind w:right="320" w:firstLine="464"/>
        <w:spacing w:after="0" w:line="264" w:lineRule="auto"/>
        <w:tabs>
          <w:tab w:leader="none" w:pos="7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available and in any event no later than forty-five (45) days after the last day of each Fiscal Year of the Borrower, projections of the Credit Parties (and their Subsidiaries) consolidated and consolidating financial performance for the forthcoming Fiscal Year on a quarterly basis and, with appropriate discussion, the principal assumptions upon which such projections are based;</w:t>
      </w:r>
    </w:p>
    <w:p>
      <w:pPr>
        <w:spacing w:after="0" w:line="181" w:lineRule="exact"/>
        <w:rPr>
          <w:rFonts w:ascii="Arial" w:cs="Arial" w:eastAsia="Arial" w:hAnsi="Arial"/>
          <w:sz w:val="18"/>
          <w:szCs w:val="18"/>
          <w:color w:val="auto"/>
        </w:rPr>
      </w:pPr>
    </w:p>
    <w:p>
      <w:pPr>
        <w:ind w:right="102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upon receipt thereof, copies of any “management letter” submitted to any Credit Party by its certified public accountants and management’s responses thereto;</w:t>
      </w:r>
    </w:p>
    <w:p>
      <w:pPr>
        <w:spacing w:after="0" w:line="170" w:lineRule="exact"/>
        <w:rPr>
          <w:rFonts w:ascii="Arial" w:cs="Arial" w:eastAsia="Arial" w:hAnsi="Arial"/>
          <w:sz w:val="18"/>
          <w:szCs w:val="18"/>
          <w:color w:val="auto"/>
        </w:rPr>
      </w:pPr>
    </w:p>
    <w:p>
      <w:pPr>
        <w:ind w:firstLine="464"/>
        <w:spacing w:after="0" w:line="255" w:lineRule="auto"/>
        <w:tabs>
          <w:tab w:leader="none" w:pos="7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from time to time, with respect to any Property subject to a Mortgage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 if Agent determines that obtaining appraisals is necessary in order for Agent or any Lender to comply with applicable laws or regulations (including any appraisals required to comply with FIRREA), and at any time if an Event of Default shall have occurred and be continuing, Agent may, or may require the Borrower to, in either case at the Borrower’s expense, obtain appraisals in form and substance and from appraisers reasonably satisfactory to Agent stating the then current fair market value of all or any portion of the personal property of any Credit Party or any Restricted Subsidiary of any Credit Party and the fair market value or such other value as determined by Agent (for example, replacement cost for purposes of Flood Insurance) of any Real Estate of any Credit Party or any Restricted Subsidiary of any Credit Party;</w:t>
      </w:r>
    </w:p>
    <w:p>
      <w:pPr>
        <w:spacing w:after="0" w:line="189" w:lineRule="exact"/>
        <w:rPr>
          <w:rFonts w:ascii="Arial" w:cs="Arial" w:eastAsia="Arial" w:hAnsi="Arial"/>
          <w:sz w:val="18"/>
          <w:szCs w:val="18"/>
          <w:color w:val="auto"/>
        </w:rPr>
      </w:pPr>
    </w:p>
    <w:p>
      <w:pPr>
        <w:ind w:right="680" w:firstLine="464"/>
        <w:spacing w:after="0" w:line="277" w:lineRule="auto"/>
        <w:tabs>
          <w:tab w:leader="none" w:pos="68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annual financial statements referred to in </w:t>
      </w:r>
      <w:r>
        <w:rPr>
          <w:rFonts w:ascii="Arial" w:cs="Arial" w:eastAsia="Arial" w:hAnsi="Arial"/>
          <w:sz w:val="18"/>
          <w:szCs w:val="18"/>
          <w:u w:val="single" w:color="auto"/>
          <w:color w:val="auto"/>
        </w:rPr>
        <w:t>Section 5.1(a)</w:t>
      </w:r>
      <w:r>
        <w:rPr>
          <w:rFonts w:ascii="Arial" w:cs="Arial" w:eastAsia="Arial" w:hAnsi="Arial"/>
          <w:sz w:val="18"/>
          <w:szCs w:val="18"/>
          <w:color w:val="auto"/>
        </w:rPr>
        <w:t>, a summary of all material insurance coverage maintained as of the date thereof by any Credit Party; and</w:t>
      </w:r>
    </w:p>
    <w:p>
      <w:pPr>
        <w:spacing w:after="0" w:line="170" w:lineRule="exact"/>
        <w:rPr>
          <w:rFonts w:ascii="Arial" w:cs="Arial" w:eastAsia="Arial" w:hAnsi="Arial"/>
          <w:sz w:val="18"/>
          <w:szCs w:val="18"/>
          <w:color w:val="auto"/>
        </w:rPr>
      </w:pPr>
    </w:p>
    <w:p>
      <w:pPr>
        <w:ind w:right="600" w:firstLine="464"/>
        <w:spacing w:after="0" w:line="277" w:lineRule="auto"/>
        <w:tabs>
          <w:tab w:leader="none" w:pos="71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such additional business, financial, corporate affairs, perfection certificates and other information as Agent may from time to time reasonably request.</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Notices</w:t>
      </w:r>
      <w:r>
        <w:rPr>
          <w:rFonts w:ascii="Arial" w:cs="Arial" w:eastAsia="Arial" w:hAnsi="Arial"/>
          <w:sz w:val="18"/>
          <w:szCs w:val="18"/>
          <w:color w:val="auto"/>
        </w:rPr>
        <w:t>. The Borrower shall notify promptly Agent (and Agent shall thereafter notify each Lender) of each of the following (and in no event later than five (5) Business Days after a Responsible Officer becomes aware thereof):</w:t>
      </w:r>
    </w:p>
    <w:p>
      <w:pPr>
        <w:spacing w:after="0" w:line="170" w:lineRule="exact"/>
        <w:rPr>
          <w:sz w:val="20"/>
          <w:szCs w:val="20"/>
          <w:color w:val="auto"/>
        </w:rPr>
      </w:pPr>
    </w:p>
    <w:p>
      <w:pPr>
        <w:ind w:left="700" w:hanging="236"/>
        <w:spacing w:after="0"/>
        <w:tabs>
          <w:tab w:leader="none" w:pos="7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occurrence or existence of any Default or Event of Default;</w:t>
      </w:r>
    </w:p>
    <w:p>
      <w:pPr>
        <w:spacing w:after="0" w:line="225" w:lineRule="exact"/>
        <w:rPr>
          <w:rFonts w:ascii="Arial" w:cs="Arial" w:eastAsia="Arial" w:hAnsi="Arial"/>
          <w:sz w:val="18"/>
          <w:szCs w:val="18"/>
          <w:color w:val="auto"/>
        </w:rPr>
      </w:pPr>
    </w:p>
    <w:p>
      <w:pPr>
        <w:ind w:right="60" w:firstLine="464"/>
        <w:spacing w:after="0" w:line="288" w:lineRule="auto"/>
        <w:tabs>
          <w:tab w:leader="none" w:pos="71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breach or non-performance of, or any default under, (x) any agreement or document governing Material Indebtedness or (y) any Contractual Obligation of any Credit Party or any Subsidiary of any Credit Party, or any violation of, or non-compliance with, any Requirement of Law that in the case of this clause (y) would reasonably be expected to result, either individually or in the aggregate, in a Material Adverse Effect, and in the case of clauses (x) and</w:t>
      </w:r>
    </w:p>
    <w:p>
      <w:pPr>
        <w:ind w:right="320" w:firstLine="8"/>
        <w:spacing w:after="0" w:line="261"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including a description of such breach, non-performance, default, violation or non-compliance and the steps, if any, such Person has taken, is taking or proposes to take in respect thereof;</w:t>
      </w:r>
    </w:p>
    <w:p>
      <w:pPr>
        <w:spacing w:after="0" w:line="183" w:lineRule="exact"/>
        <w:rPr>
          <w:rFonts w:ascii="Arial" w:cs="Arial" w:eastAsia="Arial" w:hAnsi="Arial"/>
          <w:sz w:val="18"/>
          <w:szCs w:val="18"/>
          <w:color w:val="auto"/>
        </w:rPr>
      </w:pPr>
    </w:p>
    <w:p>
      <w:pPr>
        <w:ind w:right="320" w:firstLine="464"/>
        <w:spacing w:after="0" w:line="264" w:lineRule="auto"/>
        <w:tabs>
          <w:tab w:leader="none" w:pos="70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dispute, litigation, investigation, proceeding or suspension which may exist at any time between any Credit Party or any Subsidiary of any Credit Party and any Governmental Authority which would reasonably be expected to result, either individually or in the aggregate, in a Material Adverse Effect;</w:t>
      </w:r>
    </w:p>
    <w:p>
      <w:pPr>
        <w:spacing w:after="0" w:line="181" w:lineRule="exact"/>
        <w:rPr>
          <w:rFonts w:ascii="Arial" w:cs="Arial" w:eastAsia="Arial" w:hAnsi="Arial"/>
          <w:sz w:val="18"/>
          <w:szCs w:val="18"/>
          <w:color w:val="auto"/>
        </w:rPr>
      </w:pPr>
    </w:p>
    <w:p>
      <w:pPr>
        <w:ind w:firstLine="464"/>
        <w:spacing w:after="0" w:line="276" w:lineRule="auto"/>
        <w:tabs>
          <w:tab w:leader="none" w:pos="711" w:val="left"/>
        </w:tabs>
        <w:numPr>
          <w:ilvl w:val="1"/>
          <w:numId w:val="105"/>
        </w:numPr>
        <w:rPr>
          <w:rFonts w:ascii="Arial" w:cs="Arial" w:eastAsia="Arial" w:hAnsi="Arial"/>
          <w:sz w:val="17"/>
          <w:szCs w:val="17"/>
          <w:color w:val="auto"/>
        </w:rPr>
      </w:pPr>
      <w:r>
        <w:rPr>
          <w:rFonts w:ascii="Arial" w:cs="Arial" w:eastAsia="Arial" w:hAnsi="Arial"/>
          <w:sz w:val="17"/>
          <w:szCs w:val="17"/>
          <w:color w:val="auto"/>
        </w:rPr>
        <w:t>the commencement of, or any material development in, any litigation or proceeding affecting any Credit Party, any Subsidiary of any Credit Party or any of their respective property (i) in which the amount of damages claimed is $2,500,000 or more, (ii) which would reasonably be expected to have a Material Adverse Effect, (iii) which alleges material violations of any Health Care Law by any Credit Party or any Subsidiary of any Credit Party that cannot be remedied in the Ordinary Course of Business, or (iv) in which the relief sought is an injunction or other stay of the performance of this Agreement or any other Loan Document; or the receipt of any subpoena from, or notice of an investigation by, any Governmental Authority;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109" w:name="page110"/>
    <w:bookmarkEnd w:id="109"/>
    <w:p>
      <w:pPr>
        <w:ind w:left="-8" w:right="100" w:firstLine="464"/>
        <w:spacing w:after="0" w:line="291" w:lineRule="auto"/>
        <w:tabs>
          <w:tab w:leader="none" w:pos="693" w:val="left"/>
        </w:tabs>
        <w:numPr>
          <w:ilvl w:val="1"/>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the receipt by any Credit Party of any written notice of violation of or potential liability or similar notice under Environmental Law, (ii)(A) unpermitted Releases, (B) the existence of any condition that could reasonably be expected to result in violations of or Liabilities under, any Environmental Law or (C) the commencement of, or any material change to, any action, investigation, suit, proceeding, audit, claim, demand, dispute alleging a violation of or Liability under any Environmental Law which in the case of clauses (A), (B) and (C) above, in the aggregate for all such clauses, would reasonably be expected to result in Material Environmental Liabilities, (iii) the receipt by any Credit Party of notification that any Property of any Credit Party is subject to any Lien in favor of any Governmental Authority securing, in whole or in part, Environmental Liabilities and (iv) any proposed acquisition or lease of Real Estate, if such acquisition or lease would have a reasonable likelihood of resulting in Material Environmental Liabilities;</w:t>
      </w:r>
    </w:p>
    <w:p>
      <w:pPr>
        <w:spacing w:after="0" w:line="167" w:lineRule="exact"/>
        <w:rPr>
          <w:rFonts w:ascii="Arial" w:cs="Arial" w:eastAsia="Arial" w:hAnsi="Arial"/>
          <w:sz w:val="16"/>
          <w:szCs w:val="16"/>
          <w:color w:val="auto"/>
        </w:rPr>
      </w:pPr>
    </w:p>
    <w:p>
      <w:pPr>
        <w:ind w:left="-8" w:right="140" w:firstLine="464"/>
        <w:spacing w:after="0" w:line="291" w:lineRule="auto"/>
        <w:tabs>
          <w:tab w:leader="none" w:pos="67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 on or prior to any filing by any Credit Party or a Subsidiary of a Credit Party, or promptly upon a Credit Party obtaining knowledge of the filing by any ERISA Affiliate, of any notice of any reportable event under Section 4043 of ERISA or intent to terminate any Title IV Plan, a copy of such notice,</w:t>
      </w:r>
    </w:p>
    <w:p>
      <w:pPr>
        <w:ind w:left="-8" w:firstLine="8"/>
        <w:spacing w:after="0" w:line="288" w:lineRule="auto"/>
        <w:tabs>
          <w:tab w:leader="none" w:pos="25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promptly, and in any event within ten (10) days, after any officer of any Credit Party or a Subsidiary of a Credit Party knows or has reason to know that a request for a minimum funding waiver under Section 412 of the Code has been filed with respect to any Title IV Plan or Multiemployer Plan, a notice describing such waiver request and any action that any ERISA Affiliate proposes to take with respect thereto, together with a copy of any notice filed with the PBGC or the IRS pertaining thereto, and (iii) promptly, and in any event within ten (10) days after any officer of any Credit Party or a Subsidiary of a Credit Party knows or has reason to know that an ERISA Event will or has occurred that would reasonably be expected to result in material liability to a Credit Party or a Subsidiary of a Credit Party, a notice describing such ERISA Event, and any action that any ERISA Affiliate proposes to take with respect thereto, together with a copy of any notices received from or filed with the PBGC, IRS, Multiemployer Plan or other Title IV Plan pertaining thereto;</w:t>
      </w:r>
    </w:p>
    <w:p>
      <w:pPr>
        <w:spacing w:after="0" w:line="168" w:lineRule="exact"/>
        <w:rPr>
          <w:rFonts w:ascii="Arial" w:cs="Arial" w:eastAsia="Arial" w:hAnsi="Arial"/>
          <w:sz w:val="16"/>
          <w:szCs w:val="16"/>
          <w:color w:val="auto"/>
        </w:rPr>
      </w:pPr>
    </w:p>
    <w:p>
      <w:pPr>
        <w:ind w:left="-8" w:right="140" w:firstLine="464"/>
        <w:spacing w:after="0" w:line="277" w:lineRule="auto"/>
        <w:tabs>
          <w:tab w:leader="none" w:pos="70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Material Adverse Effect subsequent to the date of the most recent audited financial statements delivered to Agent and Lenders pursuant to this Agreement;</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any material change in accounting policies or financial reporting practices by any Credit Party or any Restricted Subsidiary of any Credit Party;</w:t>
      </w:r>
    </w:p>
    <w:p>
      <w:pPr>
        <w:spacing w:after="0" w:line="236" w:lineRule="exact"/>
        <w:rPr>
          <w:rFonts w:ascii="Arial" w:cs="Arial" w:eastAsia="Arial" w:hAnsi="Arial"/>
          <w:sz w:val="17"/>
          <w:szCs w:val="17"/>
          <w:color w:val="auto"/>
        </w:rPr>
      </w:pPr>
    </w:p>
    <w:p>
      <w:pPr>
        <w:ind w:left="672" w:hanging="216"/>
        <w:spacing w:after="0"/>
        <w:tabs>
          <w:tab w:leader="none" w:pos="67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any event reasonably expected to result in a mandatory prepayment of the Obligations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8" w:firstLine="464"/>
        <w:spacing w:after="0" w:line="287" w:lineRule="auto"/>
        <w:tabs>
          <w:tab w:leader="none" w:pos="6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(1) the voluntary disclosure by any Credit Party or any Subsidiary of any Credit Party to the Office of the Inspector General of the United States Department of Health and Human Services, any Third Party Payor Program (including to any intermediary, carrier or contractor of such Program), of an actual or potential overpayment matter involving the submission of claims to a Third Party Payor in an amount greater than $250,000; (2) that any Credit Party or any Subsidiary of any Credit Party, an owner, officer, manager, employee or Person with a “direct or indirect ownership interest” (as that phrase is defined in 42 C.F.R. §420.201) in any Credit Party or any Subsidiary of any Credit Party: (A) has had a civil monetary penalty assessed against him or her pursuant to 42 U.S.C. §1320a-7a or is the subject of a proceeding seeking to assess such penalty; (B) has been excluded from participation in a Federal Health Care Program (as that term is defined in 42 U.S.C. §1320a-7b) or is the subject of a proceeding seeking to assess such penalty; (C) has been convicted (as that term is defined in 42 C.F.R. §1001.2) of any of those offenses described in 42 U.S.C. §1320a-7b or 18 U.S.C. §§669, 1035, 1347, 1518 or is the subject of a proceeding seeking to assess such penalty; or (D) has been involved or named in a U.S. Attorney complaint made or any other action taken pursuant to the False Claims Act under 31 U.S.C. §§3729-3731 or in any qui tam action brought pursuant to 31 U.S.C. §3729 et seq.; (3) receipt by any Credit Party or any Subsidiary of any Credit Party of any written notice or communication from an accrediting organization that such Person is in danger of losing its accreditation due to a failure to comply with a plan of correction and such failure would reasonably be expected to have, in the aggregate, a Material Adverse</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92"/>
          </w:cols>
          <w:pgMar w:left="248" w:top="274" w:right="259" w:bottom="1440" w:gutter="0" w:footer="0" w:header="0"/>
        </w:sectPr>
      </w:pPr>
    </w:p>
    <w:bookmarkStart w:id="110" w:name="page111"/>
    <w:bookmarkEnd w:id="11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(4) any validation review, program integrity review or material reimbursement audits related to any Credit Party or any Subsidiary of any Credit Party in connection with any Third Party Payor Program; (5) any claim to recover any alleged overpayments with respect to any receivables, or any notice of any fees of any Credit Party or any Subsidiary of any Credit Party being contested or disputed, in each case, in excess of $1,000,000; (6) notice of any material reduction in the level of reimbursement expected to be received with respect to receivables; (7) any allegations of material licensure violations by a Governmental Authority or fraudulent acts or omissions involving any Credit Party or any Subsidiary of any Credit Party; (8) the pending or threatened imposition of any material fine or penalty by any Governmental Authority under any Health Care Law against any Credit Party or any Subsidiary of any Credit Party; (9) any changes in any Health Care Law (including the adoption of a new Health Care Law) known to any Credit Party or any Subsidiary or any Credit Party that would reasonably be expected to have, in the aggregate, a Material Adverse Effect; (10) notice of any Credit Party’s or any of their Subsidiaries’ fees in excess of $1,000,000 being contested or disputed; (11) any pending or threatened revocation, suspension, termination, probation, restriction, limitation, denial, or non-renewal with respect to any Regulatory Permit or Third Party Payor Authorization that if such actions occurred would reasonably be expected to have, in the aggregate, a Material Adverse Effect; and (12) notice of the occurrence of any reportable event as defined in any corporate integrity agreement, corporate compliance agreement or deferred prosecution agreement pursuant to which any Credit Party or any Subsidiary of any Credit Party has to make a submission to any Governmental Authority or other Person under the terms of such agreement, if any.</w:t>
      </w:r>
    </w:p>
    <w:p>
      <w:pPr>
        <w:spacing w:after="0" w:line="17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Each notice pursuant to this Section shall be an Electronic Transmission accompanied by a statement by a Responsible Officer of the Borrower, setting forth details of the occurrence referred to therein, and stating what action the Borrower or other Person proposes to take with respect thereto and at what time. Each notice under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describe with particularity any and all clauses or provisions of this Agreement or other Loan Document that have been breached or violated.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Each Credit Party shall, and shall cause each of its Restricted Subsidiaries to:</w:t>
      </w:r>
    </w:p>
    <w:p>
      <w:pPr>
        <w:spacing w:after="0" w:line="225" w:lineRule="exact"/>
        <w:rPr>
          <w:sz w:val="20"/>
          <w:szCs w:val="20"/>
          <w:color w:val="auto"/>
        </w:rPr>
      </w:pPr>
    </w:p>
    <w:p>
      <w:pPr>
        <w:ind w:right="440" w:firstLine="464"/>
        <w:spacing w:after="0" w:line="277" w:lineRule="auto"/>
        <w:tabs>
          <w:tab w:leader="none" w:pos="70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preserve and maintain in full force and effect its organizational existence and good standing under the laws of its jurisdiction of incorporation, organization or formation, as applicable, except as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right="540" w:firstLine="464"/>
        <w:spacing w:after="0" w:line="264"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preserve and maintain its rights (charter and statutory), privileges, franchises and Permits necessary or desirable in the normal conduct of its business except as permitted by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and except as would not reasonably be expected to have, either individually or in the aggregate, a Material Adverse Effect.</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Maintenance of Property</w:t>
      </w:r>
      <w:r>
        <w:rPr>
          <w:rFonts w:ascii="Arial" w:cs="Arial" w:eastAsia="Arial" w:hAnsi="Arial"/>
          <w:sz w:val="18"/>
          <w:szCs w:val="18"/>
          <w:color w:val="auto"/>
        </w:rPr>
        <w:t>. Each Credit Party shall, except as otherwise permitted by this Agreement, maintain, and shall cause each of its Restricted Subsidiaries to maintain, and preserve all its Property which is used or useful in its business in good working order and condition, ordinary wear and tear excepted and shall make all necessary repairs thereto and renewals and replacements thereof except where the failure to do so would not reasonably be expected to have, either individually or in the aggregate, a Material Adverse Effect.</w:t>
      </w:r>
    </w:p>
    <w:p>
      <w:pPr>
        <w:spacing w:after="0" w:line="18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Insurance</w:t>
      </w:r>
      <w:r>
        <w:rPr>
          <w:rFonts w:ascii="Arial" w:cs="Arial" w:eastAsia="Arial" w:hAnsi="Arial"/>
          <w:sz w:val="16"/>
          <w:szCs w:val="16"/>
          <w:color w:val="auto"/>
        </w:rPr>
        <w:t>. The Credit Parties shall, and shall cause each of their Restricted Subsidiaries to, maintain with financially sound and reputable insurance companies insurance with respect to their assets, properties and business, against such hazards and liabilities, of such types and in such amounts, as is customarily maintained by companies in the same or similar businesses similarly situated, including Flood Insurance. Each such policy of insurance shall</w:t>
      </w:r>
    </w:p>
    <w:p>
      <w:pPr>
        <w:ind w:right="100" w:firstLine="8"/>
        <w:spacing w:after="0" w:line="255" w:lineRule="auto"/>
        <w:tabs>
          <w:tab w:leader="none" w:pos="2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the case of each liability policy, name Agent on behalf of the Secured Parties as an additional insured thereunder as its interests may appear and (ii) in the case of each casualty insurance policy contain a loss payable clause or endorsement that names Agent, on behalf of the Secured Parties, as the loss payee thereunder and, to the extent available, provide for at</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111" w:name="page112"/>
    <w:bookmarkEnd w:id="11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least thirty (30) days’ prior written notice to Agent of any modification or cancellation of such policy (or ten (10) days’ prior written notice in the case of the failure to pay any premiums thereunder). A true and complete listing of such insurance, including issuers, coverages and deductibles, shall be provided to Agent promptly following Agent’s request. Notwithstanding the requirements above, Flood Insurance shall be required for all Real Estate located in a Special Flood Hazard Area in a community that participates in the National Flood Insurance Program, but shall not be required for (x) Real Estate not located in a Special Flood Hazard Area, or (y) Real Estate located in a Special Flood Hazard Area in a community that does not participate in the National Flood Insurance Program. In addition to the foregoing, any representations and warranties insurance policies obtained by the Borrower or any Affiliate of the Borrower in connection with a Permitted Acquisition shall name the Borrower as the named insured and shall be collaterally assigned to Agent in a manner reasonably satisfactory to Agent.</w:t>
      </w:r>
    </w:p>
    <w:p>
      <w:pPr>
        <w:spacing w:after="0" w:line="19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Payment of Tax and Certain Secured Obligations</w:t>
      </w:r>
      <w:r>
        <w:rPr>
          <w:rFonts w:ascii="Arial" w:cs="Arial" w:eastAsia="Arial" w:hAnsi="Arial"/>
          <w:sz w:val="18"/>
          <w:szCs w:val="18"/>
          <w:color w:val="auto"/>
        </w:rPr>
        <w:t>. Each Credit Party shall, and shall cause each of its Restricted Subsidiaries to, pay, discharge and perform as the same shall become due and payable or required to be performed (a) all federal, state and other material Tax liabilities, assessments and governmental charges or levies upon it or its Property, unless the same are being contested in good faith by appropriate proceedings diligently prosecuted which stay the enforcement of any Lien and for which adequate reserves in accordance with GAAP are being maintained by such Person and (b) all lawful claims which, if unpaid, would by law become a Lien upon its Property unless the same are being contested in good faith by appropriate proceedings diligently prosecuted which stay the imposition or enforcement of any Lien and for which adequate reserves in accordance with GAAP are being maintained by such Person.</w:t>
      </w:r>
    </w:p>
    <w:p>
      <w:pPr>
        <w:spacing w:after="0" w:line="18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Each Credit Party shall, and shall cause each of its Restricted Subsidiaries to, comply with all Requirements of Law of any Governmental Authority having jurisdiction over it or its business, except where the failure to comply would not reasonably be expected to have, either individually or in the aggregate, a Material Adverse Effect. Each Credit Party will maintain in effect and enforce policies and procedures designed to ensure compliance by the Credit Parties, their Subsidiaries and their respective directors, officers, employees and agents with Anti-Corruption Laws, Anti-Money Laundering Laws and applicable Sanctions. Each Credit Party shall, and each Credit Party shall cause its Subsidiaries to, prevent any Release of any Hazardous Material at, to or from any Real Estate that would violate or form the basis of Liability under any Environmental Law, other than such violations or liabilities that would not, in the aggregate, reasonably be expected to result in Material Environmental Liabilities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Inspection of Property and Books and Records</w:t>
      </w:r>
      <w:r>
        <w:rPr>
          <w:rFonts w:ascii="Arial" w:cs="Arial" w:eastAsia="Arial" w:hAnsi="Arial"/>
          <w:sz w:val="17"/>
          <w:szCs w:val="17"/>
          <w:color w:val="auto"/>
        </w:rPr>
        <w:t xml:space="preserve">. Each Credit Party shall, and shall cause each of its Restricted Subsidiaries to, with respect to each owned, leased, or controlled property, during normal business hours and upon reasonable advance notice (unless an Event of Default shall have occurred and be continuing, in which event no notice shall be required and Agent shall have access at any and all times during the continuance thereof): (a) provide access to such property to Agent and any of its Related Persons, but in no event more than once in any calendar year except to the extent that an Event of Default has occurred and is continuing; and (b) permit Agent and any of its Related Persons to conduct field examinations, appraise, inspect, and make extracts and copies (or take originals if reasonably necessary) from all of such Credit Party’s books and records, and evaluate and conduct appraisals and evaluations in any manner and through any medium that Agent considers advisable, in each instance, at the Credit Parties’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Credit Parties shall only be obligated to permit and reimburse Agent for the expenses of one such appraisal, evaluation and inspection per calendar year or more frequently if an Event of Default has occurred and is continuing. Any Lender may accompany Agent or its Related Persons in connection with any inspection at such Lender’s expense.</w:t>
      </w:r>
    </w:p>
    <w:p>
      <w:pPr>
        <w:spacing w:after="0" w:line="17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shall use the proceeds of the Initial Term Loan funded on the Closing Date (other than Incremental Loans) solely as follows: (a) first, to refinance on the Closing Date, Prior Indebtedness, and (b) thereafter to pay costs and expenses of the transactions contemplated hereby and costs and expenses required to be paid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The Borrower shall use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12" w:name="page113"/>
    <w:bookmarkEnd w:id="112"/>
    <w:p>
      <w:pPr>
        <w:ind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proceeds of each Initial Term Loan funded after the Closing Date solely to finance Permitted Acquisitions (and pay costs and expenses in connection therewith) consummated substantially concurrently with, or not more than forty-five (45) days prior to, the related funding of such Initial Term Loan. The Borrower shall use the proceeds of Revolving Loans and Swing Loans for working capital, capital expenditures and other general corporate purposes not in contravention of any Requirement of Law and not in violation of this Agreement (including to finance Permitted Acquisitions); provided, however, in no event may proceeds of Revolving Loans or Swing Loans be used, directly or indirectly, to make an optional prepayment of Term Loans. The Borrower shall use proceeds of Incremental Facilities solely as provided in </w:t>
      </w:r>
      <w:r>
        <w:rPr>
          <w:rFonts w:ascii="Arial" w:cs="Arial" w:eastAsia="Arial" w:hAnsi="Arial"/>
          <w:sz w:val="17"/>
          <w:szCs w:val="17"/>
          <w:u w:val="single" w:color="auto"/>
          <w:color w:val="auto"/>
        </w:rPr>
        <w:t>Section 2.1(e)(ii)(C)</w:t>
      </w:r>
      <w:r>
        <w:rPr>
          <w:rFonts w:ascii="Arial" w:cs="Arial" w:eastAsia="Arial" w:hAnsi="Arial"/>
          <w:sz w:val="17"/>
          <w:szCs w:val="17"/>
          <w:color w:val="auto"/>
        </w:rPr>
        <w:t>. No Credit Party shall, and no Credit Party shall suffer or permit any of its Subsidiaries to, use any Loan proceeds, directly or indirectly, to purchase or carry Margin Stock or repay or otherwise refinance Indebtedness of any Credit Party or others incurred to purchase or carry Margin Stock.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Cash Management Systems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7" w:lineRule="auto"/>
        <w:tabs>
          <w:tab w:leader="none" w:pos="70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Within sixty (60) days of the Closing Date (or such later date as the Agent may agree in writing), each Credit Party shall enter into, and cause each depository, securities intermediary or commodities intermediary to enter into, Control Agreements with respect to each of its deposit, securities, commodity or similar accounts maintained by such Person (other than any payroll account so long as such payroll account is a zero balance account, any withholding tax account, any fiduciary account, any petty cash accounts supporting local operations not exceeding a balance of $100,000 in the aggregate, and any Segregated Governmental Account) as of or after the Closing Date.</w:t>
      </w:r>
    </w:p>
    <w:p>
      <w:pPr>
        <w:spacing w:after="0" w:line="188" w:lineRule="exact"/>
        <w:rPr>
          <w:rFonts w:ascii="Arial" w:cs="Arial" w:eastAsia="Arial" w:hAnsi="Arial"/>
          <w:sz w:val="18"/>
          <w:szCs w:val="18"/>
          <w:color w:val="auto"/>
        </w:rPr>
      </w:pPr>
    </w:p>
    <w:p>
      <w:pPr>
        <w:ind w:right="40" w:firstLine="464"/>
        <w:spacing w:after="0" w:line="285" w:lineRule="auto"/>
        <w:tabs>
          <w:tab w:leader="none" w:pos="71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 addition, in order to segregate and to facilitate perfection of the Agent’s security interest in funds received from Governmental Payors making payments under Medicare or Medicaid, if any, the Credit Parties agree that the Credit Parties shall (a) segregate collections made from Governmental Payors making payments under Medicare or Medicaid, from collections made from all other Account Debtors and customers of the applicable Credit Parties, including, without limitation, by (i) notifying all payors (other than Governmental Payors making payments under Medicare or Medicaid) then instructed to make payments to such Credit Parties’ deposit accounts to make payments to a deposit account subject to a Control Agreement, and (ii) notifying all Governmental Payors making payments under Medicare or Medicaid to make payments to a Segregated Governmental Account, and (b) enter into, and cause each applicable depository to enter into, a “sweep” agreement (a “</w:t>
      </w:r>
      <w:r>
        <w:rPr>
          <w:rFonts w:ascii="Arial" w:cs="Arial" w:eastAsia="Arial" w:hAnsi="Arial"/>
          <w:sz w:val="16"/>
          <w:szCs w:val="16"/>
          <w:b w:val="1"/>
          <w:bCs w:val="1"/>
          <w:i w:val="1"/>
          <w:iCs w:val="1"/>
          <w:color w:val="auto"/>
        </w:rPr>
        <w:t>Sweep Agreement</w:t>
      </w:r>
      <w:r>
        <w:rPr>
          <w:rFonts w:ascii="Arial" w:cs="Arial" w:eastAsia="Arial" w:hAnsi="Arial"/>
          <w:sz w:val="16"/>
          <w:szCs w:val="16"/>
          <w:color w:val="auto"/>
        </w:rPr>
        <w:t xml:space="preserve">”) with respect to each Segregated Governmental Account pursuant to which such depository will agree to sweep amounts deposited therein on daily basis to a deposit account of the Credit Parties subject to a Control Agreement in favor of the Agent as and when funds clear and become available in accordance with such depository’s customary procedures, each with such financial institution and each in form and substance reasonably acceptable to the Agent. No Credit Party may change any sweep instruction set forth in such Sweep Agreement without the prior written consent of the Agent. To the extent any Person, whether a Governmental Payor or otherwise, remits payments to an incorrect deposit account or otherwise makes payments not in accordance with the provisions of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or an applicable Credit Party’s payment direction, such Credit Party shall contact such Person and use its commercially reasonable efforts to redirect payment from such Person in accordance with the terms hereof. The Agent agrees and confirms that Credit Parties will have sole dominion and “control” (within the meaning of Section 9-104 of the UCC and the common law) over each Segregated Governmental Account and all funds therein and the Agent disclaims any right of any nature whatsoever to control or otherwise direct or make any claim against the funds held in any Segregated Governmental Account from time to time.</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Landlord Agreements</w:t>
      </w:r>
      <w:r>
        <w:rPr>
          <w:rFonts w:ascii="Arial" w:cs="Arial" w:eastAsia="Arial" w:hAnsi="Arial"/>
          <w:sz w:val="18"/>
          <w:szCs w:val="18"/>
          <w:color w:val="auto"/>
        </w:rPr>
        <w:t>. Within sixty (60) days of the Closing Date (or such later date as the Agent may agree in writing), each Credit Party shall use commercially reasonable efforts to obtain a landlord agreement or bailee or mortgagee waivers, as applicable, from the lessor of the Borrower’s headquarters, support center, and each other location where Collateral with an aggregate fair market value in excess of $250,000 is located, which agreement shall be reasonably satisfactory in form and substance to Agent.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74" w:right="259" w:bottom="1440" w:gutter="0" w:footer="0" w:header="0"/>
        </w:sectPr>
      </w:pPr>
    </w:p>
    <w:bookmarkStart w:id="113" w:name="page114"/>
    <w:bookmarkEnd w:id="11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w:t>
      </w:r>
      <w:r>
        <w:rPr>
          <w:rFonts w:ascii="Arial" w:cs="Arial" w:eastAsia="Arial" w:hAnsi="Arial"/>
          <w:sz w:val="18"/>
          <w:szCs w:val="18"/>
          <w:u w:val="single" w:color="auto"/>
          <w:color w:val="auto"/>
        </w:rPr>
        <w:t>Further Assurances.</w:t>
      </w:r>
    </w:p>
    <w:p>
      <w:pPr>
        <w:spacing w:after="0" w:line="225" w:lineRule="exact"/>
        <w:rPr>
          <w:sz w:val="20"/>
          <w:szCs w:val="20"/>
          <w:color w:val="auto"/>
        </w:rPr>
      </w:pPr>
    </w:p>
    <w:p>
      <w:pPr>
        <w:ind w:left="-8" w:right="20" w:firstLine="464"/>
        <w:spacing w:after="0" w:line="279" w:lineRule="auto"/>
        <w:tabs>
          <w:tab w:leader="none" w:pos="69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Each Credit Party shall ensure that all written information, exhibits and reports furnished to Agent or the Lenders, when taken as a whole, do not and will not contain any untrue statement of a material fact and do not and will not omit to state any material fact or any fact necessary to make the statements contained therein not materially misleading in light of the circumstances in which made, and will promptly disclose to Agent and the Lenders and correct any defect or error that may be discovered therein or in any Loan Document or in the execution, acknowledgement or recordation thereof.</w:t>
      </w:r>
    </w:p>
    <w:p>
      <w:pPr>
        <w:spacing w:after="0" w:line="171" w:lineRule="exact"/>
        <w:rPr>
          <w:rFonts w:ascii="Arial" w:cs="Arial" w:eastAsia="Arial" w:hAnsi="Arial"/>
          <w:sz w:val="17"/>
          <w:szCs w:val="17"/>
          <w:color w:val="auto"/>
        </w:rPr>
      </w:pPr>
    </w:p>
    <w:p>
      <w:pPr>
        <w:ind w:left="-8" w:right="20" w:firstLine="464"/>
        <w:spacing w:after="0" w:line="291" w:lineRule="auto"/>
        <w:tabs>
          <w:tab w:leader="none" w:pos="70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Promptly upon request by Agent, the Credit Parties shall (and, subject to the limitations set forth herein and in the Collateral Documents, shall cause each of their Restricted Subsidiaries to) take such additional actions and execute such documents as Agent may reasonably require from time to time in order</w:t>
      </w:r>
    </w:p>
    <w:p>
      <w:pPr>
        <w:ind w:left="-8" w:right="200" w:firstLine="8"/>
        <w:spacing w:after="0" w:line="292" w:lineRule="auto"/>
        <w:tabs>
          <w:tab w:leader="none" w:pos="20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carry out more effectively the purposes of this Agreement or any other Loan Document, (ii) to subject to the Liens created by any of the Collateral Documents any of the Properties, rights or interests covered by any of the Collateral Documents, (iii) subject to customary “Funds Certain Provisions” with respect to perfection of Liens on assets acquired in an Investment permitted hereunder, to perfect and maintain the validity, effectiveness and (to the extent required hereby) priority of any of the Collateral Documents and the Liens intended to be created thereby, and (iv) to better assure, grant, preserve, protect and confirm to the Secured Parties the rights granted or now or hereafter intended to be granted to the Secured Parties under any Loan Document.</w:t>
      </w:r>
    </w:p>
    <w:p>
      <w:pPr>
        <w:spacing w:after="0" w:line="162" w:lineRule="exact"/>
        <w:rPr>
          <w:rFonts w:ascii="Arial" w:cs="Arial" w:eastAsia="Arial" w:hAnsi="Arial"/>
          <w:sz w:val="16"/>
          <w:szCs w:val="16"/>
          <w:color w:val="auto"/>
        </w:rPr>
      </w:pPr>
    </w:p>
    <w:p>
      <w:pPr>
        <w:ind w:left="-8" w:firstLine="464"/>
        <w:spacing w:after="0" w:line="270" w:lineRule="auto"/>
        <w:tabs>
          <w:tab w:leader="none" w:pos="69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and except as otherwise approved in writing by Required Lenders, the Credit Parties shall cause each of their Wholly-Owned Subsidiaries (other than Excluded Subsidiaries) promptly after formation or acquisition thereof, but in no event later than thirty (30) days thereafter, to become a Credit Party by guaranteeing the Obligations and granting to Agent, for the benefit of the Secured Parties, a security interest in, subject to the limitations set forth herein and in the Collateral Documents, all of such Subsidiary’s Property to secure such guaranty. Furthermore, the Borrower shall notify promptly Agent of the issuance by or to any Credit Party (other than by Holdings) of any Stock and, except as otherwise approved in writing by Required Lenders, each Credit Party shall pledge, and shall cause each of its Subsidiaries (other than Excluded Subsidiaries) to pledge, all of the Stock of each of its Subsidiaries (other than Excluded Subsidiaries) to Agent, for the benefit of the Secured Parties, to secure the Obligations, promptly after formation or acquisition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shall not require any Credit Party to pledge any “Excluded Property” as defined in the Guaranty and Security Agreement.</w:t>
      </w:r>
    </w:p>
    <w:p>
      <w:pPr>
        <w:spacing w:after="0" w:line="181" w:lineRule="exact"/>
        <w:rPr>
          <w:rFonts w:ascii="Arial" w:cs="Arial" w:eastAsia="Arial" w:hAnsi="Arial"/>
          <w:sz w:val="17"/>
          <w:szCs w:val="17"/>
          <w:color w:val="auto"/>
        </w:rPr>
      </w:pPr>
    </w:p>
    <w:p>
      <w:pPr>
        <w:ind w:left="-8" w:right="20" w:firstLine="464"/>
        <w:spacing w:after="0" w:line="268" w:lineRule="auto"/>
        <w:tabs>
          <w:tab w:leader="none" w:pos="70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 xml:space="preserve">The Credit Parties shall deliver, or cause to be delivered, to Agent, appropriate resolutions, secretary certificates, certified Organization Documents and, if requested by Agent, legal opinions relating to the matters described in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(which opinions shall be in form and substance reasonably acceptable to Agent and, to the extent applicable, substantially similar to the opinions delivered on the Closing Date), in each instance with respect to each Credit Party formed or acquired, and each Credit Party or Person (other than a Credit Party) whose Stock is being pledged, after the Closing Date. In connection with each pledge of Stock, the Credit Parties shall deliver, or cause to be delivered, to Agent, irrevocable proxies and stock powers and/or assignments, as applicable, duly executed in blank. In the event any Credit Party or any Domestic Subsidiary (other than any Excluded Domestic Subsidiary) of any Credit Party acquires fee title to any Real Estate with a fair market value in excess of $2,500,000 (or such higher amount as the Agent may agree in its sole discretion in writing) simultaneously with (or such later date as may be agreed by Agent in its sole discretion) such acquisition, such Person shall execute and/or deliver, or cause to be executed and/or delivered, to Agent, (w) an appraisal complying with FIRREA, (w) a fully executed Mortgage, in form and substance reasonably satisfactory to Agent together with an A.L.T.A. lender’s title insurance policy issued by a title insurer reasonably satisfactory to Agent, in form and substance and in an amount reasonably satisfactory to Agent insuring that the Mortgage is a valid and enforceable first priority Lien on the respective property, free and clear of all defects, encumbrances and Liens other than Permitted Liens, (x) then current A.L.T.A. surveys, certified to Agent by a licensed surveyor sufficient to allow the issuer of the lender’s title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12"/>
          </w:cols>
          <w:pgMar w:left="248" w:top="274" w:right="239" w:bottom="1440" w:gutter="0" w:footer="0" w:header="0"/>
        </w:sectPr>
      </w:pPr>
    </w:p>
    <w:bookmarkStart w:id="114" w:name="page115"/>
    <w:bookmarkEnd w:id="11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policy to issue such policy without a survey exception, (y) all documents required by it to evidence satisfaction of the Flood Insurance Requirements and evidence satisfactory to Agent that all flood insurance due diligence and flood insurance compliance and (z) at Agent’s request, within sixty</w:t>
      </w:r>
    </w:p>
    <w:p>
      <w:pPr>
        <w:ind w:right="100" w:firstLine="8"/>
        <w:spacing w:after="0" w:line="286" w:lineRule="auto"/>
        <w:tabs>
          <w:tab w:leader="none" w:pos="34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days of the closing of the acquisition, an environmental site assessment prepared by a qualified firm reasonably acceptable to Agent, in form and substance satisfactory to Agent. In addition to the obligations set forth in </w:t>
      </w:r>
      <w:r>
        <w:rPr>
          <w:rFonts w:ascii="Arial" w:cs="Arial" w:eastAsia="Arial" w:hAnsi="Arial"/>
          <w:sz w:val="16"/>
          <w:szCs w:val="16"/>
          <w:u w:val="single" w:color="auto"/>
          <w:color w:val="auto"/>
        </w:rPr>
        <w:t>Section 5.6(a)</w:t>
      </w:r>
      <w:r>
        <w:rPr>
          <w:rFonts w:ascii="Arial" w:cs="Arial" w:eastAsia="Arial" w:hAnsi="Arial"/>
          <w:sz w:val="16"/>
          <w:szCs w:val="16"/>
          <w:color w:val="auto"/>
        </w:rPr>
        <w:t>, the Credit Parties shall, in connection with the grant to Agent for the benefit of the Secured Parties of any Mortgage with respect to any Real Estate, and prior to or concurrently with such grant, provide all documents and information required by, and otherwise comply with, the Flood Insurance Requirements as they apply to the applicable Real Estate. In addition, within forty-five (45) days after written notice from Agent to the Credit Parties that any Real Estate is located in a Special Flood Hazard Area, the Credit Parties shall satisfy (to the extent theretofore not previously satisfied) the Flood Insurance Requirements as to the applicable Real Estate. Without limitation of the foregoing, each Credit Party shall, and shall cause each of its Restricted Subsidiaries to, cooperate with Agent in connection with compliance with laws governing the National Flood Insurance Program, including by providing any information reasonably required by Agent in order to confirm compliance with such laws. Notwithstanding anything contained in this Agreement to the contrary, no Mortgage shall be executed and delivered with respect to any Real Property unless and until each Lender has received all documents required by it to evidence satisfaction of the Flood Insurance Requirements and has confirmed to Agent that flood insurance due diligence and flood insurance compliance has been completed to its satisfaction.</w:t>
      </w:r>
    </w:p>
    <w:p>
      <w:pPr>
        <w:spacing w:after="0" w:line="166" w:lineRule="exact"/>
        <w:rPr>
          <w:rFonts w:ascii="Arial" w:cs="Arial" w:eastAsia="Arial" w:hAnsi="Arial"/>
          <w:sz w:val="16"/>
          <w:szCs w:val="16"/>
          <w:color w:val="auto"/>
        </w:rPr>
      </w:pPr>
    </w:p>
    <w:p>
      <w:pPr>
        <w:ind w:right="40" w:firstLine="464"/>
        <w:spacing w:after="0" w:line="269" w:lineRule="auto"/>
        <w:tabs>
          <w:tab w:leader="none" w:pos="70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to the extent reasonably necessary to maintain the continuing priority of the Lien of any existing Mortgages as security for the Obligations in connection with the funding of any Initial Term Loan or the incurrence of an Incremental Facility, as determined by Agent in its reasonable discretion, the applicable Credit Party to any Mortgages shall within thirty (30) days of such funding or incurrence (or such later date as agreed by Agent) (i) enter into and deliver to Agent, at the direction and in the reasonable discretion of Agent, a mortgage modification or new Mortgage in proper form for recording in the relevant jurisdiction and in a form reasonably satisfactory to Agent, (ii) cause to be delivered to Agent for the benefit of the Secured Parties an endorsement to the title insurance policy, date down(s) or other evidence reasonably satisfactory to Agent insuring that the priority of the Lien of the Mortgages as security for the Obligations has not changed and confirming and/or insuring that since the issuance of the title insurance policy there has been no change in the condition of title and there are no intervening liens or encumbrances which may then or thereafter take priority over the Lien of the Mortgages (other than those expressly permitted by </w:t>
      </w:r>
      <w:r>
        <w:rPr>
          <w:rFonts w:ascii="Arial" w:cs="Arial" w:eastAsia="Arial" w:hAnsi="Arial"/>
          <w:sz w:val="17"/>
          <w:szCs w:val="17"/>
          <w:u w:val="single" w:color="auto"/>
          <w:color w:val="auto"/>
        </w:rPr>
        <w:t>Section 6.1(c)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and (iii) deliver, at the request of Agent, to Agent and/or all other relevant third parties, all other items reasonably necessary to maintain the continuing priority (to the extent required by this Agreement) of the Lien of the Mortgages as security for the Obligations.</w:t>
      </w:r>
    </w:p>
    <w:p>
      <w:pPr>
        <w:spacing w:after="0" w:line="182" w:lineRule="exact"/>
        <w:rPr>
          <w:rFonts w:ascii="Arial" w:cs="Arial" w:eastAsia="Arial" w:hAnsi="Arial"/>
          <w:sz w:val="17"/>
          <w:szCs w:val="17"/>
          <w:color w:val="auto"/>
        </w:rPr>
      </w:pPr>
    </w:p>
    <w:p>
      <w:pPr>
        <w:ind w:right="100" w:firstLine="464"/>
        <w:spacing w:after="0" w:line="259"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Without limitation of (and subject to) any provision in any Subordination Agreement, if any lender with respect to any Subordinated Indebtedness receives any additional guaranty in connection with, or after the date of, the incurrence thereof, without limitation of any Event of Default that may arise as a result thereof, the Credit Parties shall, concurrently therewith, cause the same to be granted to Agent, for its own benefit and the benefit of the Secured Parties.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Each Credit Party shall, and shall cause each of its Restricted Subsidiaries to comply with, and maintain its Real Estate, whether owned, leased, subleased or otherwise operated or occupied, in compliance with all applicable Environmental Laws (including, without limitation, Environmental Laws related to the Release of Hazardous Materials) except where the failure to comply would not reasonably be expected to, individually or in the aggregate, result in a Material Environmental Liability.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5.15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ind w:right="780" w:firstLine="464"/>
        <w:spacing w:after="0" w:line="277" w:lineRule="auto"/>
        <w:tabs>
          <w:tab w:leader="none" w:pos="7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Without limiting or qualifying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hereof, or any other provision of this Agreement, each Credit Party and each of their respective Subsidiaries will comply with all applicable Health Care Laws relating to the operation of such Person’s business.</w:t>
      </w:r>
    </w:p>
    <w:p>
      <w:pPr>
        <w:spacing w:after="0" w:line="170" w:lineRule="exact"/>
        <w:rPr>
          <w:rFonts w:ascii="Arial" w:cs="Arial" w:eastAsia="Arial" w:hAnsi="Arial"/>
          <w:sz w:val="18"/>
          <w:szCs w:val="18"/>
          <w:color w:val="auto"/>
        </w:rPr>
      </w:pPr>
    </w:p>
    <w:p>
      <w:pPr>
        <w:ind w:right="40" w:firstLine="464"/>
        <w:spacing w:after="0" w:line="293" w:lineRule="auto"/>
        <w:tabs>
          <w:tab w:leader="none" w:pos="71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Credit Party and each of their respective Subsidiaries shall (i) obtain, maintain and preserve, and cause each of its Subsidiaries to obtain, maintain and preserve, and take all necessary action to timely renew, all Regulatory Permits (including, as applicable, Regulatory Permits necessary for it to be eligible to receive payment and compensation from and to participate in Medicare, Medicaid or any other Third Party Payor programs) which are necessary or useful in the proper conduct of its business; (ii) be and remain in material compliance with all requirements for participation in, and for licensure required to provide the goods or services that are reimbursable under, Medicare, Medicaid and other Third Party Payor Programs and (iii) keep and maintain all records required to be maintained by any Governmental Authority or otherwise under any Health Care Law.</w:t>
      </w:r>
    </w:p>
    <w:p>
      <w:pPr>
        <w:spacing w:after="0" w:line="160" w:lineRule="exact"/>
        <w:rPr>
          <w:rFonts w:ascii="Arial" w:cs="Arial" w:eastAsia="Arial" w:hAnsi="Arial"/>
          <w:sz w:val="16"/>
          <w:szCs w:val="16"/>
          <w:color w:val="auto"/>
        </w:rPr>
      </w:pPr>
    </w:p>
    <w:p>
      <w:pPr>
        <w:ind w:firstLine="464"/>
        <w:spacing w:after="0" w:line="287" w:lineRule="auto"/>
        <w:tabs>
          <w:tab w:leader="none" w:pos="7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Credit Party and each of their respective Subsidiaries shall maintain a corporate and health care regulatory compliance program (“</w:t>
      </w:r>
      <w:r>
        <w:rPr>
          <w:rFonts w:ascii="Arial" w:cs="Arial" w:eastAsia="Arial" w:hAnsi="Arial"/>
          <w:sz w:val="16"/>
          <w:szCs w:val="16"/>
          <w:b w:val="1"/>
          <w:bCs w:val="1"/>
          <w:color w:val="auto"/>
        </w:rPr>
        <w:t>Compliance</w:t>
      </w:r>
      <w:r>
        <w:rPr>
          <w:rFonts w:ascii="Arial" w:cs="Arial" w:eastAsia="Arial" w:hAnsi="Arial"/>
          <w:sz w:val="16"/>
          <w:szCs w:val="16"/>
          <w:color w:val="auto"/>
        </w:rPr>
        <w:t xml:space="preserve"> </w:t>
      </w:r>
      <w:r>
        <w:rPr>
          <w:rFonts w:ascii="Arial" w:cs="Arial" w:eastAsia="Arial" w:hAnsi="Arial"/>
          <w:sz w:val="16"/>
          <w:szCs w:val="16"/>
          <w:b w:val="1"/>
          <w:bCs w:val="1"/>
          <w:color w:val="auto"/>
        </w:rPr>
        <w:t>Program</w:t>
      </w:r>
      <w:r>
        <w:rPr>
          <w:rFonts w:ascii="Arial" w:cs="Arial" w:eastAsia="Arial" w:hAnsi="Arial"/>
          <w:sz w:val="16"/>
          <w:szCs w:val="16"/>
          <w:color w:val="auto"/>
        </w:rPr>
        <w:t>”) which addresses the requirements of Health Care Laws, including HIPAA and includes at least the following components and allows the Agent</w:t>
      </w:r>
      <w:r>
        <w:rPr>
          <w:rFonts w:ascii="Arial" w:cs="Arial" w:eastAsia="Arial" w:hAnsi="Arial"/>
          <w:sz w:val="16"/>
          <w:szCs w:val="16"/>
          <w:b w:val="1"/>
          <w:bCs w:val="1"/>
          <w:color w:val="auto"/>
        </w:rPr>
        <w:t xml:space="preserve"> </w:t>
      </w:r>
      <w:r>
        <w:rPr>
          <w:rFonts w:ascii="Arial" w:cs="Arial" w:eastAsia="Arial" w:hAnsi="Arial"/>
          <w:sz w:val="16"/>
          <w:szCs w:val="16"/>
          <w:color w:val="auto"/>
        </w:rPr>
        <w:t>and/or any consultants from time to time to review such Compliance Program: (i) standards of conduct and procedures that describe compliance policies regarding laws with an emphasis on prevention of fraud and abuse; (ii) a specific officer within high-level personnel identified as having overall responsibility for compliance with such standards and procedures; (iii) training and education programs which effectively communicate the compliance standards and procedures to employees and agents, including, without limitation, fraud and abuse laws and illegal billing practices; (iv) auditing and monitoring systems and reasonable steps for achieving compliance with such standards and procedures including, without limitation, publicizing a report system to allow employees and other agents to anonymously report criminal or suspect conduct and potential compliance problems; (v) disciplinary guidelines and consistent enforcement of compliance policies including, without limitation, discipline of individuals responsible for the failure to detect violations of the Compliance Program; and (vi) mechanisms to immediately respond to detected violations of the Compliance Program. Each Credit Party and each of their respective Subsidiaries shall modify such Compliance Programs from time to time, as may be necessary to ensure continuing compliance with all applicable Health Care Laws. Upon request, the Agent (and/or its consultants) shall be permitted to review such Compliance Programs.</w:t>
      </w:r>
    </w:p>
    <w:p>
      <w:pPr>
        <w:spacing w:after="0" w:line="17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Unrestricted Subsidiaries</w:t>
      </w:r>
      <w:r>
        <w:rPr>
          <w:rFonts w:ascii="Arial" w:cs="Arial" w:eastAsia="Arial" w:hAnsi="Arial"/>
          <w:sz w:val="16"/>
          <w:szCs w:val="16"/>
          <w:color w:val="auto"/>
        </w:rPr>
        <w:t xml:space="preserve">. The board of directors (or similar governing body) of Borrower may at any time designate any Restricted Subsidiary of Borrower acquired or formed after the Closing Date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ind w:left="220" w:hanging="212"/>
        <w:spacing w:after="0"/>
        <w:tabs>
          <w:tab w:leader="none" w:pos="2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immediately before and after such designation, no Default or Event of Default shall have occurred and be continuing or would result therefrom,</w:t>
      </w:r>
    </w:p>
    <w:p>
      <w:pPr>
        <w:spacing w:after="0" w:line="20" w:lineRule="exact"/>
        <w:rPr>
          <w:rFonts w:ascii="Arial" w:cs="Arial" w:eastAsia="Arial" w:hAnsi="Arial"/>
          <w:sz w:val="17"/>
          <w:szCs w:val="17"/>
          <w:color w:val="auto"/>
        </w:rPr>
      </w:pPr>
    </w:p>
    <w:p>
      <w:pPr>
        <w:ind w:firstLine="8"/>
        <w:spacing w:after="0" w:line="268" w:lineRule="auto"/>
        <w:tabs>
          <w:tab w:leader="none" w:pos="26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immediately after giving effect to such designation, the Credit Parties shall be in compliance on a pro forma basis with the covenants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recomputed for the most recent Fiscal Quarter for which financial statements have been delivered (or are required to have been delivered), (iii) no Subsidiary may be designated as an Unrestricted Subsidiary if it was previously an unrestricted Subsidiary and has been redesignated as a Restricted Subsidiary, (iv) no Subsidiary may be designated as an Unrestricted Subsidiary to the extent that after giving effect thereto, all Unrestricted Subsidiaries would (x) generate more than 5.00% of Consolidated Adjusted EBITDA on a pro forma basis or (y) have total assets (including Stock in other Subsidiaries and excluding investments that are eliminated in consolidation) equal to or greater than 5.00% of Consolidated Total Assets, (v) Borrower shall deliver to Agent at least three Business Days prior to such designation a certificate of a Responsible Officer of Borrower, together with all relevant financial information reasonably requested by Agent, demonstrating compliance with the foregoing clauses (i) through (iv) of this </w:t>
      </w:r>
      <w:r>
        <w:rPr>
          <w:rFonts w:ascii="Arial" w:cs="Arial" w:eastAsia="Arial" w:hAnsi="Arial"/>
          <w:sz w:val="17"/>
          <w:szCs w:val="17"/>
          <w:u w:val="single" w:color="auto"/>
          <w:color w:val="auto"/>
        </w:rPr>
        <w:t>Section 5.16</w:t>
      </w:r>
      <w:r>
        <w:rPr>
          <w:rFonts w:ascii="Arial" w:cs="Arial" w:eastAsia="Arial" w:hAnsi="Arial"/>
          <w:sz w:val="17"/>
          <w:szCs w:val="17"/>
          <w:color w:val="auto"/>
        </w:rPr>
        <w:t xml:space="preserve"> and, if applicable, certifying that such Subsidiary meets the requirements of an “Unrestricted Subsidiary” and (vi) at least ten days prior to the designation of any Unrestricted Subsidiary as a Restricted Subsidiary, the Lenders shall have received all documentation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16" w:name="page117"/>
    <w:bookmarkEnd w:id="1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information required by bank regulatory authorities under applicable “know-your-customer” and anti-money laundering rules and regulations, including the USA Patriot Act, with respect to such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w:t>
      </w:r>
    </w:p>
    <w:p>
      <w:pPr>
        <w:spacing w:after="0" w:line="225" w:lineRule="exact"/>
        <w:rPr>
          <w:sz w:val="20"/>
          <w:szCs w:val="20"/>
          <w:color w:val="auto"/>
        </w:rPr>
      </w:pPr>
    </w:p>
    <w:p>
      <w:pPr>
        <w:ind w:right="380" w:firstLine="464"/>
        <w:spacing w:after="0" w:line="277" w:lineRule="auto"/>
        <w:tabs>
          <w:tab w:leader="none" w:pos="7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Credit Parties shall enter into Control Agreements with respect to their respective deposit, securities, commodity or similar accounts to the extent required by </w:t>
      </w:r>
      <w:r>
        <w:rPr>
          <w:rFonts w:ascii="Arial" w:cs="Arial" w:eastAsia="Arial" w:hAnsi="Arial"/>
          <w:sz w:val="18"/>
          <w:szCs w:val="18"/>
          <w:u w:val="single" w:color="auto"/>
          <w:color w:val="auto"/>
        </w:rPr>
        <w:t>Section 5.11(a)</w:t>
      </w:r>
      <w:r>
        <w:rPr>
          <w:rFonts w:ascii="Arial" w:cs="Arial" w:eastAsia="Arial" w:hAnsi="Arial"/>
          <w:sz w:val="18"/>
          <w:szCs w:val="18"/>
          <w:color w:val="auto"/>
        </w:rPr>
        <w:t xml:space="preserve"> by no later than the time period set forth therein.</w:t>
      </w:r>
    </w:p>
    <w:p>
      <w:pPr>
        <w:spacing w:after="0" w:line="170"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Credit Parties shall have used commercially reasonable efforts to obtain landlord agreements and bailee or mortgagee waivers to the extent required by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by no later than the time period set forth therein.</w:t>
      </w:r>
    </w:p>
    <w:p>
      <w:pPr>
        <w:spacing w:after="0" w:line="170"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Credit Parties shall deliver to Agent additional insured and lender loss payable endorsements satisfying the requirements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within thirty (30) days of the Closing Date (or such later date as the Agent may agree in writing).</w:t>
      </w:r>
    </w:p>
    <w:p>
      <w:pPr>
        <w:spacing w:after="0" w:line="170" w:lineRule="exact"/>
        <w:rPr>
          <w:rFonts w:ascii="Arial" w:cs="Arial" w:eastAsia="Arial" w:hAnsi="Arial"/>
          <w:sz w:val="18"/>
          <w:szCs w:val="18"/>
          <w:color w:val="auto"/>
        </w:rPr>
      </w:pPr>
    </w:p>
    <w:p>
      <w:pPr>
        <w:ind w:right="280" w:firstLine="464"/>
        <w:spacing w:after="0" w:line="308" w:lineRule="auto"/>
        <w:tabs>
          <w:tab w:leader="none" w:pos="71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Credit Parties shall deliver all Pledged Certificated Stock (as defined in the Guaranty and Security Agreement), together with undated stock powers executed in blank, to Agent within five (5) days of the Closing Date (or such later date as the Agent may agree in writing).</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Credit Party shall, and no Credit Party shall suffer or permit any of its Restricted Subsidiaries to, directly or indirectly, make, create, incur, assume or suffer to exist any Lien upon or with respect to any part of its Property, whether now owned or hereafter acquired, other than the following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181" w:lineRule="exact"/>
        <w:rPr>
          <w:sz w:val="20"/>
          <w:szCs w:val="20"/>
          <w:color w:val="auto"/>
        </w:rPr>
      </w:pPr>
    </w:p>
    <w:p>
      <w:pPr>
        <w:ind w:right="80" w:firstLine="464"/>
        <w:spacing w:after="0" w:line="264" w:lineRule="auto"/>
        <w:tabs>
          <w:tab w:leader="none" w:pos="7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any Lien existing on the Property of a Credit Party or a Restricted Subsidiary of a Credit Party on the Closing Date and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securing Indebtedness outstanding on such date and permitted by </w:t>
      </w:r>
      <w:r>
        <w:rPr>
          <w:rFonts w:ascii="Arial" w:cs="Arial" w:eastAsia="Arial" w:hAnsi="Arial"/>
          <w:sz w:val="18"/>
          <w:szCs w:val="18"/>
          <w:u w:val="single" w:color="auto"/>
          <w:color w:val="auto"/>
        </w:rPr>
        <w:t>Section 6.5(b)</w:t>
      </w:r>
      <w:r>
        <w:rPr>
          <w:rFonts w:ascii="Arial" w:cs="Arial" w:eastAsia="Arial" w:hAnsi="Arial"/>
          <w:sz w:val="18"/>
          <w:szCs w:val="18"/>
          <w:color w:val="auto"/>
        </w:rPr>
        <w:t xml:space="preserve">, including replacement Liens on the Property currently subject to such Liens securing Indebtedness permitted by </w:t>
      </w:r>
      <w:r>
        <w:rPr>
          <w:rFonts w:ascii="Arial" w:cs="Arial" w:eastAsia="Arial" w:hAnsi="Arial"/>
          <w:sz w:val="18"/>
          <w:szCs w:val="18"/>
          <w:u w:val="single" w:color="auto"/>
          <w:color w:val="auto"/>
        </w:rPr>
        <w:t>Section 6.5(b)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Lien created under any Loan Document;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Liens for Taxes which are not past due or remain payable without penalty or the non-payment of which is permitted by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464"/>
        <w:spacing w:after="0" w:line="259" w:lineRule="auto"/>
        <w:tabs>
          <w:tab w:leader="none" w:pos="7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carriers’, warehousemen’s, mechanics’, landlords’, materialmen’s, repairmen’s or other similar Liens arising in the Ordinary Course of Business which are not delinquent for more than ninety (90) days or remain payable without penalty or which are being contested in good faith and by appropriate proceedings diligently prosecuted, which proceedings have the effect of preventing the forfeiture or sale of the Property subject thereto and for which adequate reserves in accordance with GAAP are being maintained;</w:t>
      </w:r>
    </w:p>
    <w:p>
      <w:pPr>
        <w:spacing w:after="0" w:line="186" w:lineRule="exact"/>
        <w:rPr>
          <w:rFonts w:ascii="Arial" w:cs="Arial" w:eastAsia="Arial" w:hAnsi="Arial"/>
          <w:sz w:val="18"/>
          <w:szCs w:val="18"/>
          <w:color w:val="auto"/>
        </w:rPr>
      </w:pPr>
    </w:p>
    <w:p>
      <w:pPr>
        <w:jc w:val="both"/>
        <w:ind w:right="200" w:firstLine="464"/>
        <w:spacing w:after="0" w:line="279" w:lineRule="auto"/>
        <w:tabs>
          <w:tab w:leader="none" w:pos="70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Liens (other than any Lien imposed by ERISA) consisting of pledges or deposits required in the Ordinary Course of Business in connection with workers’ compensation, unemployment insurance and other social security legislation or to secure the performance of tenders, statutory obligations, surety, stay, customs and appeals bonds, bids, leases, governmental contract, trade contracts, performance and return of money bonds and other similar obligations (exclusive of obligations for the payment of borrowed money) or to secure liability to insurance carriers;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4" w:right="279" w:bottom="1440" w:gutter="0" w:footer="0" w:header="0"/>
        </w:sectPr>
      </w:pPr>
    </w:p>
    <w:bookmarkStart w:id="117" w:name="page118"/>
    <w:bookmarkEnd w:id="117"/>
    <w:p>
      <w:pPr>
        <w:ind w:left="-8" w:right="720" w:firstLine="464"/>
        <w:spacing w:after="0" w:line="277" w:lineRule="auto"/>
        <w:tabs>
          <w:tab w:leader="none" w:pos="673" w:val="left"/>
        </w:tabs>
        <w:numPr>
          <w:ilvl w:val="1"/>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consisting of judgment or judicial attachment liens (other than for payment of Taxes), provided that the enforcement of such Liens is effectively stayed and the existence of such judgment does not constitute an Event of Default under </w:t>
      </w:r>
      <w:r>
        <w:rPr>
          <w:rFonts w:ascii="Arial" w:cs="Arial" w:eastAsia="Arial" w:hAnsi="Arial"/>
          <w:sz w:val="18"/>
          <w:szCs w:val="18"/>
          <w:u w:val="single" w:color="auto"/>
          <w:color w:val="auto"/>
        </w:rPr>
        <w:t>Section 8.1(h)</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 w:firstLine="464"/>
        <w:spacing w:after="0" w:line="312" w:lineRule="auto"/>
        <w:tabs>
          <w:tab w:leader="none" w:pos="70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easements, rights-of-way, zoning and other restrictions, minor defects or other irregularities in title, and other similar encumbrances incurred in the Ordinary Course of Business which, either individually or in the aggregate, do not in any case materially detract from the value of the Property subject thereto or interfere in any material respect with the ordinary conduct of the businesses of any Credit Party or any Restricted Subsidiary of any Credit Party;</w:t>
      </w:r>
    </w:p>
    <w:p>
      <w:pPr>
        <w:spacing w:after="0" w:line="146" w:lineRule="exact"/>
        <w:rPr>
          <w:rFonts w:ascii="Arial" w:cs="Arial" w:eastAsia="Arial" w:hAnsi="Arial"/>
          <w:sz w:val="16"/>
          <w:szCs w:val="16"/>
          <w:color w:val="auto"/>
        </w:rPr>
      </w:pPr>
    </w:p>
    <w:p>
      <w:pPr>
        <w:ind w:left="-8" w:right="140" w:firstLine="464"/>
        <w:spacing w:after="0" w:line="291" w:lineRule="auto"/>
        <w:tabs>
          <w:tab w:leader="none" w:pos="703"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Liens on any Property acquired or held by any Credit Party or any Restricted Subsidiary of any Credit Party securing Indebtedness incurred or assumed for the purpose of financing (or refinancing) all or any part of the cost of acquiring such Property and permitted under </w:t>
      </w:r>
      <w:r>
        <w:rPr>
          <w:rFonts w:ascii="Arial" w:cs="Arial" w:eastAsia="Arial" w:hAnsi="Arial"/>
          <w:sz w:val="16"/>
          <w:szCs w:val="16"/>
          <w:u w:val="single" w:color="auto"/>
          <w:color w:val="auto"/>
        </w:rPr>
        <w:t>Section 6.5(c)</w:t>
      </w:r>
      <w:r>
        <w:rPr>
          <w:rFonts w:ascii="Arial" w:cs="Arial" w:eastAsia="Arial" w:hAnsi="Arial"/>
          <w:sz w:val="16"/>
          <w:szCs w:val="16"/>
          <w:color w:val="auto"/>
        </w:rPr>
        <w:t>; provided that</w:t>
      </w:r>
    </w:p>
    <w:p>
      <w:pPr>
        <w:ind w:left="-8" w:right="40" w:firstLine="8"/>
        <w:spacing w:after="0" w:line="261" w:lineRule="auto"/>
        <w:tabs>
          <w:tab w:leader="none" w:pos="20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such Lien attaches solely to the Property so acquired in such transaction and the proceeds thereof and (ii) the principal amount of the Indebtedness secured thereby does not exceed 100% of the cost of such Property;</w:t>
      </w:r>
    </w:p>
    <w:p>
      <w:pPr>
        <w:spacing w:after="0" w:line="183" w:lineRule="exact"/>
        <w:rPr>
          <w:rFonts w:ascii="Arial" w:cs="Arial" w:eastAsia="Arial" w:hAnsi="Arial"/>
          <w:sz w:val="18"/>
          <w:szCs w:val="18"/>
          <w:color w:val="auto"/>
        </w:rPr>
      </w:pPr>
    </w:p>
    <w:p>
      <w:pPr>
        <w:ind w:left="672" w:hanging="216"/>
        <w:spacing w:after="0"/>
        <w:tabs>
          <w:tab w:leader="none" w:pos="6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Liens securing Capital Lease Obligations permitted under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72" w:hanging="216"/>
        <w:spacing w:after="0"/>
        <w:tabs>
          <w:tab w:leader="none" w:pos="67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lease not prohibited by this Agreement;</w:t>
      </w:r>
    </w:p>
    <w:p>
      <w:pPr>
        <w:spacing w:after="0" w:line="225" w:lineRule="exact"/>
        <w:rPr>
          <w:rFonts w:ascii="Arial" w:cs="Arial" w:eastAsia="Arial" w:hAnsi="Arial"/>
          <w:sz w:val="18"/>
          <w:szCs w:val="18"/>
          <w:color w:val="auto"/>
        </w:rPr>
      </w:pPr>
    </w:p>
    <w:p>
      <w:pPr>
        <w:ind w:left="-8" w:right="580" w:firstLine="464"/>
        <w:spacing w:after="0" w:line="277"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arising from the filing of precautionary uniform commercial code financing statements with respect to any lease not prohibited by this Agreement;</w:t>
      </w:r>
    </w:p>
    <w:p>
      <w:pPr>
        <w:spacing w:after="0" w:line="170" w:lineRule="exact"/>
        <w:rPr>
          <w:rFonts w:ascii="Arial" w:cs="Arial" w:eastAsia="Arial" w:hAnsi="Arial"/>
          <w:sz w:val="18"/>
          <w:szCs w:val="18"/>
          <w:color w:val="auto"/>
        </w:rPr>
      </w:pPr>
    </w:p>
    <w:p>
      <w:pPr>
        <w:jc w:val="both"/>
        <w:ind w:left="-8" w:right="20" w:firstLine="464"/>
        <w:spacing w:after="0" w:line="264" w:lineRule="auto"/>
        <w:tabs>
          <w:tab w:leader="none" w:pos="66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non-exclusive licenses and sublicenses granted by a Credit Party or any Restricted Subsidiary of a Credit Party and leases and subleases (by a Credit Party or any Restricted Subsidiary of a Credit Party as lessor or sublessor) to third parties in the Ordinary Course of Business not interfering with the business of the Credit Parties or their Restricted Subsidiaries in any material respect;</w:t>
      </w:r>
    </w:p>
    <w:p>
      <w:pPr>
        <w:spacing w:after="0" w:line="181" w:lineRule="exact"/>
        <w:rPr>
          <w:rFonts w:ascii="Arial" w:cs="Arial" w:eastAsia="Arial" w:hAnsi="Arial"/>
          <w:sz w:val="18"/>
          <w:szCs w:val="18"/>
          <w:color w:val="auto"/>
        </w:rPr>
      </w:pPr>
    </w:p>
    <w:p>
      <w:pPr>
        <w:ind w:left="-8" w:right="280" w:firstLine="464"/>
        <w:spacing w:after="0" w:line="277" w:lineRule="auto"/>
        <w:tabs>
          <w:tab w:leader="none" w:pos="75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in favor of collecting banks arising by operation of law under Section 4-210 of the UCC or, with respect to collecting banks located in the State of New York, under Section 4-208 of the UCC;</w:t>
      </w:r>
    </w:p>
    <w:p>
      <w:pPr>
        <w:spacing w:after="0" w:line="170" w:lineRule="exact"/>
        <w:rPr>
          <w:rFonts w:ascii="Arial" w:cs="Arial" w:eastAsia="Arial" w:hAnsi="Arial"/>
          <w:sz w:val="18"/>
          <w:szCs w:val="18"/>
          <w:color w:val="auto"/>
        </w:rPr>
      </w:pPr>
    </w:p>
    <w:p>
      <w:pPr>
        <w:ind w:left="712" w:hanging="256"/>
        <w:spacing w:after="0"/>
        <w:tabs>
          <w:tab w:leader="none" w:pos="71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(including the right of set-off) in favor of a bank or other depository institution arising as a matter of law encumbering deposits;</w:t>
      </w:r>
    </w:p>
    <w:p>
      <w:pPr>
        <w:spacing w:after="0" w:line="225" w:lineRule="exact"/>
        <w:rPr>
          <w:rFonts w:ascii="Arial" w:cs="Arial" w:eastAsia="Arial" w:hAnsi="Arial"/>
          <w:sz w:val="18"/>
          <w:szCs w:val="18"/>
          <w:color w:val="auto"/>
        </w:rPr>
      </w:pPr>
    </w:p>
    <w:p>
      <w:pPr>
        <w:ind w:left="-8" w:right="360" w:firstLine="464"/>
        <w:spacing w:after="0" w:line="277"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Borrower or any Restricted Subsidiary of the Borrower in the Ordinary Course of Business;</w:t>
      </w:r>
    </w:p>
    <w:p>
      <w:pPr>
        <w:spacing w:after="0" w:line="170" w:lineRule="exact"/>
        <w:rPr>
          <w:rFonts w:ascii="Arial" w:cs="Arial" w:eastAsia="Arial" w:hAnsi="Arial"/>
          <w:sz w:val="18"/>
          <w:szCs w:val="18"/>
          <w:color w:val="auto"/>
        </w:rPr>
      </w:pPr>
    </w:p>
    <w:p>
      <w:pPr>
        <w:ind w:left="-8" w:right="640" w:firstLine="464"/>
        <w:spacing w:after="0" w:line="277"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which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8" w:right="60" w:firstLine="464"/>
        <w:spacing w:after="0" w:line="257" w:lineRule="auto"/>
        <w:tabs>
          <w:tab w:leader="none" w:pos="703"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Liens on Property acquired pursuant to a Permitted Acquisition, or on Property of a Restricted Subsidiary of a Credit Party (other than Holdings) in existence at the time such Restricted Subsidiary is acquired pursuant to a Permitted Acquisition in each instance, other than Accounts, Inventory, deposit accounts and cash on deposit therein; provided that (i) any Indebtedness that is secured by such Liens is permitted to exist under </w:t>
      </w:r>
      <w:r>
        <w:rPr>
          <w:rFonts w:ascii="Arial" w:cs="Arial" w:eastAsia="Arial" w:hAnsi="Arial"/>
          <w:sz w:val="18"/>
          <w:szCs w:val="18"/>
          <w:u w:val="single" w:color="auto"/>
          <w:color w:val="auto"/>
        </w:rPr>
        <w:t>Section 6.5(f)</w:t>
      </w:r>
      <w:r>
        <w:rPr>
          <w:rFonts w:ascii="Arial" w:cs="Arial" w:eastAsia="Arial" w:hAnsi="Arial"/>
          <w:sz w:val="18"/>
          <w:szCs w:val="18"/>
          <w:color w:val="auto"/>
        </w:rPr>
        <w:t>, and (ii) such Liens are not incurred in connection with, or in contemplation or anticipation of, such Permitted Acquisition and do not attach to any Property of any other Credit Party or any other Restricted Subsidiaries;</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92"/>
          </w:cols>
          <w:pgMar w:left="248" w:top="274" w:right="259" w:bottom="1440" w:gutter="0" w:footer="0" w:header="0"/>
        </w:sectPr>
      </w:pPr>
    </w:p>
    <w:bookmarkStart w:id="118" w:name="page119"/>
    <w:bookmarkEnd w:id="118"/>
    <w:p>
      <w:pPr>
        <w:ind w:right="680" w:firstLine="464"/>
        <w:spacing w:after="0" w:line="277" w:lineRule="auto"/>
        <w:tabs>
          <w:tab w:leader="none" w:pos="6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consisting of earnest money deposits made in connection with any letter of intent or purchase agreement with respect to a transaction permitted hereunder, in an aggregate amount not in excess of $1,000,000 at any time;</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Liens on unearned insurance premiums securing the financing thereof to the extent permitted under </w:t>
      </w:r>
      <w:r>
        <w:rPr>
          <w:rFonts w:ascii="Arial" w:cs="Arial" w:eastAsia="Arial" w:hAnsi="Arial"/>
          <w:sz w:val="18"/>
          <w:szCs w:val="18"/>
          <w:u w:val="single" w:color="auto"/>
          <w:color w:val="auto"/>
        </w:rPr>
        <w:t>Section 6.5(h)</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Liens that do not, individually or in the aggregate, secure obligations in excess of $500,000 at any one time in the aggregate.</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Disposition of Assets</w:t>
      </w:r>
      <w:r>
        <w:rPr>
          <w:rFonts w:ascii="Arial" w:cs="Arial" w:eastAsia="Arial" w:hAnsi="Arial"/>
          <w:sz w:val="18"/>
          <w:szCs w:val="18"/>
          <w:color w:val="auto"/>
        </w:rPr>
        <w:t>. No Credit Party shall, and no Credit Party shall suffer or permit any of its Restricted Subsidiaries to, directly or indirectly Dispose of (whether in one or a series of transactions) any Property (including the Stock of any Subsidiary of any Credit Party, whether in a public or private offering or otherwise, and accounts and notes receivable, with or without recourse), except:</w:t>
      </w:r>
    </w:p>
    <w:p>
      <w:pPr>
        <w:spacing w:after="0" w:line="181" w:lineRule="exact"/>
        <w:rPr>
          <w:sz w:val="20"/>
          <w:szCs w:val="20"/>
          <w:color w:val="auto"/>
        </w:rPr>
      </w:pPr>
    </w:p>
    <w:p>
      <w:pPr>
        <w:ind w:right="80" w:firstLine="464"/>
        <w:spacing w:after="0" w:line="277" w:lineRule="auto"/>
        <w:tabs>
          <w:tab w:leader="none" w:pos="7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Dispositions of Inventory, goods or services or of worn-out obsolete, damaged or surplus equipment (as defined in the UCC) or fixtures (as defined in the UCC), all in the Ordinary Course of Business;</w:t>
      </w:r>
    </w:p>
    <w:p>
      <w:pPr>
        <w:spacing w:after="0" w:line="170" w:lineRule="exact"/>
        <w:rPr>
          <w:rFonts w:ascii="Arial" w:cs="Arial" w:eastAsia="Arial" w:hAnsi="Arial"/>
          <w:sz w:val="18"/>
          <w:szCs w:val="18"/>
          <w:color w:val="auto"/>
        </w:rPr>
      </w:pPr>
    </w:p>
    <w:p>
      <w:pPr>
        <w:ind w:right="20" w:firstLine="464"/>
        <w:spacing w:after="0" w:line="257" w:lineRule="auto"/>
        <w:tabs>
          <w:tab w:leader="none" w:pos="71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Dispositions not otherwise permitted hereunder which are made for fair market value and the mandatory prepayment in the amount of the Net Proceeds of such disposition is made as required by </w:t>
      </w:r>
      <w:r>
        <w:rPr>
          <w:rFonts w:ascii="Arial" w:cs="Arial" w:eastAsia="Arial" w:hAnsi="Arial"/>
          <w:sz w:val="18"/>
          <w:szCs w:val="18"/>
          <w:u w:val="single" w:color="auto"/>
          <w:color w:val="auto"/>
        </w:rPr>
        <w:t>Section 2.8</w:t>
      </w:r>
      <w:r>
        <w:rPr>
          <w:rFonts w:ascii="Arial" w:cs="Arial" w:eastAsia="Arial" w:hAnsi="Arial"/>
          <w:sz w:val="18"/>
          <w:szCs w:val="18"/>
          <w:color w:val="auto"/>
        </w:rPr>
        <w:t>; provided, that (i) at the time of any Disposition, no Event of Default shall exist or shall result from such Disposition, (ii) not less than 75% of the aggregate sales price from such disposition shall be paid in cash and (iii) the aggregate fair market value of all assets (as reasonably determined by the Borrower) so sold by the Credit Parties and their Restricted Subsidiaries, together, shall not exceed $2,000,000 in any Fiscal Year;</w:t>
      </w:r>
    </w:p>
    <w:p>
      <w:pPr>
        <w:spacing w:after="0" w:line="188" w:lineRule="exact"/>
        <w:rPr>
          <w:rFonts w:ascii="Arial" w:cs="Arial" w:eastAsia="Arial" w:hAnsi="Arial"/>
          <w:sz w:val="18"/>
          <w:szCs w:val="18"/>
          <w:color w:val="auto"/>
        </w:rPr>
      </w:pPr>
    </w:p>
    <w:p>
      <w:pPr>
        <w:ind w:right="680" w:firstLine="464"/>
        <w:spacing w:after="0" w:line="277" w:lineRule="auto"/>
        <w:tabs>
          <w:tab w:leader="none" w:pos="7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 Dispositions of Cash Equivalents in the Ordinary Course of Business made in accordance with </w:t>
      </w:r>
      <w:r>
        <w:rPr>
          <w:rFonts w:ascii="Arial" w:cs="Arial" w:eastAsia="Arial" w:hAnsi="Arial"/>
          <w:sz w:val="18"/>
          <w:szCs w:val="18"/>
          <w:u w:val="single" w:color="auto"/>
          <w:color w:val="auto"/>
        </w:rPr>
        <w:t>Section 6.6</w:t>
      </w:r>
      <w:r>
        <w:rPr>
          <w:rFonts w:ascii="Arial" w:cs="Arial" w:eastAsia="Arial" w:hAnsi="Arial"/>
          <w:sz w:val="18"/>
          <w:szCs w:val="18"/>
          <w:color w:val="auto"/>
        </w:rPr>
        <w:t>, and (ii) conversions of Cash Equivalents into cash or other Cash Equivalents;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6.1(l)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Investments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to the extent such Investment constitutes a Disposition;</w:t>
      </w:r>
    </w:p>
    <w:p>
      <w:pPr>
        <w:spacing w:after="0" w:line="225" w:lineRule="exact"/>
        <w:rPr>
          <w:rFonts w:ascii="Arial" w:cs="Arial" w:eastAsia="Arial" w:hAnsi="Arial"/>
          <w:sz w:val="18"/>
          <w:szCs w:val="18"/>
          <w:color w:val="auto"/>
        </w:rPr>
      </w:pPr>
    </w:p>
    <w:p>
      <w:pPr>
        <w:ind w:firstLine="464"/>
        <w:spacing w:after="0" w:line="277" w:lineRule="auto"/>
        <w:tabs>
          <w:tab w:leader="none" w:pos="68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sale or issuance of (i) the Stock in the Borrower or a Restricted Subsidiary to any Credit Party or (ii) the Stock of a Foreign Subsidiary that is not a Credit Party to another Foreign Subsidiary that is not a Credit Party;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transfer of Property (i) by a Credit Party to a Credit Party (other than Holdings) or (ii) by a Restricted Subsidiary that is not a Credit Party to</w:t>
      </w:r>
    </w:p>
    <w:p>
      <w:pPr>
        <w:spacing w:after="0" w:line="34" w:lineRule="exact"/>
        <w:rPr>
          <w:rFonts w:ascii="Arial" w:cs="Arial" w:eastAsia="Arial" w:hAnsi="Arial"/>
          <w:sz w:val="17"/>
          <w:szCs w:val="17"/>
          <w:color w:val="auto"/>
        </w:rPr>
      </w:pPr>
    </w:p>
    <w:p>
      <w:pPr>
        <w:ind w:left="300" w:hanging="292"/>
        <w:spacing w:after="0"/>
        <w:tabs>
          <w:tab w:leader="none" w:pos="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Credit Party (other than Holdings) for no more than fair market value or (B) any other Restricted Subsidiary;</w:t>
      </w:r>
    </w:p>
    <w:p>
      <w:pPr>
        <w:spacing w:after="0" w:line="210" w:lineRule="exact"/>
        <w:rPr>
          <w:rFonts w:ascii="Arial" w:cs="Arial" w:eastAsia="Arial" w:hAnsi="Arial"/>
          <w:sz w:val="18"/>
          <w:szCs w:val="18"/>
          <w:color w:val="auto"/>
        </w:rPr>
      </w:pPr>
    </w:p>
    <w:p>
      <w:pPr>
        <w:ind w:right="300" w:firstLine="464"/>
        <w:spacing w:after="0" w:line="277" w:lineRule="auto"/>
        <w:tabs>
          <w:tab w:leader="none" w:pos="71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Foreign Subsidiary may issue Stock to qualified directors where required by or to satisfy any applicable Requirement of Law, including any Requirement of Law with respect to ownership of Stock in Foreign Subsidiaries;</w:t>
      </w:r>
    </w:p>
    <w:p>
      <w:pPr>
        <w:spacing w:after="0" w:line="170" w:lineRule="exact"/>
        <w:rPr>
          <w:rFonts w:ascii="Arial" w:cs="Arial" w:eastAsia="Arial" w:hAnsi="Arial"/>
          <w:sz w:val="18"/>
          <w:szCs w:val="18"/>
          <w:color w:val="auto"/>
        </w:rPr>
      </w:pPr>
    </w:p>
    <w:p>
      <w:pPr>
        <w:ind w:right="380" w:firstLine="464"/>
        <w:spacing w:after="0" w:line="277" w:lineRule="auto"/>
        <w:tabs>
          <w:tab w:leader="none" w:pos="67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19" w:name="page120"/>
    <w:bookmarkEnd w:id="119"/>
    <w:p>
      <w:pPr>
        <w:ind w:right="120" w:firstLine="464"/>
        <w:spacing w:after="0" w:line="342" w:lineRule="auto"/>
        <w:tabs>
          <w:tab w:leader="none" w:pos="711" w:val="left"/>
        </w:tabs>
        <w:numPr>
          <w:ilvl w:val="1"/>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Dispositions of past due accounts receivable in the Ordinary Course of Business (including any discount and/or forgiveness thereof) or, in the case of accounts receivable in default, in connection with the collection or compromise thereof and in any event, not involving any securitization thereof;</w:t>
      </w:r>
    </w:p>
    <w:p>
      <w:pPr>
        <w:spacing w:after="0" w:line="123" w:lineRule="exact"/>
        <w:rPr>
          <w:rFonts w:ascii="Arial" w:cs="Arial" w:eastAsia="Arial" w:hAnsi="Arial"/>
          <w:sz w:val="16"/>
          <w:szCs w:val="16"/>
          <w:color w:val="auto"/>
        </w:rPr>
      </w:pPr>
    </w:p>
    <w:p>
      <w:pPr>
        <w:ind w:right="60" w:firstLine="464"/>
        <w:spacing w:after="0" w:line="291" w:lineRule="auto"/>
        <w:tabs>
          <w:tab w:leader="none" w:pos="671"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 the entering into any termination or abandonment of any lease in the Ordinary Course of Business, (ii) any expiration of any option agreement in respect of real or personal property, (iii) the licensing or sublicensing, on a non-exclusive basis, of Intellectual Property in the Ordinary Course of Business,</w:t>
      </w:r>
    </w:p>
    <w:p>
      <w:pPr>
        <w:jc w:val="both"/>
        <w:ind w:right="240" w:firstLine="8"/>
        <w:spacing w:after="0" w:line="255" w:lineRule="auto"/>
        <w:tabs>
          <w:tab w:leader="none" w:pos="3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that in the good faith judgment of the Borrower is no longer economically practical or commercially desirable to maintain or useful in the conduct of its business and (v) any surrender or waiver of contractual rights or the settlement, release or surrender of contractual rights or litigation claims (including in tort) in the Ordinary Course of Business;</w:t>
      </w:r>
    </w:p>
    <w:p>
      <w:pPr>
        <w:spacing w:after="0" w:line="190" w:lineRule="exact"/>
        <w:rPr>
          <w:rFonts w:ascii="Arial" w:cs="Arial" w:eastAsia="Arial" w:hAnsi="Arial"/>
          <w:sz w:val="18"/>
          <w:szCs w:val="18"/>
          <w:color w:val="auto"/>
        </w:rPr>
      </w:pPr>
    </w:p>
    <w:p>
      <w:pPr>
        <w:ind w:right="280" w:firstLine="464"/>
        <w:spacing w:after="0" w:line="277" w:lineRule="auto"/>
        <w:tabs>
          <w:tab w:leader="none" w:pos="76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Dispositions of property subject to foreclosure, casualty, eminent domain or condemnation proceedings (including in lieu thereof or any similar proceeding); and</w:t>
      </w:r>
    </w:p>
    <w:p>
      <w:pPr>
        <w:spacing w:after="0" w:line="170" w:lineRule="exact"/>
        <w:rPr>
          <w:rFonts w:ascii="Arial" w:cs="Arial" w:eastAsia="Arial" w:hAnsi="Arial"/>
          <w:sz w:val="18"/>
          <w:szCs w:val="18"/>
          <w:color w:val="auto"/>
        </w:rPr>
      </w:pPr>
    </w:p>
    <w:p>
      <w:pPr>
        <w:jc w:val="both"/>
        <w:ind w:right="220" w:firstLine="464"/>
        <w:spacing w:after="0" w:line="302" w:lineRule="auto"/>
        <w:tabs>
          <w:tab w:leader="none" w:pos="711"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Dispositions of Accounts of the Credit Parties (other than Holdings) for which the State of Illinois or any department, agency or instrumentality thereof is the account debtor in a factoring or similar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Dispositions are made for fair market value, (ii) at the time of any such Disposition, no Event of Default shall exist or shall result from such Disposition and (iii) the aggregate deferred payments owing to the Credit Parties and their Restricted Subsidiaries with respect to all Accounts sold pursuant to this Section 6.2(n) shall not exceed $3,000,000 at any time.</w:t>
      </w:r>
    </w:p>
    <w:p>
      <w:pPr>
        <w:spacing w:after="0" w:line="154"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Consolidations and Mergers</w:t>
      </w:r>
      <w:r>
        <w:rPr>
          <w:rFonts w:ascii="Arial" w:cs="Arial" w:eastAsia="Arial" w:hAnsi="Arial"/>
          <w:sz w:val="16"/>
          <w:szCs w:val="16"/>
          <w:color w:val="auto"/>
        </w:rPr>
        <w:t xml:space="preserve">. No Credit Party shall, and no Credit Party shall suffer or permit any of its Restricted Subsidiaries to, merge with, consolidate with or into, dissolve or liquidate into or convey, transfer, lease or otherwise dispose of (whether in one transaction or in a series of transactions) all or substantially all of its assets (whether now owned or hereafter acquired) to or in favor of any Person, except (a) any Restricted Subsidiary of the Borrower may merge with, consolidate with or into, dissolve or liquidate into the Borrower or a Wholly-Owned Subsidiary of the Borrower which is both a Restricted Subsidiary and a Domestic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such Wholly-Owned Subsidiary shall be the continuing or surviving entity and all actions reasonably required by Agent, including actions required to maintain perfected Liens on the Stock of the surviving entity and other Collateral in favor of Agent, shall have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if a Credit Party is a constituent entity in such merger, dissolution or liquidation, a Credit Party must be the continuing or surviving entity, (b) any Foreign Subsidiary may merge with or dissolve or liquidate into another Foreign Subsidiary provided if a Foreign Subsidiary which is not an Excluded Foreign Subsidiary is a constituent entity in such merger, dissolution or liquidation, a Foreign Subsidiary which is not an Excluded Foreign Subsidiary shall be the continuing or surviving entity, (c) any other Restricted Subsidiary of the Borrower may liquidate or dissolve if (i) the Borrower determines in good faith that such liquidation or dissolution is in the best interests of the Borrower and it is not materially disadvantageous to the Lenders and (ii) to the extent such Restricted Subsidiary is a Guarantor, any assets or business not otherwise Disposed of in accordance with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in the case of any such business, discontinued, shall be transferred to, or otherwise owned or conducted by, a Credit Party after giving effect to such liquidation or dissolution and (d) any Person that is the target of a Permitted Acquisition may merge into a Credit Party or a Restricted Subsidiary of a Credit Party formed solely for the purpose of consummating such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Credit Party or Restricted Subsidiary thereof (which shall become a Credit Party concurrently with the consummation of such Permitted Acquisition) shall be the continuing or surviving entity and all actions reasonably required by Agent, including actions required to grant perfected Liens on the Stock of the surviving entity and other Collateral in favor of Agent, shall have been completed.</w:t>
      </w:r>
    </w:p>
    <w:p>
      <w:pPr>
        <w:spacing w:after="0" w:line="39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Loans and Investments</w:t>
      </w:r>
      <w:r>
        <w:rPr>
          <w:rFonts w:ascii="Arial" w:cs="Arial" w:eastAsia="Arial" w:hAnsi="Arial"/>
          <w:sz w:val="18"/>
          <w:szCs w:val="18"/>
          <w:color w:val="auto"/>
        </w:rPr>
        <w:t>. No Credit Party shall, and no Credit Party shall suffer or permit any of its Restricted Subsidiaries to, (i) purchase or acquire any Stock, or any obligations or other securities of, or any interest in, any Person, (ii) make any Acquisitions, or any other acquisition of all or substantially all of the assets of another Person, or of any business or division of any Person, including by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74" w:right="279" w:bottom="1440" w:gutter="0" w:footer="0" w:header="0"/>
        </w:sectPr>
      </w:pPr>
    </w:p>
    <w:bookmarkStart w:id="120" w:name="page121"/>
    <w:bookmarkEnd w:id="120"/>
    <w:p>
      <w:pPr>
        <w:jc w:val="both"/>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way of merger, consolidation or other combination or (iii) make, purchase or acquire any advance, loan, extension of credit (other than trade payables in the Ordinary Course of Business) or capital contribution to or any other investment in, any Person including the Borrower, any Affiliate of the Borrower or any Subsidiary of the Borrower (the items described in clauses (i), (ii) and (iii) are referred to as “</w:t>
      </w:r>
      <w:r>
        <w:rPr>
          <w:rFonts w:ascii="Arial" w:cs="Arial" w:eastAsia="Arial" w:hAnsi="Arial"/>
          <w:sz w:val="17"/>
          <w:szCs w:val="17"/>
          <w:b w:val="1"/>
          <w:bCs w:val="1"/>
          <w:color w:val="auto"/>
        </w:rPr>
        <w:t>Investments</w:t>
      </w:r>
      <w:r>
        <w:rPr>
          <w:rFonts w:ascii="Arial" w:cs="Arial" w:eastAsia="Arial" w:hAnsi="Arial"/>
          <w:sz w:val="17"/>
          <w:szCs w:val="17"/>
          <w:color w:val="auto"/>
        </w:rPr>
        <w:t>”), except for:</w:t>
      </w:r>
    </w:p>
    <w:p>
      <w:pPr>
        <w:spacing w:after="0" w:line="166" w:lineRule="exact"/>
        <w:rPr>
          <w:sz w:val="20"/>
          <w:szCs w:val="20"/>
          <w:color w:val="auto"/>
        </w:rPr>
      </w:pPr>
    </w:p>
    <w:p>
      <w:pPr>
        <w:ind w:left="700" w:hanging="236"/>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225" w:lineRule="exact"/>
        <w:rPr>
          <w:rFonts w:ascii="Arial" w:cs="Arial" w:eastAsia="Arial" w:hAnsi="Arial"/>
          <w:sz w:val="18"/>
          <w:szCs w:val="18"/>
          <w:color w:val="auto"/>
        </w:rPr>
      </w:pPr>
    </w:p>
    <w:p>
      <w:pPr>
        <w:ind w:firstLine="464"/>
        <w:spacing w:after="0" w:line="272" w:lineRule="auto"/>
        <w:tabs>
          <w:tab w:leader="none" w:pos="7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Investments consisting of (i) capital contributions by Holdings in then existing Credit Parties, (ii) extensions of credit or capital contributions by any Credit Party (other than Holdings) to or in any other then-existing Credit Party (other than Holdings), (iii) extensions of credit or capital contributions by the Borrower or any other Credit Party (other than Holdings) to or in any then-existing Subsidiaries of the Borrower which are not Credit Parties not to exceed $2,000,000 in the aggregate at any time outstanding for all such extensions of credit and capital contributions; provided, if the Investments described in foregoing clauses (i), (ii) and (iii) are evidenced by notes, such notes shall be pledged to Agent, for the benefit of the Secured Parties, and have such terms as Agent may reasonably require and (iv) extensions of credit or capital contributions by a Subsidiary of the Borrower which is not a Credit Party to or in another then existing Subsidiary of the Borrower which is not a Credit Party;</w:t>
      </w:r>
    </w:p>
    <w:p>
      <w:pPr>
        <w:spacing w:after="0" w:line="177" w:lineRule="exact"/>
        <w:rPr>
          <w:rFonts w:ascii="Arial" w:cs="Arial" w:eastAsia="Arial" w:hAnsi="Arial"/>
          <w:sz w:val="17"/>
          <w:szCs w:val="17"/>
          <w:color w:val="auto"/>
        </w:rPr>
      </w:pPr>
    </w:p>
    <w:p>
      <w:pPr>
        <w:ind w:left="700" w:hanging="236"/>
        <w:spacing w:after="0"/>
        <w:tabs>
          <w:tab w:leader="none" w:pos="7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loans and advances to employees in the Ordinary Course of Business not to exceed $500,000 in the aggregate at any time outstanding;</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Investments received as the non-cash portion of consideration received in connection with transactions permitted pursuant to </w:t>
      </w:r>
      <w:r>
        <w:rPr>
          <w:rFonts w:ascii="Arial" w:cs="Arial" w:eastAsia="Arial" w:hAnsi="Arial"/>
          <w:sz w:val="17"/>
          <w:szCs w:val="17"/>
          <w:u w:val="single" w:color="auto"/>
          <w:color w:val="auto"/>
        </w:rPr>
        <w:t>Section 6.2(b)</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right="60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acquired in connection with the settlement of delinquent Accounts in the Ordinary Course of Business or in connection with the bankruptcy or reorganization of suppliers or customers;</w:t>
      </w:r>
    </w:p>
    <w:p>
      <w:pPr>
        <w:spacing w:after="0" w:line="170" w:lineRule="exact"/>
        <w:rPr>
          <w:rFonts w:ascii="Arial" w:cs="Arial" w:eastAsia="Arial" w:hAnsi="Arial"/>
          <w:sz w:val="18"/>
          <w:szCs w:val="18"/>
          <w:color w:val="auto"/>
        </w:rPr>
      </w:pPr>
    </w:p>
    <w:p>
      <w:pPr>
        <w:ind w:right="40" w:firstLine="464"/>
        <w:spacing w:after="0" w:line="277" w:lineRule="auto"/>
        <w:tabs>
          <w:tab w:leader="none" w:pos="68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consisting of non-cash loans made by Holdings to officers, directors and employees of a Credit Party which are used by such Persons to purchase simultaneously Stock of Holdings;</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existing on the Closing Date and set forth on </w:t>
      </w:r>
      <w:r>
        <w:rPr>
          <w:rFonts w:ascii="Arial" w:cs="Arial" w:eastAsia="Arial" w:hAnsi="Arial"/>
          <w:sz w:val="18"/>
          <w:szCs w:val="18"/>
          <w:u w:val="single" w:color="auto"/>
          <w:color w:val="auto"/>
        </w:rPr>
        <w:t>Schedule 6.4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comprised of Indebtedness permitted by </w:t>
      </w:r>
      <w:r>
        <w:rPr>
          <w:rFonts w:ascii="Arial" w:cs="Arial" w:eastAsia="Arial" w:hAnsi="Arial"/>
          <w:sz w:val="18"/>
          <w:szCs w:val="18"/>
          <w:u w:val="single" w:color="auto"/>
          <w:color w:val="auto"/>
        </w:rPr>
        <w:t>Section 6.5(p)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right="80" w:firstLine="464"/>
        <w:spacing w:after="0" w:line="259" w:lineRule="auto"/>
        <w:tabs>
          <w:tab w:leader="none" w:pos="67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in joint ventures that are not Subsidiaries in an aggregate amount not to exceed $20,000,000; provided that (i) no Event of Default shall have occurred and be continuing or would result therefrom and (ii) after giving effect to such Investment, on a pro forma basis as of the last day of the most recently ended month for which financial statements have been delivered (or are required to have been delivered pursuant to Section 5.1), the Credit Parties are in compliance with the covenants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bank deposits in the Ordinary Course of Business;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establishment or creation of a Subsidiary, subject to satisfaction of any applicable requirements in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6.4(b)</w:t>
      </w:r>
      <w:r>
        <w:rPr>
          <w:rFonts w:ascii="Arial" w:cs="Arial" w:eastAsia="Arial" w:hAnsi="Arial"/>
          <w:sz w:val="18"/>
          <w:szCs w:val="18"/>
          <w:color w:val="auto"/>
        </w:rPr>
        <w:t>;</w:t>
      </w:r>
    </w:p>
    <w:p>
      <w:pPr>
        <w:spacing w:after="0" w:line="211" w:lineRule="exact"/>
        <w:rPr>
          <w:sz w:val="20"/>
          <w:szCs w:val="20"/>
          <w:color w:val="auto"/>
        </w:rPr>
      </w:pPr>
    </w:p>
    <w:p>
      <w:pPr>
        <w:ind w:left="760" w:hanging="296"/>
        <w:spacing w:after="0"/>
        <w:tabs>
          <w:tab w:leader="none" w:pos="7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prepayment of expenses or deposits made in the Ordinary Course of Business; and</w:t>
      </w:r>
    </w:p>
    <w:p>
      <w:pPr>
        <w:spacing w:after="0" w:line="225"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Investments not to exceed $2,000,000 in the aggregate at any time outstanding; provided that before and immediately after giving effect to such Investment, no Default or Event of Default has occurred and is continuing.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121" w:name="page122"/>
    <w:bookmarkEnd w:id="121"/>
    <w:p>
      <w:pPr>
        <w:ind w:right="44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No Credit Party shall, and no Credit Party shall suffer or permit any of its Restricted Subsidiaries to, create, incur, assume, permit to exist, or otherwise become or remain directly or indirectly liable with respect to, any Indebtedness, except:</w:t>
      </w:r>
    </w:p>
    <w:p>
      <w:pPr>
        <w:spacing w:after="0" w:line="147" w:lineRule="exact"/>
        <w:rPr>
          <w:sz w:val="20"/>
          <w:szCs w:val="20"/>
          <w:color w:val="auto"/>
        </w:rPr>
      </w:pPr>
    </w:p>
    <w:p>
      <w:pPr>
        <w:ind w:left="700" w:hanging="236"/>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and set forth in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including Permitted Refinancings thereof;</w:t>
      </w:r>
    </w:p>
    <w:p>
      <w:pPr>
        <w:spacing w:after="0" w:line="225" w:lineRule="exact"/>
        <w:rPr>
          <w:rFonts w:ascii="Arial" w:cs="Arial" w:eastAsia="Arial" w:hAnsi="Arial"/>
          <w:sz w:val="18"/>
          <w:szCs w:val="18"/>
          <w:color w:val="auto"/>
        </w:rPr>
      </w:pPr>
    </w:p>
    <w:p>
      <w:pPr>
        <w:ind w:right="600" w:firstLine="464"/>
        <w:spacing w:after="0" w:line="277" w:lineRule="auto"/>
        <w:tabs>
          <w:tab w:leader="none" w:pos="70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Indebtedness not to exceed $5,000,000 in the aggregate at any time outstanding, consisting of Capital Lease Obligations or secured by Liens permitted by </w:t>
      </w:r>
      <w:r>
        <w:rPr>
          <w:rFonts w:ascii="Arial" w:cs="Arial" w:eastAsia="Arial" w:hAnsi="Arial"/>
          <w:sz w:val="18"/>
          <w:szCs w:val="18"/>
          <w:u w:val="single" w:color="auto"/>
          <w:color w:val="auto"/>
        </w:rPr>
        <w:t>Section 6.1(h)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and Permitted Refinancings thereof;</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unsecured intercompany Indebtedness permitted pursuant to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Subordinated Indebtedness subject to a Subordination Agreement in an aggregate principal amount not to exceed $5,000,000;</w:t>
      </w:r>
    </w:p>
    <w:p>
      <w:pPr>
        <w:spacing w:after="0" w:line="225" w:lineRule="exact"/>
        <w:rPr>
          <w:rFonts w:ascii="Arial" w:cs="Arial" w:eastAsia="Arial" w:hAnsi="Arial"/>
          <w:sz w:val="18"/>
          <w:szCs w:val="18"/>
          <w:color w:val="auto"/>
        </w:rPr>
      </w:pPr>
    </w:p>
    <w:p>
      <w:pPr>
        <w:ind w:right="120" w:firstLine="464"/>
        <w:spacing w:after="0" w:line="257" w:lineRule="auto"/>
        <w:tabs>
          <w:tab w:leader="none" w:pos="68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of the Borrower acquired pursuant to a Permitted Acquisition (or a similar Investment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Indebtedness of a Target assumed at the time of a Permitted Acquisition of or such other Investment in such Target) in each instance, other than revolving credit facilities or commitments therefor; provided that (i) such Indebtedness was not incurred in connection with, or in anticipation or contemplation of, such Permitted Acquisition or other Investment and (ii) the aggregate principal amount of all Indebtedness permitted by this </w:t>
      </w:r>
      <w:r>
        <w:rPr>
          <w:rFonts w:ascii="Arial" w:cs="Arial" w:eastAsia="Arial" w:hAnsi="Arial"/>
          <w:sz w:val="18"/>
          <w:szCs w:val="18"/>
          <w:u w:val="single" w:color="auto"/>
          <w:color w:val="auto"/>
        </w:rPr>
        <w:t>Section 6.5(f)</w:t>
      </w:r>
      <w:r>
        <w:rPr>
          <w:rFonts w:ascii="Arial" w:cs="Arial" w:eastAsia="Arial" w:hAnsi="Arial"/>
          <w:sz w:val="18"/>
          <w:szCs w:val="18"/>
          <w:color w:val="auto"/>
        </w:rPr>
        <w:t xml:space="preserve"> shall not at any time outstanding exceed $2,000,000;</w:t>
      </w:r>
    </w:p>
    <w:p>
      <w:pPr>
        <w:spacing w:after="0" w:line="188" w:lineRule="exact"/>
        <w:rPr>
          <w:rFonts w:ascii="Arial" w:cs="Arial" w:eastAsia="Arial" w:hAnsi="Arial"/>
          <w:sz w:val="18"/>
          <w:szCs w:val="18"/>
          <w:color w:val="auto"/>
        </w:rPr>
      </w:pPr>
    </w:p>
    <w:p>
      <w:pPr>
        <w:ind w:left="720" w:hanging="256"/>
        <w:spacing w:after="0"/>
        <w:tabs>
          <w:tab w:leader="none" w:pos="7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unsecured Indebtedness of the Borrower or any of its Restricted Subsidiaries consisting of Contingent Acquisition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4" w:lineRule="exact"/>
        <w:rPr>
          <w:rFonts w:ascii="Arial" w:cs="Arial" w:eastAsia="Arial" w:hAnsi="Arial"/>
          <w:sz w:val="17"/>
          <w:szCs w:val="17"/>
          <w:color w:val="auto"/>
        </w:rPr>
      </w:pPr>
    </w:p>
    <w:p>
      <w:pPr>
        <w:ind w:firstLine="8"/>
        <w:spacing w:after="0" w:line="253" w:lineRule="auto"/>
        <w:tabs>
          <w:tab w:leader="none" w:pos="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maximum aggregate amount payable with respect to all such Contingent Acquisition Consideration does not exceed $5,000,000 in the aggregate at any time outstanding (assuming the remaining maximum performance standards related thereto are satisfied, except to the extent all or any portion thereof becomes a fixed, matured or earned amount, in which case such amount shall be deemed the actual amount of such Contingent Acquisition Consideration), and (ii) with respect to any Contingent Acquisition Consideration agreed to after the Closing Date, such Contingent Acquisition Consideration is subordinated to the Obligations on terms and conditions satisfactory to Agent;</w:t>
      </w:r>
    </w:p>
    <w:p>
      <w:pPr>
        <w:spacing w:after="0" w:line="191" w:lineRule="exact"/>
        <w:rPr>
          <w:rFonts w:ascii="Arial" w:cs="Arial" w:eastAsia="Arial" w:hAnsi="Arial"/>
          <w:sz w:val="18"/>
          <w:szCs w:val="18"/>
          <w:color w:val="auto"/>
        </w:rPr>
      </w:pPr>
    </w:p>
    <w:p>
      <w:pPr>
        <w:ind w:left="720" w:hanging="256"/>
        <w:spacing w:after="0"/>
        <w:tabs>
          <w:tab w:leader="none" w:pos="7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w:t>
      </w:r>
    </w:p>
    <w:p>
      <w:pPr>
        <w:spacing w:after="0" w:line="225" w:lineRule="exact"/>
        <w:rPr>
          <w:rFonts w:ascii="Arial" w:cs="Arial" w:eastAsia="Arial" w:hAnsi="Arial"/>
          <w:sz w:val="18"/>
          <w:szCs w:val="18"/>
          <w:color w:val="auto"/>
        </w:rPr>
      </w:pPr>
    </w:p>
    <w:p>
      <w:pPr>
        <w:ind w:right="360" w:firstLine="464"/>
        <w:spacing w:after="0" w:line="277" w:lineRule="auto"/>
        <w:tabs>
          <w:tab w:leader="none" w:pos="67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Rate Contracts entered into in the Ordinary Course of Business for bona fide hedging purposes and not for speculation with (i) any Lender or an Affiliate of any Lender or (ii) otherwise with Agent’s prior written consent;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Indebtedness arising under indemnity agreements to title insurers to cause such title insurers to issue to Agent title insurance policies;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122" w:name="page123"/>
    <w:bookmarkEnd w:id="122"/>
    <w:p>
      <w:pPr>
        <w:ind w:right="100" w:firstLine="464"/>
        <w:spacing w:after="0" w:line="308" w:lineRule="auto"/>
        <w:tabs>
          <w:tab w:leader="none" w:pos="671"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arising with respect to customary indemnification obligations and purchase price adjustments in favor of (i) sellers in connection with Acquisitions or similar Investments permitted hereunder and (ii) purchasers in connection with Dispositions permitted under </w:t>
      </w:r>
      <w:r>
        <w:rPr>
          <w:rFonts w:ascii="Arial" w:cs="Arial" w:eastAsia="Arial" w:hAnsi="Arial"/>
          <w:sz w:val="17"/>
          <w:szCs w:val="17"/>
          <w:u w:val="single" w:color="auto"/>
          <w:color w:val="auto"/>
        </w:rPr>
        <w:t>Section 6.2(b)</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40" w:firstLine="464"/>
        <w:spacing w:after="0" w:line="264" w:lineRule="auto"/>
        <w:tabs>
          <w:tab w:leader="none" w:pos="76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arising under guaranties made in the Ordinary Course of Business of obligations of any Credit Party (other than Holdings) which obligations are otherwise permitted hereunder; provided that if such obligation is subordinated to the Obligations, such guaranty shall be subordinated to the same extent;</w:t>
      </w:r>
    </w:p>
    <w:p>
      <w:pPr>
        <w:spacing w:after="0" w:line="181" w:lineRule="exact"/>
        <w:rPr>
          <w:rFonts w:ascii="Arial" w:cs="Arial" w:eastAsia="Arial" w:hAnsi="Arial"/>
          <w:sz w:val="18"/>
          <w:szCs w:val="18"/>
          <w:color w:val="auto"/>
        </w:rPr>
      </w:pPr>
    </w:p>
    <w:p>
      <w:pPr>
        <w:ind w:right="820" w:firstLine="464"/>
        <w:spacing w:after="0" w:line="277"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with respect to surety and appeals bonds, performance bonds and other similar obligations;</w:t>
      </w:r>
    </w:p>
    <w:p>
      <w:pPr>
        <w:spacing w:after="0" w:line="170"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Holdings to any stockholder of Holdings or any current or former director, officer, employee, member of management, manager or consultant of Holdings, the Borrower or any Restricted Subsidiary (or their respective immediate family members) to finance the purchase or redemption of Stock permitted by </w:t>
      </w:r>
      <w:r>
        <w:rPr>
          <w:rFonts w:ascii="Arial" w:cs="Arial" w:eastAsia="Arial" w:hAnsi="Arial"/>
          <w:sz w:val="18"/>
          <w:szCs w:val="18"/>
          <w:u w:val="single" w:color="auto"/>
          <w:color w:val="auto"/>
        </w:rPr>
        <w:t>Section 6.8(b)</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other unsecured Indebtedness not exceeding in the aggregate at any time outstanding $2,500,000.</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Credit Party shall, and no Credit Party shall suffer or permit any of its Restricted Subsidiaries to, (w) enter into any transaction with any Affiliate of the Borrower or of any such Subsidiary (other than, in each case, transactions between or among Credit Parties) or any director (or similar official) of any of the foregoing, (x) pay any management, consulting or similar fees to any of the foregoing or (y) pay or reimburse any of the foregoing for any costs, expenses and similar items, except:</w:t>
      </w:r>
    </w:p>
    <w:p>
      <w:pPr>
        <w:spacing w:after="0" w:line="187" w:lineRule="exact"/>
        <w:rPr>
          <w:sz w:val="20"/>
          <w:szCs w:val="20"/>
          <w:color w:val="auto"/>
        </w:rPr>
      </w:pPr>
    </w:p>
    <w:p>
      <w:pPr>
        <w:ind w:right="60" w:firstLine="464"/>
        <w:spacing w:after="0" w:line="277" w:lineRule="auto"/>
        <w:tabs>
          <w:tab w:leader="none" w:pos="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 with respect to transactions between or among the Credit Parties and (ii) with respect to any other Affiliate or any other such Person as expressly permitted by </w:t>
      </w:r>
      <w:r>
        <w:rPr>
          <w:rFonts w:ascii="Arial" w:cs="Arial" w:eastAsia="Arial" w:hAnsi="Arial"/>
          <w:sz w:val="18"/>
          <w:szCs w:val="18"/>
          <w:u w:val="single" w:color="auto"/>
          <w:color w:val="auto"/>
        </w:rPr>
        <w:t>Sections 6.4(g)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of this Agreement;</w:t>
      </w:r>
    </w:p>
    <w:p>
      <w:pPr>
        <w:spacing w:after="0" w:line="170" w:lineRule="exact"/>
        <w:rPr>
          <w:rFonts w:ascii="Arial" w:cs="Arial" w:eastAsia="Arial" w:hAnsi="Arial"/>
          <w:sz w:val="18"/>
          <w:szCs w:val="18"/>
          <w:color w:val="auto"/>
        </w:rPr>
      </w:pPr>
    </w:p>
    <w:p>
      <w:pPr>
        <w:ind w:firstLine="464"/>
        <w:spacing w:after="0" w:line="297" w:lineRule="auto"/>
        <w:tabs>
          <w:tab w:leader="none" w:pos="71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 the Ordinary Course of Business and pursuant to the reasonable requirements of the business of such Credit Party or such Restricted Subsidiary upon fair and reasonable terms no less favorable to such Credit Party or such Restricted Subsidiary than would be obtained in a comparable arm’s length transaction with a Person not an Affiliate of the Borrower or such Subsidiary and that are disclosed in advance in writing to Agent; provided, further, that in no event shall a Credit Party or any Restricted Subsidiary of a Credit Party perform or provide any management, consulting, administrative or similar services to or for any Person other than another Credit Party, a Restricted Subsidiary of a Credit Party or a customer in the Ordinary Course of Business;</w:t>
      </w:r>
    </w:p>
    <w:p>
      <w:pPr>
        <w:spacing w:after="0" w:line="158" w:lineRule="exact"/>
        <w:rPr>
          <w:rFonts w:ascii="Arial" w:cs="Arial" w:eastAsia="Arial" w:hAnsi="Arial"/>
          <w:sz w:val="16"/>
          <w:szCs w:val="16"/>
          <w:color w:val="auto"/>
        </w:rPr>
      </w:pPr>
    </w:p>
    <w:p>
      <w:pPr>
        <w:ind w:right="20" w:firstLine="464"/>
        <w:spacing w:after="0" w:line="277" w:lineRule="auto"/>
        <w:tabs>
          <w:tab w:leader="none" w:pos="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payment of directors’ fees and reimbursement of actual out-of-pocket expenses incurred in connection with attending board of director meetings not to exceed in the aggregate, with respect to all such items, $750,000 in any Fiscal Year of the Borrower; and</w:t>
      </w:r>
    </w:p>
    <w:p>
      <w:pPr>
        <w:spacing w:after="0" w:line="170" w:lineRule="exact"/>
        <w:rPr>
          <w:rFonts w:ascii="Arial" w:cs="Arial" w:eastAsia="Arial" w:hAnsi="Arial"/>
          <w:sz w:val="18"/>
          <w:szCs w:val="18"/>
          <w:color w:val="auto"/>
        </w:rPr>
      </w:pPr>
    </w:p>
    <w:p>
      <w:pPr>
        <w:ind w:right="260" w:firstLine="464"/>
        <w:spacing w:after="0" w:line="277" w:lineRule="auto"/>
        <w:tabs>
          <w:tab w:leader="none" w:pos="71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employment agreements, equity incentive agreements and other employee and management arrangements entered into in the Ordinary Course of Business as conducted as of the Closing Date and otherwise upon fair and reasonable terms.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No ERISA Affiliate shall cause or suffer to exist (a) any event that could result in the imposition of a Lien on any asset of a Credit Party or a Subsidiary of a Credit Party with respect to any Title IV Plan or Multiemployer Plan or (b) any other ERISA Event, that would, in the aggregate, reasonably be expected to have a Material Adverse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123" w:name="page124"/>
    <w:bookmarkEnd w:id="123"/>
    <w:p>
      <w:pPr>
        <w:ind w:right="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No Credit Party shall, and no Credit Party shall suffer or permit any of its Restricted Subsidiaries to, (i) declare or make any dividend payment or other distribution of assets, properties, cash, rights, obligations or securities on account of any Stock or (ii) purchase, redeem or otherwise acquire for value any Stock now or hereafter outstanding (the items described in clauses (i) and (ii) above are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except that any Wholly-Owned Subsidiary of a Credit Party may declare and pay dividends pro rata to holders of its equity interests, and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that:</w:t>
      </w:r>
    </w:p>
    <w:p>
      <w:pPr>
        <w:spacing w:after="0" w:line="188" w:lineRule="exact"/>
        <w:rPr>
          <w:sz w:val="20"/>
          <w:szCs w:val="20"/>
          <w:color w:val="auto"/>
        </w:rPr>
      </w:pPr>
    </w:p>
    <w:p>
      <w:pPr>
        <w:ind w:left="700" w:hanging="236"/>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Holdings may declare and make dividend payments or other distributions payable solely in its Stock;</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the Borrower may make distributions to Holdings not otherwise permitted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all of the following conditions are satisfied:</w:t>
      </w:r>
    </w:p>
    <w:p>
      <w:pPr>
        <w:spacing w:after="0" w:line="128" w:lineRule="exact"/>
        <w:rPr>
          <w:rFonts w:ascii="Arial" w:cs="Arial" w:eastAsia="Arial" w:hAnsi="Arial"/>
          <w:sz w:val="17"/>
          <w:szCs w:val="17"/>
          <w:color w:val="auto"/>
        </w:rPr>
      </w:pPr>
    </w:p>
    <w:p>
      <w:pPr>
        <w:ind w:left="1560" w:hanging="219"/>
        <w:spacing w:after="0"/>
        <w:tabs>
          <w:tab w:leader="none" w:pos="15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arise as a result of such Restricted Payment; and</w:t>
      </w:r>
    </w:p>
    <w:p>
      <w:pPr>
        <w:spacing w:after="0" w:line="117" w:lineRule="exact"/>
        <w:rPr>
          <w:rFonts w:ascii="Arial" w:cs="Arial" w:eastAsia="Arial" w:hAnsi="Arial"/>
          <w:sz w:val="18"/>
          <w:szCs w:val="18"/>
          <w:color w:val="auto"/>
        </w:rPr>
      </w:pPr>
    </w:p>
    <w:p>
      <w:pPr>
        <w:ind w:left="920" w:right="220" w:firstLine="421"/>
        <w:spacing w:after="0" w:line="277" w:lineRule="auto"/>
        <w:tabs>
          <w:tab w:leader="none" w:pos="160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aggregate Restricted Payments permitted under this paragraph (b) in any Fiscal Year of the Borrower shall not exceed $5,000,000 per annum;</w:t>
      </w:r>
    </w:p>
    <w:p>
      <w:pPr>
        <w:spacing w:after="0" w:line="170" w:lineRule="exact"/>
        <w:rPr>
          <w:rFonts w:ascii="Arial" w:cs="Arial" w:eastAsia="Arial" w:hAnsi="Arial"/>
          <w:sz w:val="18"/>
          <w:szCs w:val="18"/>
          <w:color w:val="auto"/>
        </w:rPr>
      </w:pPr>
    </w:p>
    <w:p>
      <w:pPr>
        <w:ind w:firstLine="464"/>
        <w:spacing w:after="0" w:line="259" w:lineRule="auto"/>
        <w:tabs>
          <w:tab w:leader="none" w:pos="70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may make distributions to Holdings to permit Holdings to pay federal, state and local income Taxes then due and payable, franchise Taxes and other similar licensing expenses incurred in the Ordinary Course of Business provided, that the amount of such distribution shall not be greater than the amount of such Taxes or expenses that would have been due and payable by the Borrower and its relevant Subsidiaries had the Borrower not filed a consolidated, combined, unitary or similar type return with Holdings; and</w:t>
      </w:r>
    </w:p>
    <w:p>
      <w:pPr>
        <w:spacing w:after="0" w:line="186" w:lineRule="exact"/>
        <w:rPr>
          <w:rFonts w:ascii="Arial" w:cs="Arial" w:eastAsia="Arial" w:hAnsi="Arial"/>
          <w:sz w:val="18"/>
          <w:szCs w:val="18"/>
          <w:color w:val="auto"/>
        </w:rPr>
      </w:pPr>
    </w:p>
    <w:p>
      <w:pPr>
        <w:ind w:right="100" w:firstLine="464"/>
        <w:spacing w:after="0" w:line="255" w:lineRule="auto"/>
        <w:tabs>
          <w:tab w:leader="none" w:pos="71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may make distributions to Holdings in an aggregate amount not to exceed $500,000 in any Fiscal Year, to the extent necessary to permit Holdings to maintain its legal existence and to pay reasonable out-of-pocket general administrative costs and expenses (which may include out-of-pocket legal, accounting and filing costs, other reasonable and customary corporate overhead expenses incurred in the Ordinary Course of Business and customary transaction-based fees and expenses of third-party investment bankers and advisers for services rendered to Holdings relating to Holdings and its Restricted Subsidiaries not prohibited hereunder), so long as Holdings applies the amount of any such Restricted Payment for any such purpose within 30 days of receipt.</w:t>
      </w:r>
    </w:p>
    <w:p>
      <w:pPr>
        <w:spacing w:after="0" w:line="19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Change in Business</w:t>
      </w:r>
      <w:r>
        <w:rPr>
          <w:rFonts w:ascii="Arial" w:cs="Arial" w:eastAsia="Arial" w:hAnsi="Arial"/>
          <w:sz w:val="18"/>
          <w:szCs w:val="18"/>
          <w:color w:val="auto"/>
        </w:rPr>
        <w:t>. No Credit Party shall, and no Credit Party shall permit any of its Restricted Subsidiaries to, engage in any line of business other than those lines of business carried on by it on the Closing Date (or any business reasonably related thereto or reasonable extensions thereof). Holdings shall not engage in any business activities or own any Property other than (i) ownership of the Stock of the Borrower, (ii) activities and contractual rights incidental to maintenance of its corporate or organizational existence and (iii) any other activity Holdings is expressly permitted to perform pursuant to this Agreement.</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Change in Structure</w:t>
      </w:r>
      <w:r>
        <w:rPr>
          <w:rFonts w:ascii="Arial" w:cs="Arial" w:eastAsia="Arial" w:hAnsi="Arial"/>
          <w:sz w:val="18"/>
          <w:szCs w:val="18"/>
          <w:color w:val="auto"/>
        </w:rPr>
        <w:t>. Except as expressly permitted under Section 6.3, no Credit Party shall, and no Credit Party shall permit any of its Restricted Subsidiaries to, amend any of its Organization Documents in any respect materially adverse to Agent or Lenders.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Changes in Accounting, Name and Jurisdiction of Organization</w:t>
      </w:r>
      <w:r>
        <w:rPr>
          <w:rFonts w:ascii="Arial" w:cs="Arial" w:eastAsia="Arial" w:hAnsi="Arial"/>
          <w:sz w:val="17"/>
          <w:szCs w:val="17"/>
          <w:color w:val="auto"/>
        </w:rPr>
        <w:t>. No Credit Party shall, and no Credit Party shall suffer or permit any of its Restricted Subsidiaries to, (i) make any significant change in accounting treatment or reporting practices, except as required by GAAP, (ii) change the Fiscal Year or method for determining Fiscal Quarters of any Credit Party or of any consolidated Subsidiary of any Credit Party, (iii) change its name as it appears in official filings in its jurisdiction of organization or (iv) change its jurisdiction of organization or formation, in the case of clauses (iii) and (iv), without at least thirty (30) days’ prior written notice to Agent (or such shorter period as may be agreed by Agent in its sole discretion).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24" w:name="page125"/>
    <w:bookmarkEnd w:id="12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6.12 </w:t>
      </w:r>
      <w:r>
        <w:rPr>
          <w:rFonts w:ascii="Arial" w:cs="Arial" w:eastAsia="Arial" w:hAnsi="Arial"/>
          <w:sz w:val="18"/>
          <w:szCs w:val="18"/>
          <w:u w:val="single" w:color="auto"/>
          <w:color w:val="auto"/>
        </w:rPr>
        <w:t>Limitation on Payments of Certain Indebtedness</w:t>
      </w:r>
      <w:r>
        <w:rPr>
          <w:rFonts w:ascii="Arial" w:cs="Arial" w:eastAsia="Arial" w:hAnsi="Arial"/>
          <w:sz w:val="18"/>
          <w:szCs w:val="18"/>
          <w:color w:val="auto"/>
        </w:rPr>
        <w:t>. No Credit Party shall, and no Credit Party shall suffer or permit any of its Restricted Subsidiaries to, (i) make any prepayment of principal of, premium, if any, interest, fees, redemption, exchange, purchase, retirement, defeasance, sinking fund or similar payment with respect to, Subordinated Indebtedness or (ii) make any payment or prepayment of Contingent Acquisition Consideration (the items described above are referred to as “</w:t>
      </w:r>
      <w:r>
        <w:rPr>
          <w:rFonts w:ascii="Arial" w:cs="Arial" w:eastAsia="Arial" w:hAnsi="Arial"/>
          <w:sz w:val="18"/>
          <w:szCs w:val="18"/>
          <w:b w:val="1"/>
          <w:bCs w:val="1"/>
          <w:color w:val="auto"/>
        </w:rPr>
        <w:t>Restricted Debt Payments</w:t>
      </w:r>
      <w:r>
        <w:rPr>
          <w:rFonts w:ascii="Arial" w:cs="Arial" w:eastAsia="Arial" w:hAnsi="Arial"/>
          <w:sz w:val="18"/>
          <w:szCs w:val="18"/>
          <w:color w:val="auto"/>
        </w:rPr>
        <w:t>”); except that:</w:t>
      </w:r>
    </w:p>
    <w:p>
      <w:pPr>
        <w:spacing w:after="0" w:line="187" w:lineRule="exact"/>
        <w:rPr>
          <w:sz w:val="20"/>
          <w:szCs w:val="20"/>
          <w:color w:val="auto"/>
        </w:rPr>
      </w:pPr>
    </w:p>
    <w:p>
      <w:pPr>
        <w:ind w:left="700" w:hanging="236"/>
        <w:spacing w:after="0"/>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464"/>
        <w:spacing w:after="0" w:line="259" w:lineRule="auto"/>
        <w:tabs>
          <w:tab w:leader="none" w:pos="7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Credit Parties may pay as and when due and payable, non-accelerated payments of Contingent Acquisition Consideration and non-accelerated mandatory payments in respect of Subordinated Indebtedness, in each case solely to the extent permitted under the applicable Subordination Agreement or subordination provisions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payments are financed solely with Net Issuance Proceeds of Stock (other than Disqualified Stock) of Holdings or (2) all of the following conditions are satisfied:</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arise as a result of such payment; and</w:t>
      </w:r>
    </w:p>
    <w:p>
      <w:pPr>
        <w:spacing w:after="0" w:line="117" w:lineRule="exact"/>
        <w:rPr>
          <w:rFonts w:ascii="Arial" w:cs="Arial" w:eastAsia="Arial" w:hAnsi="Arial"/>
          <w:sz w:val="18"/>
          <w:szCs w:val="18"/>
          <w:color w:val="auto"/>
        </w:rPr>
      </w:pPr>
    </w:p>
    <w:p>
      <w:pPr>
        <w:ind w:left="920" w:right="20" w:firstLine="421"/>
        <w:spacing w:after="0" w:line="312" w:lineRule="auto"/>
        <w:tabs>
          <w:tab w:leader="none" w:pos="160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 xml:space="preserve">after giving effect to such Restricted Debt Payment, on a pro forma basis as of the last day of the most recently ended Fiscal Quarter for which financial statements have been delivered (or are required to have been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 the Credit Parties are in compliance with the covenants set forth in Article VII hereof and (y) the Senior Leverage Ratio is not greater than 3.00 to 1.00; and</w:t>
      </w:r>
    </w:p>
    <w:p>
      <w:pPr>
        <w:spacing w:after="0" w:line="146" w:lineRule="exact"/>
        <w:rPr>
          <w:rFonts w:ascii="Arial" w:cs="Arial" w:eastAsia="Arial" w:hAnsi="Arial"/>
          <w:sz w:val="16"/>
          <w:szCs w:val="16"/>
          <w:color w:val="auto"/>
        </w:rPr>
      </w:pPr>
    </w:p>
    <w:p>
      <w:pPr>
        <w:ind w:right="20" w:firstLine="464"/>
        <w:spacing w:after="0" w:line="277" w:lineRule="auto"/>
        <w:tabs>
          <w:tab w:leader="none" w:pos="7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make payments of intercompany Indebtedness permitted under </w:t>
      </w:r>
      <w:r>
        <w:rPr>
          <w:rFonts w:ascii="Arial" w:cs="Arial" w:eastAsia="Arial" w:hAnsi="Arial"/>
          <w:sz w:val="18"/>
          <w:szCs w:val="18"/>
          <w:u w:val="single" w:color="auto"/>
          <w:color w:val="auto"/>
        </w:rPr>
        <w:t>Section 6.5</w:t>
      </w:r>
      <w:r>
        <w:rPr>
          <w:rFonts w:ascii="Arial" w:cs="Arial" w:eastAsia="Arial" w:hAnsi="Arial"/>
          <w:sz w:val="18"/>
          <w:szCs w:val="18"/>
          <w:color w:val="auto"/>
        </w:rPr>
        <w:t>; provided that if an Event of Default is continuing, only payments owing to Credit Parties shall be made thereunder.</w:t>
      </w:r>
    </w:p>
    <w:p>
      <w:pPr>
        <w:spacing w:after="0" w:line="170"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Amendments to Certain Indebtedness.</w:t>
      </w:r>
      <w:r>
        <w:rPr>
          <w:rFonts w:ascii="Arial" w:cs="Arial" w:eastAsia="Arial" w:hAnsi="Arial"/>
          <w:sz w:val="16"/>
          <w:szCs w:val="16"/>
          <w:color w:val="auto"/>
        </w:rPr>
        <w:t xml:space="preserve"> No Credit Party shall, and no Credit Party shall permit any of its Restricted Subsidiaries directly or indirectly to, change or amend the terms of any Subordinated Indebtedness except to the extent permitted by the applicable Subordination Agreement.</w:t>
      </w:r>
    </w:p>
    <w:p>
      <w:pPr>
        <w:spacing w:after="0" w:line="12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xml:space="preserve">. No Credit Party shall, and no Credit Party shall permit any of its Restricted Subsidiaries to, directly or indirectly, create or otherwise cause or suffer to exist or become effective any consensual restriction or encumbrance of any kind on the ability of any Credit Party or Restricted Subsidiary to pay dividends or make any other distribution on any of such Credit Party’s or Restricted Subsidiary’s Stock or to pay fees, including management fees, or make other payments and distributions to the Borrower or any other Credit Party. No Credit Party shall, and no Credit Party shall permit any of its Restricted Subsidiaries to, directly or indirectly, enter into, assume or become subject to any Contractual Obligation prohibiting or otherwise restricting the existence of any Lien upon any of its assets in favor of Agent, whether now owned or hereafter acquired, except in connection with any document or instrument governing Liens permitted pursuant to </w:t>
      </w:r>
      <w:r>
        <w:rPr>
          <w:rFonts w:ascii="Arial" w:cs="Arial" w:eastAsia="Arial" w:hAnsi="Arial"/>
          <w:sz w:val="17"/>
          <w:szCs w:val="17"/>
          <w:u w:val="single" w:color="auto"/>
          <w:color w:val="auto"/>
        </w:rPr>
        <w:t>Sections 6.1(h)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6.1(i)</w:t>
      </w:r>
      <w:r>
        <w:rPr>
          <w:rFonts w:ascii="Arial" w:cs="Arial" w:eastAsia="Arial" w:hAnsi="Arial"/>
          <w:sz w:val="17"/>
          <w:szCs w:val="17"/>
          <w:color w:val="auto"/>
        </w:rPr>
        <w:t xml:space="preserve"> provided that any such restriction contained therein relates only to the asset or assets subject to such permitted Liens.</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OFAC; USA Patriot Act; Anti-Corruption Laws</w:t>
      </w:r>
      <w:r>
        <w:rPr>
          <w:rFonts w:ascii="Arial" w:cs="Arial" w:eastAsia="Arial" w:hAnsi="Arial"/>
          <w:sz w:val="18"/>
          <w:szCs w:val="18"/>
          <w:color w:val="auto"/>
        </w:rPr>
        <w:t xml:space="preserve">. No Credit Party shall, and no Credit Party shall permit any of its Subsidiaries to, fail to comply with the laws, regulations and executive orders referred to in </w:t>
      </w:r>
      <w:r>
        <w:rPr>
          <w:rFonts w:ascii="Arial" w:cs="Arial" w:eastAsia="Arial" w:hAnsi="Arial"/>
          <w:sz w:val="18"/>
          <w:szCs w:val="18"/>
          <w:u w:val="single" w:color="auto"/>
          <w:color w:val="auto"/>
        </w:rPr>
        <w:t>Section 4.23</w:t>
      </w:r>
      <w:r>
        <w:rPr>
          <w:rFonts w:ascii="Arial" w:cs="Arial" w:eastAsia="Arial" w:hAnsi="Arial"/>
          <w:sz w:val="18"/>
          <w:szCs w:val="18"/>
          <w:color w:val="auto"/>
        </w:rPr>
        <w:t>. No Credit Party or Subsidiary, nor to the knowledge of the Credit Party, any director, officer, agent, employee, or other person acting on behalf of the Credit Party or any Subsidiary, will request or use the proceeds of any Loan or Letter of Credit, directly or indirectly, (A) for any payments to any Person, including any government official or employee, political party, official of a political party, candidate for political office, or anyone else acting in an official capacity, in order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125" w:name="page126"/>
    <w:bookmarkEnd w:id="12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obtain, retain or direct business or obtain any improper advantage, or otherwise take any action, directly or indirectly, that would result in a violation of any Anti-Corruption Laws, (B) for the purpose of funding, financing or facilitating any activities, business or transaction of or with any Person on the SDN List or a government of a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 Furthermore, the Credit Parties will not, directly or indirectly, use the proceeds of the transaction, or lend, contribute or otherwise make available such proceeds to any Subsidiary, Affiliate, joint venture partner or other Person, to fund any activities of or business with any Person, or in any country or territory, that, at the time of such funding, is the subject of Sanctions, or in any other manner that will result in a violation by any Person participating in the transaction of any Sanctions.</w:t>
      </w:r>
    </w:p>
    <w:p>
      <w:pPr>
        <w:spacing w:after="0" w:line="19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Sale-Leasebacks</w:t>
      </w:r>
      <w:r>
        <w:rPr>
          <w:rFonts w:ascii="Arial" w:cs="Arial" w:eastAsia="Arial" w:hAnsi="Arial"/>
          <w:sz w:val="18"/>
          <w:szCs w:val="18"/>
          <w:color w:val="auto"/>
        </w:rPr>
        <w:t>. No Credit Party shall, and no Credit Party shall permit any of its Restricted Subsidiaries to, engage in a sale leaseback, synthetic lease or similar transaction involving any of its assets.</w:t>
      </w:r>
    </w:p>
    <w:p>
      <w:pPr>
        <w:spacing w:after="0" w:line="17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The Credit Parties and their Restricted Subsidiaries shall not make or commit to make Capital Expenditures for any Fiscal Year in excess of $5,000,000 (the “</w:t>
      </w:r>
      <w:r>
        <w:rPr>
          <w:rFonts w:ascii="Arial" w:cs="Arial" w:eastAsia="Arial" w:hAnsi="Arial"/>
          <w:sz w:val="16"/>
          <w:szCs w:val="16"/>
          <w:b w:val="1"/>
          <w:bCs w:val="1"/>
          <w:color w:val="auto"/>
        </w:rPr>
        <w:t>Capital Expenditure Limitation</w:t>
      </w:r>
      <w:r>
        <w:rPr>
          <w:rFonts w:ascii="Arial" w:cs="Arial" w:eastAsia="Arial" w:hAnsi="Arial"/>
          <w:sz w:val="16"/>
          <w:szCs w:val="16"/>
          <w:color w:val="auto"/>
        </w:rPr>
        <w:t>”), with respect to such Fiscal Year; provided, however, in the event the Credit Parties and their Restricted Subsidiaries do not expend the entire Capital Expenditure Limitation in any Fiscal Year, the Credit Parties and their Restricted Subsidiaries may carry forward to the immediately succeeding Fiscal Year 50% of the unutilized portion. All Capital Expenditures shall first be applied to reduce the carry-forward from the previous Fiscal Year, if any, and then to reduce the applicable Capital Expenditure Limitation.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FINANCIAL COVENANTS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Senior Leverage Ratio</w:t>
      </w:r>
      <w:r>
        <w:rPr>
          <w:rFonts w:ascii="Arial" w:cs="Arial" w:eastAsia="Arial" w:hAnsi="Arial"/>
          <w:sz w:val="18"/>
          <w:szCs w:val="18"/>
          <w:color w:val="auto"/>
        </w:rPr>
        <w:t>. The Credit Parties shall not suffer or permit the Senior Leverage Ratio as of the last day of any Fiscal Quarter to be greater than 4.25:1.00.</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The Credit Parties shall not suffer or permit the Fixed Charge Coverage Ratio for the twelve fiscal month period ending on the last day of any Fiscal Quarter to be less than 1.20:1.00.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sz w:val="20"/>
          <w:szCs w:val="20"/>
          <w:color w:val="auto"/>
        </w:rPr>
      </w:pPr>
    </w:p>
    <w:p>
      <w:pPr>
        <w:ind w:right="60" w:firstLine="464"/>
        <w:spacing w:after="0" w:line="264" w:lineRule="auto"/>
        <w:tabs>
          <w:tab w:leader="none" w:pos="70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Any Credit Party fails (i) to pay when and as required to be paid herein, any amount of principal of any Loan, including after maturity of the Loans, or to pay any L/C Reimbursement Obligation or (ii) to pay within three (3) Business Days after the same shall become due, interest on any Loan, any fee or any other amount payable hereunder or pursuant to any other Loan Document; or</w:t>
      </w:r>
    </w:p>
    <w:p>
      <w:pPr>
        <w:spacing w:after="0" w:line="181" w:lineRule="exact"/>
        <w:rPr>
          <w:rFonts w:ascii="Arial" w:cs="Arial" w:eastAsia="Arial" w:hAnsi="Arial"/>
          <w:sz w:val="18"/>
          <w:szCs w:val="18"/>
          <w:color w:val="auto"/>
        </w:rPr>
      </w:pPr>
    </w:p>
    <w:p>
      <w:pPr>
        <w:ind w:right="220" w:firstLine="464"/>
        <w:spacing w:after="0" w:line="302" w:lineRule="auto"/>
        <w:tabs>
          <w:tab w:leader="none" w:pos="71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Representation or Warranty</w:t>
      </w:r>
      <w:r>
        <w:rPr>
          <w:rFonts w:ascii="Arial" w:cs="Arial" w:eastAsia="Arial" w:hAnsi="Arial"/>
          <w:sz w:val="16"/>
          <w:szCs w:val="16"/>
          <w:color w:val="auto"/>
        </w:rPr>
        <w:t>. Any representation, warranty or certification by or on behalf of any Credit Party or any of its Restricted Subsidiaries made or deemed made herein, in any other Loan Document, or which is contained in any certificate, document or financial or other statement by any such Person, or their respective Responsible Officers, furnished at any time under this Agreement, or in or under any other Loan Document, shall prove to have been incorrect in any material respect (without duplication of other materiality qualifiers contained therein) on or as of the date made or deemed made; 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126" w:name="page127"/>
    <w:bookmarkEnd w:id="126"/>
    <w:p>
      <w:pPr>
        <w:ind w:left="-8" w:right="100" w:firstLine="464"/>
        <w:spacing w:after="0" w:line="277" w:lineRule="auto"/>
        <w:tabs>
          <w:tab w:leader="none" w:pos="693"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Defaults</w:t>
      </w:r>
      <w:r>
        <w:rPr>
          <w:rFonts w:ascii="Arial" w:cs="Arial" w:eastAsia="Arial" w:hAnsi="Arial"/>
          <w:sz w:val="18"/>
          <w:szCs w:val="18"/>
          <w:color w:val="auto"/>
        </w:rPr>
        <w:t xml:space="preserve">. Any Credit Party fails to perform or observe any term, covenant or agreement contained in any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5.3(a)</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w:t>
      </w:r>
      <w:r>
        <w:rPr>
          <w:rFonts w:ascii="Arial" w:cs="Arial" w:eastAsia="Arial" w:hAnsi="Arial"/>
          <w:sz w:val="18"/>
          <w:szCs w:val="18"/>
          <w:u w:val="single" w:color="auto"/>
          <w:color w:val="auto"/>
        </w:rPr>
        <w:t>;</w:t>
      </w:r>
      <w:r>
        <w:rPr>
          <w:rFonts w:ascii="Arial" w:cs="Arial" w:eastAsia="Arial" w:hAnsi="Arial"/>
          <w:sz w:val="18"/>
          <w:szCs w:val="18"/>
          <w:color w:val="auto"/>
        </w:rPr>
        <w:t xml:space="preserve"> or</w:t>
      </w:r>
    </w:p>
    <w:p>
      <w:pPr>
        <w:spacing w:after="0" w:line="170" w:lineRule="exact"/>
        <w:rPr>
          <w:rFonts w:ascii="Arial" w:cs="Arial" w:eastAsia="Arial" w:hAnsi="Arial"/>
          <w:sz w:val="18"/>
          <w:szCs w:val="18"/>
          <w:color w:val="auto"/>
        </w:rPr>
      </w:pPr>
    </w:p>
    <w:p>
      <w:pPr>
        <w:ind w:left="-8" w:right="40" w:firstLine="464"/>
        <w:spacing w:after="0" w:line="259" w:lineRule="auto"/>
        <w:tabs>
          <w:tab w:leader="none" w:pos="703"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Credit Party or Restricted Subsidiary of any Credit Party fails to perform or observe any other term, covenant or agreement contained in this Agreement or any other Loan Document, and such default shall continue unremedied for a period of thirty (30) days after the earlier to occur of (i) the date upon which a Responsible Officer of any Credit Party becomes aware of such default and (ii) the date upon which written notice thereof is given to the Borrower by Agent or Required Lenders; or</w:t>
      </w:r>
    </w:p>
    <w:p>
      <w:pPr>
        <w:spacing w:after="0" w:line="186" w:lineRule="exact"/>
        <w:rPr>
          <w:rFonts w:ascii="Arial" w:cs="Arial" w:eastAsia="Arial" w:hAnsi="Arial"/>
          <w:sz w:val="18"/>
          <w:szCs w:val="18"/>
          <w:color w:val="auto"/>
        </w:rPr>
      </w:pPr>
    </w:p>
    <w:p>
      <w:pPr>
        <w:ind w:left="-8" w:firstLine="464"/>
        <w:spacing w:after="0" w:line="271" w:lineRule="auto"/>
        <w:tabs>
          <w:tab w:leader="none" w:pos="693"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Any Credit Party or any Restricted Subsidiary of any Credit Party (i) fails to make any payment in respect of any Material Indebtedness when due (whether by scheduled maturity, required prepayment, acceleration, demand, or otherwise) and such failure continues after the applicable grace or notice period, if any, specified in the document relating thereto on the date of such failure; or (ii) fails to perform or observe any other condition or covenant, or any other event shall occur or condition exist, under any agreement or instrument relating to any such Material Indebtedness, if the effect of such failure, event or condition is to cause, or to permit the holder or holders of such Material Indebtedness or beneficiary or beneficiaries of such Material Indebtedness (or a trustee or agent on behalf of such holder or holders or beneficiary or beneficiaries) to cause such Indebtedness to be declared to be due and payable (or otherwise required immediately to be prepaid, redeemed, purchased or defeased) prior to its stated maturity (without regard to any subordination terms with respect thereto) or cash collateral in respect thereof to be demanded; or</w:t>
      </w:r>
    </w:p>
    <w:p>
      <w:pPr>
        <w:spacing w:after="0" w:line="178" w:lineRule="exact"/>
        <w:rPr>
          <w:rFonts w:ascii="Arial" w:cs="Arial" w:eastAsia="Arial" w:hAnsi="Arial"/>
          <w:sz w:val="17"/>
          <w:szCs w:val="17"/>
          <w:color w:val="auto"/>
        </w:rPr>
      </w:pPr>
    </w:p>
    <w:p>
      <w:pPr>
        <w:ind w:left="-8" w:right="60" w:firstLine="464"/>
        <w:spacing w:after="0" w:line="286" w:lineRule="auto"/>
        <w:tabs>
          <w:tab w:leader="none" w:pos="673"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Insolvency; Voluntary Proceedings</w:t>
      </w:r>
      <w:r>
        <w:rPr>
          <w:rFonts w:ascii="Arial" w:cs="Arial" w:eastAsia="Arial" w:hAnsi="Arial"/>
          <w:sz w:val="16"/>
          <w:szCs w:val="16"/>
          <w:color w:val="auto"/>
        </w:rPr>
        <w:t xml:space="preserve">. The Borrower ceases or fails, or the Credit Parties and their Restricted Subsidiaries (other than an Immaterial Subsidiary) on a consolidated basis, cease or fail, to be Solvent, or any Credit Party or any Restricted Subsidiary (other than an Immaterial Subsidiary) of any Credit Party: (i) generally fails to pay, or admits in writing its inability to pay, its debts as they become due, subject to applicable grace periods, if any, whether at stated maturity or otherwise; (ii) except as expressly permitted under </w:t>
      </w:r>
      <w:r>
        <w:rPr>
          <w:rFonts w:ascii="Arial" w:cs="Arial" w:eastAsia="Arial" w:hAnsi="Arial"/>
          <w:sz w:val="16"/>
          <w:szCs w:val="16"/>
          <w:u w:val="single" w:color="auto"/>
          <w:color w:val="auto"/>
        </w:rPr>
        <w:t>Section 6.3</w:t>
      </w:r>
      <w:r>
        <w:rPr>
          <w:rFonts w:ascii="Arial" w:cs="Arial" w:eastAsia="Arial" w:hAnsi="Arial"/>
          <w:sz w:val="16"/>
          <w:szCs w:val="16"/>
          <w:color w:val="auto"/>
        </w:rPr>
        <w:t>, voluntarily ceases to conduct its business in the ordinary course;</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commences any Insolvency Proceeding with respect to itself; or (iv) takes any action to effectuate or authorize any of the foregoing; or</w:t>
      </w:r>
    </w:p>
    <w:p>
      <w:pPr>
        <w:spacing w:after="0" w:line="210" w:lineRule="exact"/>
        <w:rPr>
          <w:rFonts w:ascii="Arial" w:cs="Arial" w:eastAsia="Arial" w:hAnsi="Arial"/>
          <w:sz w:val="18"/>
          <w:szCs w:val="18"/>
          <w:color w:val="auto"/>
        </w:rPr>
      </w:pPr>
    </w:p>
    <w:p>
      <w:pPr>
        <w:ind w:left="-8" w:right="60" w:firstLine="464"/>
        <w:spacing w:after="0" w:line="290" w:lineRule="auto"/>
        <w:tabs>
          <w:tab w:leader="none" w:pos="703"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Involuntary Proceedings</w:t>
      </w:r>
      <w:r>
        <w:rPr>
          <w:rFonts w:ascii="Arial" w:cs="Arial" w:eastAsia="Arial" w:hAnsi="Arial"/>
          <w:sz w:val="16"/>
          <w:szCs w:val="16"/>
          <w:color w:val="auto"/>
        </w:rPr>
        <w:t>. (i) Any involuntary Insolvency Proceeding is commenced or filed against any Credit Party or any Restricted Subsidiary of any Credit Party (other than an Immaterial Subsidiary), or any writ, judgment, warrant of attachment, execution or similar process, is issued or levied against a substantial part of any such Person’s Properties, and any such proceeding or petition shall not be dismissed, or such writ, judgment, warrant of attachment, execution or similar process shall not be released, vacated or fully bonded within sixty (60) days after commencement, filing or levy; (ii) any Credit Party or any Restricted Subsidiary of any Credit Party (other than an Immaterial Subsidiary) admits the material allegations of a petition against it in any Insolvency Proceeding, or an order for relief (or similar order under non-U.S. law) is ordered in any Insolvency Proceeding; or (iii) any Credit Party or any Restricted Subsidiary of any Credit Party (other than an Immaterial Subsidiary) acquiesces in the appointment of a receiver, trustee, custodian, conservator, liquidator, mortgagee in possession (or agent therefor), or other similar Person for itself or a substantial portion of its Property or business; or</w:t>
      </w:r>
    </w:p>
    <w:p>
      <w:pPr>
        <w:spacing w:after="0" w:line="166" w:lineRule="exact"/>
        <w:rPr>
          <w:rFonts w:ascii="Arial" w:cs="Arial" w:eastAsia="Arial" w:hAnsi="Arial"/>
          <w:sz w:val="16"/>
          <w:szCs w:val="16"/>
          <w:color w:val="auto"/>
        </w:rPr>
      </w:pPr>
    </w:p>
    <w:p>
      <w:pPr>
        <w:jc w:val="both"/>
        <w:ind w:left="-8" w:right="220" w:firstLine="464"/>
        <w:spacing w:after="0" w:line="279" w:lineRule="auto"/>
        <w:tabs>
          <w:tab w:leader="none" w:pos="703"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Monetary Judgments</w:t>
      </w:r>
      <w:r>
        <w:rPr>
          <w:rFonts w:ascii="Arial" w:cs="Arial" w:eastAsia="Arial" w:hAnsi="Arial"/>
          <w:sz w:val="17"/>
          <w:szCs w:val="17"/>
          <w:color w:val="auto"/>
        </w:rPr>
        <w:t>. One or more judgments, non-interlocutory orders, decrees or arbitration awards shall be entered against any one or more of the Credit Parties or any of their respective Restricted Subsidiaries involving in the aggregate a liability of $2,500,000 or more (excluding amounts bonded over or covered by insurance to the extent the relevant independent third-party insurer has not denied coverage therefor), and the same shall remain unsatisfied, unvacated and unstayed pending appeal for a period of thirty (30) days after the entry thereof; or</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12"/>
          </w:cols>
          <w:pgMar w:left="248" w:top="274" w:right="239" w:bottom="1440" w:gutter="0" w:footer="0" w:header="0"/>
        </w:sectPr>
      </w:pPr>
    </w:p>
    <w:bookmarkStart w:id="127" w:name="page128"/>
    <w:bookmarkEnd w:id="127"/>
    <w:p>
      <w:pPr>
        <w:ind w:right="140" w:firstLine="464"/>
        <w:spacing w:after="0" w:line="259" w:lineRule="auto"/>
        <w:tabs>
          <w:tab w:leader="none" w:pos="6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Non-Monetary Judgments</w:t>
      </w:r>
      <w:r>
        <w:rPr>
          <w:rFonts w:ascii="Arial" w:cs="Arial" w:eastAsia="Arial" w:hAnsi="Arial"/>
          <w:sz w:val="18"/>
          <w:szCs w:val="18"/>
          <w:color w:val="auto"/>
        </w:rPr>
        <w:t>. One or more non-monetary judgments, orders or decrees shall be rendered against any one or more of the Credit Parties or any of their respective Restricted Subsidiaries which has or would reasonably be expected to have, either individually or in the aggregate, a Material Adverse Effect, and there shall be any period of thirty (30) consecutive days during which a stay of enforcement of such judgment or order, by reason of a pending appeal or otherwise, shall not be in effect; or</w:t>
      </w:r>
    </w:p>
    <w:p>
      <w:pPr>
        <w:spacing w:after="0" w:line="186" w:lineRule="exact"/>
        <w:rPr>
          <w:rFonts w:ascii="Arial" w:cs="Arial" w:eastAsia="Arial" w:hAnsi="Arial"/>
          <w:sz w:val="18"/>
          <w:szCs w:val="18"/>
          <w:color w:val="auto"/>
        </w:rPr>
      </w:pPr>
    </w:p>
    <w:p>
      <w:pPr>
        <w:ind w:right="20" w:firstLine="464"/>
        <w:spacing w:after="0" w:line="297" w:lineRule="auto"/>
        <w:tabs>
          <w:tab w:leader="none" w:pos="67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Any material provision of any Loan Document shall for any reason cease to be valid and binding on or enforceable against any Credit Party or any Restricted Subsidiary of any Credit Party party thereto or any Credit Party shall so state in writing or bring an action to limit its obligations or liabilities thereunder; or any Collateral Document shall for any reason (other than pursuant to the terms thereof) cease to create a valid security interest in the Collateral (to the extent that such perfection or priority is required hereby) purported to be covered thereby or such security interest shall for any reason (other than the failure of Agent to take any action within its control) cease to be a perfected and first priority security interest subject only to Permitted Liens; or</w:t>
      </w:r>
    </w:p>
    <w:p>
      <w:pPr>
        <w:spacing w:after="0" w:line="158" w:lineRule="exact"/>
        <w:rPr>
          <w:rFonts w:ascii="Arial" w:cs="Arial" w:eastAsia="Arial" w:hAnsi="Arial"/>
          <w:sz w:val="16"/>
          <w:szCs w:val="16"/>
          <w:color w:val="auto"/>
        </w:rPr>
      </w:pPr>
    </w:p>
    <w:p>
      <w:pPr>
        <w:ind w:left="720" w:hanging="256"/>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A Change of Control shall occur; or</w:t>
      </w:r>
    </w:p>
    <w:p>
      <w:pPr>
        <w:spacing w:after="0" w:line="225" w:lineRule="exact"/>
        <w:rPr>
          <w:rFonts w:ascii="Arial" w:cs="Arial" w:eastAsia="Arial" w:hAnsi="Arial"/>
          <w:sz w:val="18"/>
          <w:szCs w:val="18"/>
          <w:color w:val="auto"/>
        </w:rPr>
      </w:pPr>
    </w:p>
    <w:p>
      <w:pPr>
        <w:ind w:firstLine="464"/>
        <w:spacing w:after="0" w:line="277" w:lineRule="auto"/>
        <w:tabs>
          <w:tab w:leader="none" w:pos="67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Regulatory</w:t>
      </w:r>
      <w:r>
        <w:rPr>
          <w:rFonts w:ascii="Arial" w:cs="Arial" w:eastAsia="Arial" w:hAnsi="Arial"/>
          <w:sz w:val="18"/>
          <w:szCs w:val="18"/>
          <w:color w:val="auto"/>
        </w:rPr>
        <w:t>. There shall occur any revocation, suspension, termination, rescission, non-renewal or forfeiture or any similar final administrative action with respect to one or more Regulatory Permits that would reasonably be expected to have a Material Adverse Effect; or</w:t>
      </w:r>
    </w:p>
    <w:p>
      <w:pPr>
        <w:spacing w:after="0" w:line="170" w:lineRule="exact"/>
        <w:rPr>
          <w:rFonts w:ascii="Arial" w:cs="Arial" w:eastAsia="Arial" w:hAnsi="Arial"/>
          <w:sz w:val="18"/>
          <w:szCs w:val="18"/>
          <w:color w:val="auto"/>
        </w:rPr>
      </w:pPr>
    </w:p>
    <w:p>
      <w:pPr>
        <w:ind w:right="560" w:firstLine="464"/>
        <w:spacing w:after="0" w:line="286" w:lineRule="auto"/>
        <w:tabs>
          <w:tab w:leader="none" w:pos="76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Invalidity of Subordination Provisions</w:t>
      </w:r>
      <w:r>
        <w:rPr>
          <w:rFonts w:ascii="Arial" w:cs="Arial" w:eastAsia="Arial" w:hAnsi="Arial"/>
          <w:sz w:val="17"/>
          <w:szCs w:val="17"/>
          <w:color w:val="auto"/>
        </w:rPr>
        <w:t>. Any provisions of any Subordination Agreement or any agreement or instrument governing any Indebtedness thereunder shall for any reason be revoked or invalidated, or otherwise cease to be in full force and effect, or the Obligations or the Liens securing the Obligations, for any reason shall not have the priority contemplated by this Agreement or such subordination provisions.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Remedies</w:t>
      </w:r>
      <w:r>
        <w:rPr>
          <w:rFonts w:ascii="Arial" w:cs="Arial" w:eastAsia="Arial" w:hAnsi="Arial"/>
          <w:sz w:val="16"/>
          <w:szCs w:val="16"/>
          <w:color w:val="auto"/>
        </w:rPr>
        <w:t>. Upon the occurrence and during the continuance of any Event of Default, Agent may, and shall at the request of the Required Lenders</w:t>
      </w:r>
      <w:r>
        <w:rPr>
          <w:rFonts w:ascii="Arial" w:cs="Arial" w:eastAsia="Arial" w:hAnsi="Arial"/>
          <w:sz w:val="16"/>
          <w:szCs w:val="16"/>
          <w:b w:val="1"/>
          <w:bCs w:val="1"/>
          <w:color w:val="auto"/>
        </w:rPr>
        <w:t>:</w:t>
      </w:r>
    </w:p>
    <w:p>
      <w:pPr>
        <w:spacing w:after="0" w:line="252" w:lineRule="exact"/>
        <w:rPr>
          <w:sz w:val="20"/>
          <w:szCs w:val="20"/>
          <w:color w:val="auto"/>
        </w:rPr>
      </w:pPr>
    </w:p>
    <w:p>
      <w:pPr>
        <w:ind w:right="40" w:firstLine="464"/>
        <w:spacing w:after="0" w:line="277" w:lineRule="auto"/>
        <w:tabs>
          <w:tab w:leader="none" w:pos="70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declare all or any portion of any one or more of the Commitments of each Lender to make Loans or of the L/C Issuer to Issue Letters of Credit to be suspended or terminated, whereupon all or such portion of such Commitments shall forthwith be suspended or terminated;</w:t>
      </w:r>
    </w:p>
    <w:p>
      <w:pPr>
        <w:spacing w:after="0" w:line="170"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declare all or any portion of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Credit Party; and/or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 law;</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provided, however, that upon the occurrence of any event specified in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8.1(g)</w:t>
      </w:r>
      <w:r>
        <w:rPr>
          <w:rFonts w:ascii="Arial" w:cs="Arial" w:eastAsia="Arial" w:hAnsi="Arial"/>
          <w:sz w:val="18"/>
          <w:szCs w:val="18"/>
          <w:color w:val="auto"/>
        </w:rPr>
        <w:t xml:space="preserve"> above (in the case of clause (i) of </w:t>
      </w:r>
      <w:r>
        <w:rPr>
          <w:rFonts w:ascii="Arial" w:cs="Arial" w:eastAsia="Arial" w:hAnsi="Arial"/>
          <w:sz w:val="18"/>
          <w:szCs w:val="18"/>
          <w:u w:val="single" w:color="auto"/>
          <w:color w:val="auto"/>
        </w:rPr>
        <w:t>Section 8.1(g)</w:t>
      </w:r>
      <w:r>
        <w:rPr>
          <w:rFonts w:ascii="Arial" w:cs="Arial" w:eastAsia="Arial" w:hAnsi="Arial"/>
          <w:sz w:val="18"/>
          <w:szCs w:val="18"/>
          <w:color w:val="auto"/>
        </w:rPr>
        <w:t xml:space="preserve"> upon the expiration of the sixty (60) day period mentioned therein), the obligation of each Lender to make Loans and the obligation of the L/C Issuer to Issue Letters of Credit shall automatically terminate and the unpaid principal amount of all outstanding Loans and all interest and other amounts as aforesaid shall automatically become due and payable without further act of Agent, any Lender or the L/C Issuer.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28" w:name="page129"/>
    <w:bookmarkEnd w:id="128"/>
    <w:p>
      <w:pPr>
        <w:jc w:val="both"/>
        <w:ind w:right="18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Cash Collateral for Letters of Credit</w:t>
      </w:r>
      <w:r>
        <w:rPr>
          <w:rFonts w:ascii="Arial" w:cs="Arial" w:eastAsia="Arial" w:hAnsi="Arial"/>
          <w:sz w:val="16"/>
          <w:szCs w:val="16"/>
          <w:color w:val="auto"/>
        </w:rPr>
        <w:t>. If an Event of Default has occurred and is continuing, this Agreement (or the Revolving Loan Commitment)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shall be terminated for any reason or if otherwise required by the terms hereof, Agent may, and upon request of Required Revolving Lenders, shall, demand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demand shall be deemed to have been delivered automatically upon any acceleration of the Loans and other obligations hereunder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8.2</w:t>
      </w:r>
      <w:r>
        <w:rPr>
          <w:rFonts w:ascii="Arial" w:cs="Arial" w:eastAsia="Arial" w:hAnsi="Arial"/>
          <w:sz w:val="16"/>
          <w:szCs w:val="16"/>
          <w:color w:val="auto"/>
        </w:rPr>
        <w:t>), and the Borrower shall thereupon deliver to Agent, to be held for the benefit of the L/C Issuer, Agent and the Lenders entitled thereto, an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cash equal to 105% (or such greater percentage as the L/C Issuer may require in the case of any Letter of Credit with an expiration date later than one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after the date of providing such cash collateral) of the amount of Letter of Credit Obligations as additional collateral security for Obligations in respect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outstanding Letter of Credit. Agent may at any time apply any or all of such cash and cash collateral to the payment of any or all of the Credit Parties’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Obligations in respect of any Letters of Credit. Pending such application, Agent may (but shall not be obligated to) invest the same in an interest bearing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 in Agent’s name, for the benefit of the L/C Issuer, Agent and the Lenders entitled thereto, under which deposits are available for immediate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withdrawal, at such bank or financial institution as the L/C Issuer and Agent may, in their discretion, select.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and Duties.</w:t>
      </w:r>
    </w:p>
    <w:p>
      <w:pPr>
        <w:spacing w:after="0" w:line="225" w:lineRule="exact"/>
        <w:rPr>
          <w:sz w:val="20"/>
          <w:szCs w:val="20"/>
          <w:color w:val="auto"/>
        </w:rPr>
      </w:pPr>
    </w:p>
    <w:p>
      <w:pPr>
        <w:ind w:right="160" w:firstLine="464"/>
        <w:spacing w:after="0" w:line="273" w:lineRule="auto"/>
        <w:tabs>
          <w:tab w:leader="none" w:pos="701"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Appointment of Agent</w:t>
      </w:r>
      <w:r>
        <w:rPr>
          <w:rFonts w:ascii="Arial" w:cs="Arial" w:eastAsia="Arial" w:hAnsi="Arial"/>
          <w:sz w:val="17"/>
          <w:szCs w:val="17"/>
          <w:color w:val="auto"/>
        </w:rPr>
        <w:t xml:space="preserve">. Each Secured Party hereby appoints Capital One (together with any successor Agent pursuant to </w:t>
      </w:r>
      <w:r>
        <w:rPr>
          <w:rFonts w:ascii="Arial" w:cs="Arial" w:eastAsia="Arial" w:hAnsi="Arial"/>
          <w:sz w:val="17"/>
          <w:szCs w:val="17"/>
          <w:u w:val="single" w:color="auto"/>
          <w:color w:val="auto"/>
        </w:rPr>
        <w:t>Section 9.9</w:t>
      </w:r>
      <w:r>
        <w:rPr>
          <w:rFonts w:ascii="Arial" w:cs="Arial" w:eastAsia="Arial" w:hAnsi="Arial"/>
          <w:sz w:val="17"/>
          <w:szCs w:val="17"/>
          <w:color w:val="auto"/>
        </w:rPr>
        <w:t>) as Agent hereunder and authorizes Agent to (i) execute and deliver the Loan Documents and accept delivery thereof on its behalf from any Credit Party, (ii) take such other actions on its behalf and to exercise all rights, powers and remedies and perform the duties as are expressly delegated to Agent under such Loan Documents and (iii) exercise such powers as are reasonably incidental thereto. Without limiting the generality of the foregoing, each Secured Party consents to and authorizes Agent’s execution and delivery of any Subordination Agreement from time to time as contemplated by the terms hereof on behalf of such Secured Party and agrees to be bound by the terms and provisions thereof.</w:t>
      </w:r>
    </w:p>
    <w:p>
      <w:pPr>
        <w:spacing w:after="0" w:line="178" w:lineRule="exact"/>
        <w:rPr>
          <w:rFonts w:ascii="Arial" w:cs="Arial" w:eastAsia="Arial" w:hAnsi="Arial"/>
          <w:sz w:val="17"/>
          <w:szCs w:val="17"/>
          <w:color w:val="auto"/>
        </w:rPr>
      </w:pPr>
    </w:p>
    <w:p>
      <w:pPr>
        <w:ind w:firstLine="464"/>
        <w:spacing w:after="0" w:line="283" w:lineRule="auto"/>
        <w:tabs>
          <w:tab w:leader="none" w:pos="711"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Duties as Collateral and Disbursing Agent</w:t>
      </w:r>
      <w:r>
        <w:rPr>
          <w:rFonts w:ascii="Arial" w:cs="Arial" w:eastAsia="Arial" w:hAnsi="Arial"/>
          <w:sz w:val="16"/>
          <w:szCs w:val="16"/>
          <w:color w:val="auto"/>
        </w:rPr>
        <w:t xml:space="preserve">. Without limiting the generality of clause (a) above, Agent shall have the sole and exclusive right and authority (to the exclusion of the Secured Parties), and is hereby authorized, to (i) act as the disbursing and collecting agent for the Lenders and the L/C Issuers with respect to all payments and collections arising in connection with the Loan Documents (including in any proceeding described in </w:t>
      </w:r>
      <w:r>
        <w:rPr>
          <w:rFonts w:ascii="Arial" w:cs="Arial" w:eastAsia="Arial" w:hAnsi="Arial"/>
          <w:sz w:val="16"/>
          <w:szCs w:val="16"/>
          <w:u w:val="single" w:color="auto"/>
          <w:color w:val="auto"/>
        </w:rPr>
        <w:t>Sections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or any other bankruptcy, insolvency or similar proceeding), and each Person making any payment in connection with any Loan Document to any Secured Party is hereby authorized to make such payment to Agent, (ii) file and prove claims and file other documents necessary or desirable to allow the claims of the Secured Parties with respect to any Obligation in any proceeding described in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or any other bankruptcy, insolvency or similar proceeding (but not to vote, consent or otherwise act on behalf of such Person), (iii) act as collateral agent for each Secured Party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Loan Documents,</w:t>
      </w:r>
    </w:p>
    <w:p>
      <w:pPr>
        <w:spacing w:after="0" w:line="6" w:lineRule="exact"/>
        <w:rPr>
          <w:rFonts w:ascii="Arial" w:cs="Arial" w:eastAsia="Arial" w:hAnsi="Arial"/>
          <w:sz w:val="16"/>
          <w:szCs w:val="16"/>
          <w:color w:val="auto"/>
        </w:rPr>
      </w:pPr>
    </w:p>
    <w:p>
      <w:pPr>
        <w:ind w:right="20" w:firstLine="8"/>
        <w:spacing w:after="0" w:line="255" w:lineRule="auto"/>
        <w:tabs>
          <w:tab w:leader="none" w:pos="3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may be otherwise specified in any Loan Document, exercise all remedies given to Agent and the other Secured Parties with respect to the Credit Parties and/or the Collateral, whether under the Loan Documents, applicable Requirements of Law or otherwise and (vii) execute any amendment, consent or waiver under the Loan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129" w:name="page130"/>
    <w:bookmarkEnd w:id="12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on behalf of any Lender that has consented in writing to such amendment, consent or waiver; provided, however, that Agent hereby appoints, authorizes and directs each Secured Party to act as collateral sub-agent for Agent, the Secured Parties for purposes of the perfection of all Liens with respect to the Collateral, including any deposit account maintained by a Credit Party with, and cash and Cash Equivalents held by, such Secured Party, and may further authorize and direct the Secured Parties to take further actions as collateral sub-agents for purposes of enforcing such Liens or otherwise to transfer the Collateral subject thereto to Agent, and each Secured Party hereby agrees to take such further actions to the extent, and only to the extent, so authorized and directed.</w:t>
      </w:r>
    </w:p>
    <w:p>
      <w:pPr>
        <w:spacing w:after="0" w:line="193" w:lineRule="exact"/>
        <w:rPr>
          <w:sz w:val="20"/>
          <w:szCs w:val="20"/>
          <w:color w:val="auto"/>
        </w:rPr>
      </w:pPr>
    </w:p>
    <w:p>
      <w:pPr>
        <w:ind w:right="300" w:firstLine="464"/>
        <w:spacing w:after="0" w:line="288" w:lineRule="auto"/>
        <w:tabs>
          <w:tab w:leader="none" w:pos="701"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Limited Duties</w:t>
      </w:r>
      <w:r>
        <w:rPr>
          <w:rFonts w:ascii="Arial" w:cs="Arial" w:eastAsia="Arial" w:hAnsi="Arial"/>
          <w:sz w:val="16"/>
          <w:szCs w:val="16"/>
          <w:color w:val="auto"/>
        </w:rPr>
        <w:t xml:space="preserve">. Under the Loan Documents, Agent (i) is acting solely on behalf of the Secured Parties (except to the limited extent provided in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with respect to the Register), with duties that are entirely administrative in nature, notwithstanding the use of the defined term “Agent”, the terms “agent”, “Agent” and “collateral agent” and similar terms in any Loan Document to refer to Agent, which terms are used for title purposes only, and</w:t>
      </w:r>
    </w:p>
    <w:p>
      <w:pPr>
        <w:jc w:val="both"/>
        <w:ind w:right="20" w:firstLine="8"/>
        <w:spacing w:after="0" w:line="254" w:lineRule="auto"/>
        <w:tabs>
          <w:tab w:leader="none" w:pos="26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not assuming and shall not have any actual or implied obligations, functions, responsibilities, duties, under any Loan Document other than as expressly set forth therein or any role as agent, fiduciary or trustee of or for any Secured Party or any other Person, and each Secured Party, by accepting the benefits of the Loan Documents, hereby waives and agrees not to assert any claim against Agent based on the roles, duties and legal relationships expressly disclaimed in clauses (i) and (ii) above.</w:t>
      </w:r>
    </w:p>
    <w:p>
      <w:pPr>
        <w:spacing w:after="0" w:line="19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Binding Effect</w:t>
      </w:r>
      <w:r>
        <w:rPr>
          <w:rFonts w:ascii="Arial" w:cs="Arial" w:eastAsia="Arial" w:hAnsi="Arial"/>
          <w:sz w:val="16"/>
          <w:szCs w:val="16"/>
          <w:color w:val="auto"/>
        </w:rPr>
        <w:t>. Each Secured Party, by accepting the benefits of the Loan Documents, agrees that (i) any action taken (or omitted to be taken) by Agent or the Required Lenders (or, if expressly required hereby, a greater proportion of the Lenders) in accordance with the provisions of the Loan Documents, (ii) any action taken (or omitted to be taken) by Agent in reliance upon the instructions of Required Lenders (or, where so required, such greater proportion) and (iii) the exercise by Agent or the Required Lenders (or, where so required, such greater proportion) of the powers set forth herein or therein, together with such other powers as are reasonably incidental thereto, shall be authorized and binding upon all of the Secured Parties.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Use of Discretion.</w:t>
      </w:r>
    </w:p>
    <w:p>
      <w:pPr>
        <w:spacing w:after="0" w:line="225" w:lineRule="exact"/>
        <w:rPr>
          <w:sz w:val="20"/>
          <w:szCs w:val="20"/>
          <w:color w:val="auto"/>
        </w:rPr>
      </w:pPr>
    </w:p>
    <w:p>
      <w:pPr>
        <w:ind w:right="140" w:firstLine="464"/>
        <w:spacing w:after="0" w:line="312" w:lineRule="auto"/>
        <w:tabs>
          <w:tab w:leader="none" w:pos="701"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No Action without Instructions</w:t>
      </w:r>
      <w:r>
        <w:rPr>
          <w:rFonts w:ascii="Arial" w:cs="Arial" w:eastAsia="Arial" w:hAnsi="Arial"/>
          <w:sz w:val="16"/>
          <w:szCs w:val="16"/>
          <w:color w:val="auto"/>
        </w:rPr>
        <w:t>. Agent shall not be required to exercise any discretion or take, or to omit to take, any action, including with respect to enforcement or collection, except any action it is required to take or omit to take (i) under any Loan Document or (ii) pursuant to instructions from the Required Lenders (or, where expressly required by the terms of this Agreement, the Required Revolving Lenders or a greater proportion of the Lenders).</w:t>
      </w:r>
    </w:p>
    <w:p>
      <w:pPr>
        <w:spacing w:after="0" w:line="146" w:lineRule="exact"/>
        <w:rPr>
          <w:rFonts w:ascii="Arial" w:cs="Arial" w:eastAsia="Arial" w:hAnsi="Arial"/>
          <w:sz w:val="16"/>
          <w:szCs w:val="16"/>
          <w:color w:val="auto"/>
        </w:rPr>
      </w:pPr>
    </w:p>
    <w:p>
      <w:pPr>
        <w:ind w:left="720" w:hanging="256"/>
        <w:spacing w:after="0"/>
        <w:tabs>
          <w:tab w:leader="none" w:pos="720"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Right Not to Follow Certain Instructions</w:t>
      </w:r>
      <w:r>
        <w:rPr>
          <w:rFonts w:ascii="Arial" w:cs="Arial" w:eastAsia="Arial" w:hAnsi="Arial"/>
          <w:sz w:val="17"/>
          <w:szCs w:val="17"/>
          <w:color w:val="auto"/>
        </w:rPr>
        <w:t>. Notwithstanding clause (a) above, Agent shall not be required to take, or to omit to take, any action</w:t>
      </w:r>
    </w:p>
    <w:p>
      <w:pPr>
        <w:spacing w:after="0" w:line="34" w:lineRule="exact"/>
        <w:rPr>
          <w:rFonts w:ascii="Arial" w:cs="Arial" w:eastAsia="Arial" w:hAnsi="Arial"/>
          <w:sz w:val="17"/>
          <w:szCs w:val="17"/>
          <w:color w:val="auto"/>
        </w:rPr>
      </w:pPr>
    </w:p>
    <w:p>
      <w:pPr>
        <w:ind w:right="80" w:firstLine="8"/>
        <w:spacing w:after="0" w:line="277" w:lineRule="auto"/>
        <w:tabs>
          <w:tab w:leader="none" w:pos="21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unless, upon demand, Agent receives an indemnification satisfactory to it from the Lenders (or, to the extent applicable and acceptable to Agent, any other Person) against all Liabilities that, by reason of such action or omission, may be imposed on, incurred by or asserted against Agent or any Related Person thereof or (ii) that is, in the opinion of Agent or its counsel, contrary to any Loan Document or applicable Requirement of Law.</w:t>
      </w:r>
    </w:p>
    <w:p>
      <w:pPr>
        <w:spacing w:after="0" w:line="173" w:lineRule="exact"/>
        <w:rPr>
          <w:rFonts w:ascii="Arial" w:cs="Arial" w:eastAsia="Arial" w:hAnsi="Arial"/>
          <w:sz w:val="17"/>
          <w:szCs w:val="17"/>
          <w:color w:val="auto"/>
        </w:rPr>
      </w:pPr>
    </w:p>
    <w:p>
      <w:pPr>
        <w:ind w:right="20" w:firstLine="464"/>
        <w:spacing w:after="0" w:line="272" w:lineRule="auto"/>
        <w:tabs>
          <w:tab w:leader="none" w:pos="701"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Exclusive Right to Enforce Rights and Remedies</w:t>
      </w:r>
      <w:r>
        <w:rPr>
          <w:rFonts w:ascii="Arial" w:cs="Arial" w:eastAsia="Arial" w:hAnsi="Arial"/>
          <w:sz w:val="17"/>
          <w:szCs w:val="17"/>
          <w:color w:val="auto"/>
        </w:rPr>
        <w:t>. 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Agent in accordance with the Loan Documents for the benefit of all the Secured Parties; provided that the foregoing shall not prohibit (i) Agent from exercising on its own behalf the rights and remedies that inure to its benefit (solely in its capacity as Agent) hereunder and under the other Loan Documents, (ii) each of the L/C Issuer and the Swing Lender from exercising the rights and remedies that inure to its benefit (solely in its capacity as L/C Issuer or Swing Lender, as the case may be) hereunder and under the other Loan Documents, (iii) any Lender from exercising setoff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30" w:name="page131"/>
    <w:bookmarkEnd w:id="1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rights in accordance with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or (iv) any Secured Party from filing proofs of claim (and thereafter appearing and filing pleadings on its own behalf during the pendency of a proceeding relative to any Credit Party under any bankruptcy or other debtor relief law), but in the case of this clause (iv) if, and solely if, Agent has not filed such proof of claim or other instrument of similar character in respect of the Obligations under the Loan Documents within five (5) days before the expiration of the time to file the same.</w:t>
      </w:r>
    </w:p>
    <w:p>
      <w:pPr>
        <w:spacing w:after="0" w:line="18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Delegation of Rights and Duties</w:t>
      </w:r>
      <w:r>
        <w:rPr>
          <w:rFonts w:ascii="Arial" w:cs="Arial" w:eastAsia="Arial" w:hAnsi="Arial"/>
          <w:sz w:val="16"/>
          <w:szCs w:val="16"/>
          <w:color w:val="auto"/>
        </w:rPr>
        <w:t xml:space="preser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Any such Person shall benefit from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extent provided by Agent.</w:t>
      </w:r>
    </w:p>
    <w:p>
      <w:pPr>
        <w:spacing w:after="0" w:line="14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Reliance and Liability</w:t>
      </w:r>
      <w:r>
        <w:rPr>
          <w:rFonts w:ascii="Arial" w:cs="Arial" w:eastAsia="Arial" w:hAnsi="Arial"/>
          <w:sz w:val="16"/>
          <w:szCs w:val="16"/>
          <w:color w:val="auto"/>
        </w:rPr>
        <w:t xml:space="preserve">. Agent may, without incurring any liability hereunder, (i) treat the payee of any Note as its holder until such Note has been assigned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(ii) rely on the Register to the extent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(iii) consult with any of its Related Persons and, whether or not selected by it, any other advisors, accountants and other experts (including advisors to, and accountants and experts engaged by, any Credit Party) and (iv) rely and act upon any document and information (including those transmitted by Electronic Transmission) and any telephone message or conversation, in each case believed by it to be genuine and transmitted, signed or otherwise authenticated by the appropriate parties.</w:t>
      </w:r>
    </w:p>
    <w:p>
      <w:pPr>
        <w:spacing w:after="0" w:line="158" w:lineRule="exact"/>
        <w:rPr>
          <w:sz w:val="20"/>
          <w:szCs w:val="20"/>
          <w:color w:val="auto"/>
        </w:rPr>
      </w:pPr>
    </w:p>
    <w:p>
      <w:pPr>
        <w:ind w:right="20" w:firstLine="464"/>
        <w:spacing w:after="0" w:line="255" w:lineRule="auto"/>
        <w:tabs>
          <w:tab w:leader="none" w:pos="7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None of Agent and its Related Persons shall be liable for any action taken or omitted to be taken by any of them under or in connection with any Loan Document, and each Secured Party, Holdings, the Borrower and each other Credit Party hereby waive and shall not assert (and each of Holdings and the Borrower shall cause each other Credit Party to waive and agree not to assert) any right, claim or cause of action based thereon, except to the extent of liabilities resulting primarily from the gross negligence or willful misconduct of Agent or, as the case may be, such Related Person (each as determined in a final, non-appealable judgment by a court of competent jurisdiction) in connection with the duties expressly set forth herein. Without limiting the foregoing, Agent and its Related Persons:</w:t>
      </w:r>
    </w:p>
    <w:p>
      <w:pPr>
        <w:spacing w:after="0" w:line="85" w:lineRule="exact"/>
        <w:rPr>
          <w:rFonts w:ascii="Arial" w:cs="Arial" w:eastAsia="Arial" w:hAnsi="Arial"/>
          <w:sz w:val="18"/>
          <w:szCs w:val="18"/>
          <w:color w:val="auto"/>
        </w:rPr>
      </w:pPr>
    </w:p>
    <w:p>
      <w:pPr>
        <w:ind w:left="920" w:right="160" w:firstLine="421"/>
        <w:spacing w:after="0" w:line="264" w:lineRule="auto"/>
        <w:tabs>
          <w:tab w:leader="none" w:pos="155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shall not be responsible or otherwise incur liability for any action or omission taken in reliance upon the instructions of the Required Lenders or for the actions or omissions of any of its Related Persons selected with reasonable care (other than employees, officers and directors of Agent, when acting on behalf of Agent);</w:t>
      </w:r>
    </w:p>
    <w:p>
      <w:pPr>
        <w:spacing w:after="0" w:line="73" w:lineRule="exact"/>
        <w:rPr>
          <w:rFonts w:ascii="Arial" w:cs="Arial" w:eastAsia="Arial" w:hAnsi="Arial"/>
          <w:sz w:val="18"/>
          <w:szCs w:val="18"/>
          <w:color w:val="auto"/>
        </w:rPr>
      </w:pPr>
    </w:p>
    <w:p>
      <w:pPr>
        <w:ind w:left="920" w:right="460" w:firstLine="421"/>
        <w:spacing w:after="0" w:line="264" w:lineRule="auto"/>
        <w:tabs>
          <w:tab w:leader="none" w:pos="160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shall not be responsible to any Secured Party or other Person for the due execution, legality, validity, enforceability, effectiveness, genuineness, sufficiency or value of, or the attachment, perfection or priority of any Lien created or purported to be created under or in connection with, any Loan Document;</w:t>
      </w:r>
    </w:p>
    <w:p>
      <w:pPr>
        <w:spacing w:after="0" w:line="73" w:lineRule="exact"/>
        <w:rPr>
          <w:rFonts w:ascii="Arial" w:cs="Arial" w:eastAsia="Arial" w:hAnsi="Arial"/>
          <w:sz w:val="18"/>
          <w:szCs w:val="18"/>
          <w:color w:val="auto"/>
        </w:rPr>
      </w:pPr>
    </w:p>
    <w:p>
      <w:pPr>
        <w:ind w:left="920" w:right="140" w:firstLine="421"/>
        <w:spacing w:after="0" w:line="273" w:lineRule="auto"/>
        <w:tabs>
          <w:tab w:leader="none" w:pos="1655" w:val="left"/>
        </w:tabs>
        <w:numPr>
          <w:ilvl w:val="1"/>
          <w:numId w:val="144"/>
        </w:numPr>
        <w:rPr>
          <w:rFonts w:ascii="Arial" w:cs="Arial" w:eastAsia="Arial" w:hAnsi="Arial"/>
          <w:sz w:val="17"/>
          <w:szCs w:val="17"/>
          <w:color w:val="auto"/>
        </w:rPr>
      </w:pPr>
      <w:r>
        <w:rPr>
          <w:rFonts w:ascii="Arial" w:cs="Arial" w:eastAsia="Arial" w:hAnsi="Arial"/>
          <w:sz w:val="17"/>
          <w:szCs w:val="17"/>
          <w:color w:val="auto"/>
        </w:rPr>
        <w:t>makes no warranty or representation, and shall not be responsible, to any Secured Party or other Person for any statement, document, information, representation or warranty made or furnished by or on behalf of any Credit Party or any Related Person of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Agent, including as to completeness, accuracy, scope or adequacy thereof, or for the scope, nature or results of any due diligence performed by Agent in connection with the Loan Documents;</w:t>
      </w:r>
    </w:p>
    <w:p>
      <w:pPr>
        <w:spacing w:after="0" w:line="70" w:lineRule="exact"/>
        <w:rPr>
          <w:rFonts w:ascii="Arial" w:cs="Arial" w:eastAsia="Arial" w:hAnsi="Arial"/>
          <w:sz w:val="17"/>
          <w:szCs w:val="17"/>
          <w:color w:val="auto"/>
        </w:rPr>
      </w:pPr>
    </w:p>
    <w:p>
      <w:pPr>
        <w:ind w:left="920" w:right="20" w:firstLine="421"/>
        <w:spacing w:after="0" w:line="277" w:lineRule="auto"/>
        <w:tabs>
          <w:tab w:leader="none" w:pos="164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shall not have any duty to ascertain or to inquire as to the performance or observance of any provision of any Loan Document, whether any condition set forth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131" w:name="page132"/>
    <w:bookmarkEnd w:id="131"/>
    <w:p>
      <w:pPr>
        <w:ind w:left="920"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Document is satisfied or waived, as to the financial condition of any Credit Party or as to the existence or continuation or possible occurrence or continuation of any Default or Event of Default and shall not be deemed to have notice or knowledge of such occurrence or continuation unless it has received a notice from the Borrower or any Secured Party describing such Default or Event of Default clearly labeled “notice of default” (in which case Agent shall promptly give notice of such receipt to all Lenders); and</w:t>
      </w:r>
    </w:p>
    <w:p>
      <w:pPr>
        <w:spacing w:after="0" w:line="63" w:lineRule="exact"/>
        <w:rPr>
          <w:sz w:val="20"/>
          <w:szCs w:val="20"/>
          <w:color w:val="auto"/>
        </w:rPr>
      </w:pPr>
    </w:p>
    <w:p>
      <w:pPr>
        <w:ind w:left="920" w:right="60" w:firstLine="421"/>
        <w:spacing w:after="0" w:line="257" w:lineRule="auto"/>
        <w:tabs>
          <w:tab w:leader="none" w:pos="15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shall not be responsible or have any liability for, or have any duty to ascertain, inquire into, monitor or enforce, compliance with the provisions hereof relating to Disqualified Institutions. Without limiting the generality of the foregoing,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and, for each of the items set forth in clauses (i) through (iv) above, each Secured Party, Holdings and the Borrower hereby waive and agree not to assert (and each of Holdings and the Borrower shall cause each other Credit Party to waive and agree not to assert) any right, claim or cause of action it might have against Agent based thereon.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Agent Individually</w:t>
      </w:r>
      <w:r>
        <w:rPr>
          <w:rFonts w:ascii="Arial" w:cs="Arial" w:eastAsia="Arial" w:hAnsi="Arial"/>
          <w:sz w:val="17"/>
          <w:szCs w:val="17"/>
          <w:color w:val="auto"/>
        </w:rPr>
        <w:t>. Agent and its Affiliates may make loans and other extensions of credit to, acquire Stock of, engage in any kind of business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with, any Credit Party or Affiliate thereof as though it were not acting as Agent and may receive separate fees and other payments therefor.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or any of its Affiliates makes any Loan or otherwise becomes a Lender hereunder, it shall have and may exercise the same rights and powers hereunder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shall be subject to the same obligations and liabilities as any other Lender and the terms “</w:t>
      </w:r>
      <w:r>
        <w:rPr>
          <w:rFonts w:ascii="Arial" w:cs="Arial" w:eastAsia="Arial" w:hAnsi="Arial"/>
          <w:sz w:val="17"/>
          <w:szCs w:val="17"/>
          <w:b w:val="1"/>
          <w:bCs w:val="1"/>
          <w:color w:val="auto"/>
        </w:rPr>
        <w:t>Lender</w:t>
      </w:r>
      <w:r>
        <w:rPr>
          <w:rFonts w:ascii="Arial" w:cs="Arial" w:eastAsia="Arial" w:hAnsi="Arial"/>
          <w:sz w:val="17"/>
          <w:szCs w:val="17"/>
          <w:color w:val="auto"/>
        </w:rPr>
        <w:t>”, “</w:t>
      </w:r>
      <w:r>
        <w:rPr>
          <w:rFonts w:ascii="Arial" w:cs="Arial" w:eastAsia="Arial" w:hAnsi="Arial"/>
          <w:sz w:val="17"/>
          <w:szCs w:val="17"/>
          <w:b w:val="1"/>
          <w:bCs w:val="1"/>
          <w:color w:val="auto"/>
        </w:rPr>
        <w:t>Revolving Lender</w:t>
      </w:r>
      <w:r>
        <w:rPr>
          <w:rFonts w:ascii="Arial" w:cs="Arial" w:eastAsia="Arial" w:hAnsi="Arial"/>
          <w:sz w:val="17"/>
          <w:szCs w:val="17"/>
          <w:color w:val="auto"/>
        </w:rPr>
        <w:t>”, “</w:t>
      </w:r>
      <w:r>
        <w:rPr>
          <w:rFonts w:ascii="Arial" w:cs="Arial" w:eastAsia="Arial" w:hAnsi="Arial"/>
          <w:sz w:val="17"/>
          <w:szCs w:val="17"/>
          <w:b w:val="1"/>
          <w:bCs w:val="1"/>
          <w:color w:val="auto"/>
        </w:rPr>
        <w:t>Required Lender</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Revolving Lender</w:t>
      </w:r>
      <w:r>
        <w:rPr>
          <w:rFonts w:ascii="Arial" w:cs="Arial" w:eastAsia="Arial" w:hAnsi="Arial"/>
          <w:sz w:val="16"/>
          <w:szCs w:val="16"/>
          <w:color w:val="auto"/>
        </w:rPr>
        <w:t>”, “</w:t>
      </w:r>
      <w:r>
        <w:rPr>
          <w:rFonts w:ascii="Arial" w:cs="Arial" w:eastAsia="Arial" w:hAnsi="Arial"/>
          <w:sz w:val="16"/>
          <w:szCs w:val="16"/>
          <w:b w:val="1"/>
          <w:bCs w:val="1"/>
          <w:color w:val="auto"/>
        </w:rPr>
        <w:t>Term Lender</w:t>
      </w:r>
      <w:r>
        <w:rPr>
          <w:rFonts w:ascii="Arial" w:cs="Arial" w:eastAsia="Arial" w:hAnsi="Arial"/>
          <w:sz w:val="16"/>
          <w:szCs w:val="16"/>
          <w:color w:val="auto"/>
        </w:rPr>
        <w:t>” “</w:t>
      </w:r>
      <w:r>
        <w:rPr>
          <w:rFonts w:ascii="Arial" w:cs="Arial" w:eastAsia="Arial" w:hAnsi="Arial"/>
          <w:sz w:val="16"/>
          <w:szCs w:val="16"/>
          <w:b w:val="1"/>
          <w:bCs w:val="1"/>
          <w:color w:val="auto"/>
        </w:rPr>
        <w:t>Required Term Lender</w:t>
      </w:r>
      <w:r>
        <w:rPr>
          <w:rFonts w:ascii="Arial" w:cs="Arial" w:eastAsia="Arial" w:hAnsi="Arial"/>
          <w:sz w:val="16"/>
          <w:szCs w:val="16"/>
          <w:color w:val="auto"/>
        </w:rPr>
        <w:t>” and any similar terms shall, except where otherwise expressly provided in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Document, include Agent or such Affiliate, as the case may be, in its individual capacity as Lender, Revolving Lender, one of the Required Lenders,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Lenders or one of the Required Revolving Lenders, respectively.</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Lender Credit Decision</w:t>
      </w:r>
      <w:r>
        <w:rPr>
          <w:rFonts w:ascii="Arial" w:cs="Arial" w:eastAsia="Arial" w:hAnsi="Arial"/>
          <w:sz w:val="17"/>
          <w:szCs w:val="17"/>
          <w:color w:val="auto"/>
        </w:rPr>
        <w:t>. Each Secured Party acknowledges that it shall, independently and without reliance upon Agent, any other Secured Party or any of their Related Persons or upon any document (including any offering and disclosure materials in connection with the syndication of the Loans) solely or in part because such document was transmitted by Agent or any of its Related Persons, conduct its own independent investigation of the financial condition and affairs of each Credit Party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Agent to the Lenders or L/C Issuers, Agent shall not have any duty or responsibility to provide any Secured Party with any credit or other information concerning the business, prospects, operations, Property, financial and other condition or creditworthiness of any Credit Party or any Affiliate of any Credit Party that may come in to the possession of Agent or any of its Related Persons.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Expenses; Indemnities; Withholding.</w:t>
      </w:r>
    </w:p>
    <w:p>
      <w:pPr>
        <w:spacing w:after="0" w:line="225" w:lineRule="exact"/>
        <w:rPr>
          <w:sz w:val="20"/>
          <w:szCs w:val="20"/>
          <w:color w:val="auto"/>
        </w:rPr>
      </w:pPr>
    </w:p>
    <w:p>
      <w:pPr>
        <w:ind w:right="60" w:firstLine="464"/>
        <w:spacing w:after="0" w:line="302" w:lineRule="auto"/>
        <w:tabs>
          <w:tab w:leader="none" w:pos="701"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Lender agrees to reimburse Agent and each of its Related Persons (to the extent not reimbursed by any Credit Party) promptly upon demand, severally and ratably, for any costs and expenses (including fees, charges and disbursements of financial, legal and other advisors and Other Taxes paid in the name of, or on behalf of, any Credit Party) that may be incurred by Agent or any of its Related Persons in connection with the preparation, syndication, execution, delivery, administration, modification, consent, waiver or enforcement of, or the taking of any other action (whether through negotiations,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132" w:name="page133"/>
    <w:bookmarkEnd w:id="132"/>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through any work-out, bankruptcy, restructuring or other legal or other proceeding (including preparation for and/or response to any subpoena or request for document production relating thereto) or otherwise) in respect of, or legal advice with respect to, its rights or responsibilities under, any Loan Document.</w:t>
      </w:r>
    </w:p>
    <w:p>
      <w:pPr>
        <w:spacing w:after="0" w:line="124" w:lineRule="exact"/>
        <w:rPr>
          <w:sz w:val="20"/>
          <w:szCs w:val="20"/>
          <w:color w:val="auto"/>
        </w:rPr>
      </w:pPr>
    </w:p>
    <w:p>
      <w:pPr>
        <w:ind w:right="80" w:firstLine="464"/>
        <w:spacing w:after="0" w:line="287" w:lineRule="auto"/>
        <w:tabs>
          <w:tab w:leader="none" w:pos="71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Each Lender further agrees to indemnify Agent, each L/C Issuer and each of their respective Related Persons (to the extent not reimbursed by any Credit Party), severally and ratably, from and against Liabilities (including, to the extent not indemnified pursuant to </w:t>
      </w:r>
      <w:r>
        <w:rPr>
          <w:rFonts w:ascii="Arial" w:cs="Arial" w:eastAsia="Arial" w:hAnsi="Arial"/>
          <w:sz w:val="16"/>
          <w:szCs w:val="16"/>
          <w:u w:val="single" w:color="auto"/>
          <w:color w:val="auto"/>
        </w:rPr>
        <w:t>Section 9.8(c)</w:t>
      </w:r>
      <w:r>
        <w:rPr>
          <w:rFonts w:ascii="Arial" w:cs="Arial" w:eastAsia="Arial" w:hAnsi="Arial"/>
          <w:sz w:val="16"/>
          <w:szCs w:val="16"/>
          <w:color w:val="auto"/>
        </w:rPr>
        <w:t>, Taxes, interests and penalties imposed for not properly withholding or backup withholding on payments made to or for the account of any Lender) that may be imposed on, incurred by or asserted against Agent, any L/C Issuer or any of their respective Related Persons in any matter relating to or arising out of, in connection with or as a result of any Loan Document, any Related Document, any Letter of Credit or any other act, event or transaction related, contemplated in or attendant to any such document, or, in each case, any action taken or omitted to be taken by Agent, any L/C Issuer or any of their respective Related Persons under or with respect to any of the foregoing; provided, that with respect to any indemnification owed to any L/C Issuer or any of its Related Persons in connection with any Letter of Credit, only Revolving Lenders shall be required to indemnify, such indemnification to be made severally and ratably based on such Revolving Lender’s Commitment Percentage of the Aggregate Revolving Loan Commitment (determined as of the time the applicable indemnification is sought by such L/C Issuer or Related Person from the Revolving Lenders); provided, further, that no Lender shall be liable to Agent or any of its Related Persons to the extent such liability has resulted primarily from the gross negligence or willful misconduct of Agent or, as the case may be, such Related Person, as determined by a court of competent jurisdiction in a final non-appealable judgment or order.</w:t>
      </w:r>
    </w:p>
    <w:p>
      <w:pPr>
        <w:spacing w:after="0" w:line="168" w:lineRule="exact"/>
        <w:rPr>
          <w:rFonts w:ascii="Arial" w:cs="Arial" w:eastAsia="Arial" w:hAnsi="Arial"/>
          <w:sz w:val="16"/>
          <w:szCs w:val="16"/>
          <w:color w:val="auto"/>
        </w:rPr>
      </w:pPr>
    </w:p>
    <w:p>
      <w:pPr>
        <w:ind w:right="20" w:firstLine="464"/>
        <w:spacing w:after="0" w:line="269" w:lineRule="auto"/>
        <w:tabs>
          <w:tab w:leader="none" w:pos="70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To the extent required by any Requirement of Law, Agent may withhold from any payment to any Lender under a Loan Document an amount equal to any applicable withholding Tax (including withholding Taxes imposed under Chapters 3 and 4 of Subtitle A of the Code). If the IRS or any other Governmental Authority asserts a claim that Agent did not properly withhold Tax from amounts paid to or for the account of any Lender (because the appropriate certification form was not delivered, was not properly executed, or fails to establish an exemption from, or reduction of, withholding Tax with respect to a particular type of payment, or because such Lender failed to notify Agent or any other Person of a change in circumstances which rendered the exemption from, or reduction of, withholding Tax ineffective, failed to maintain a Participant Register or for any other reason), or Agent reasonably determines that it was required to withhold Taxes from a prior payment but failed to do so, such Lender shall promptly indemnify Agent fully for all amounts paid, directly or indirectly, by Agent as Tax or otherwise, including penalties and interest, and together with all expenses incurred by Agent, including legal expenses, allocated internal costs and out-of-pocket expenses. Agent may offset against any payment to any Lender under a Loan Document, any applicable withholding Tax that was required to be withheld from any prior payment to such Lender but which was not so withheld, as well as any other amounts for which Agent is entitled to indemnification from such Lender under this </w:t>
      </w:r>
      <w:r>
        <w:rPr>
          <w:rFonts w:ascii="Arial" w:cs="Arial" w:eastAsia="Arial" w:hAnsi="Arial"/>
          <w:sz w:val="17"/>
          <w:szCs w:val="17"/>
          <w:u w:val="single" w:color="auto"/>
          <w:color w:val="auto"/>
        </w:rPr>
        <w:t>Section 9.8(c)</w:t>
      </w:r>
      <w:r>
        <w:rPr>
          <w:rFonts w:ascii="Arial" w:cs="Arial" w:eastAsia="Arial" w:hAnsi="Arial"/>
          <w:sz w:val="17"/>
          <w:szCs w:val="17"/>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Resignation of Agent or L/C Issuer.</w:t>
      </w:r>
    </w:p>
    <w:p>
      <w:pPr>
        <w:spacing w:after="0" w:line="225" w:lineRule="exact"/>
        <w:rPr>
          <w:sz w:val="20"/>
          <w:szCs w:val="20"/>
          <w:color w:val="auto"/>
        </w:rPr>
      </w:pPr>
    </w:p>
    <w:p>
      <w:pPr>
        <w:ind w:firstLine="464"/>
        <w:spacing w:after="0" w:line="293" w:lineRule="auto"/>
        <w:tabs>
          <w:tab w:leader="none" w:pos="70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Agent may resign at any time by delivering notice of such resignation to the Lenders and the Borrower, effective on the date set forth in such notice or, if no such date is set forth therein, upon the date such notice shall be effective in accordance with the terms of this </w:t>
      </w:r>
      <w:r>
        <w:rPr>
          <w:rFonts w:ascii="Arial" w:cs="Arial" w:eastAsia="Arial" w:hAnsi="Arial"/>
          <w:sz w:val="16"/>
          <w:szCs w:val="16"/>
          <w:u w:val="single" w:color="auto"/>
          <w:color w:val="auto"/>
        </w:rPr>
        <w:t>Section 9.9</w:t>
      </w:r>
      <w:r>
        <w:rPr>
          <w:rFonts w:ascii="Arial" w:cs="Arial" w:eastAsia="Arial" w:hAnsi="Arial"/>
          <w:sz w:val="16"/>
          <w:szCs w:val="16"/>
          <w:color w:val="auto"/>
        </w:rPr>
        <w:t>. If Agent delivers any such notice, the Required Lenders shall have the right to appoint a successor Agent. If, after 30 days after the date of the retiring Agent’s notice of resignation, no successor Agent has been appointed by the Required Lenders that has accepted such appointment, then the retiring Agent may, on behalf of the Lenders, appoint a successor Agent from among the Lenders. Each appointment under this clause (a) (other than an appointment by Agent) shall be subject to the prior consent of the Borrower, which may not be unreasonably withheld but shall not be required during the continuance of an Event of Default.</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Effective immediately upon its resignation, (i) the retiring Agent shall be discharged from its duties and obligations under the Loan Documents,</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Lenders shall assume and perform all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274" w:right="299" w:bottom="1440" w:gutter="0" w:footer="0" w:header="0"/>
        </w:sectPr>
      </w:pPr>
    </w:p>
    <w:bookmarkStart w:id="133" w:name="page134"/>
    <w:bookmarkEnd w:id="1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duties of Agent until a successor Agent shall have accepted a valid appointment hereunder, (iii) the retiring Agent and its Related Persons shall no longer have the benefit of any provision of any Loan Document other than with respect to any actions taken or omitted to be taken while such retiring Agent was, or because such Agent had been, validly acting as Agent under the Loan Documents and (iv) subject to its rights under </w:t>
      </w:r>
      <w:r>
        <w:rPr>
          <w:rFonts w:ascii="Arial" w:cs="Arial" w:eastAsia="Arial" w:hAnsi="Arial"/>
          <w:sz w:val="18"/>
          <w:szCs w:val="18"/>
          <w:u w:val="single" w:color="auto"/>
          <w:color w:val="auto"/>
        </w:rPr>
        <w:t>Section 9.3</w:t>
      </w:r>
      <w:r>
        <w:rPr>
          <w:rFonts w:ascii="Arial" w:cs="Arial" w:eastAsia="Arial" w:hAnsi="Arial"/>
          <w:sz w:val="18"/>
          <w:szCs w:val="18"/>
          <w:color w:val="auto"/>
        </w:rPr>
        <w:t>, the retiring Agent shall take such action as may be reasonably necessary to assign to the successor Agent its rights as Agent under the Loan Documents. Effective immediately upon its acceptance of a valid appointment as Agent, a successor Agent shall succeed to, and become vested with, all the rights, powers, privileges and duties of the retiring Agent under the Loan Documents.</w:t>
      </w:r>
    </w:p>
    <w:p>
      <w:pPr>
        <w:spacing w:after="0" w:line="193" w:lineRule="exact"/>
        <w:rPr>
          <w:sz w:val="20"/>
          <w:szCs w:val="20"/>
          <w:color w:val="auto"/>
        </w:rPr>
      </w:pPr>
    </w:p>
    <w:p>
      <w:pPr>
        <w:jc w:val="both"/>
        <w:ind w:right="20" w:firstLine="464"/>
        <w:spacing w:after="0" w:line="276" w:lineRule="auto"/>
        <w:tabs>
          <w:tab w:leader="none" w:pos="70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L/C Issuer may resign at any time by delivering notice of such resignation to Agent, effective on the date set forth in such notice or, if no such date is set forth therein, on the date such notice shall be effective. Upon such resignation, the L/C Issuer shall remain an L/C Issuer and shall retain its rights and obligations in its capacity as such (other than any obligation to Issue Letters of Credit but including the right to receive fees or to have Lenders participate in any L/C Reimbursement Obligation thereof) with respect to Letters of Credit Issued by such L/C Issuer on or prior to the date of such resignation and shall otherwise be discharged from all other duties and obligations under the Loan Documents.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Release of Collateral or Guarantors</w:t>
      </w:r>
      <w:r>
        <w:rPr>
          <w:rFonts w:ascii="Arial" w:cs="Arial" w:eastAsia="Arial" w:hAnsi="Arial"/>
          <w:sz w:val="16"/>
          <w:szCs w:val="16"/>
          <w:color w:val="auto"/>
        </w:rPr>
        <w:t xml:space="preserve">. Each Lender hereby consents to the release and hereby directs Agent to release (or, in the case of </w:t>
      </w:r>
      <w:r>
        <w:rPr>
          <w:rFonts w:ascii="Arial" w:cs="Arial" w:eastAsia="Arial" w:hAnsi="Arial"/>
          <w:sz w:val="16"/>
          <w:szCs w:val="16"/>
          <w:u w:val="single" w:color="auto"/>
          <w:color w:val="auto"/>
        </w:rPr>
        <w:t>clause (b)(ii)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 release or subordinate) the following:</w:t>
      </w:r>
    </w:p>
    <w:p>
      <w:pPr>
        <w:spacing w:after="0" w:line="211" w:lineRule="exact"/>
        <w:rPr>
          <w:sz w:val="20"/>
          <w:szCs w:val="20"/>
          <w:color w:val="auto"/>
        </w:rPr>
      </w:pPr>
    </w:p>
    <w:p>
      <w:pPr>
        <w:ind w:left="700" w:hanging="236"/>
        <w:spacing w:after="0"/>
        <w:tabs>
          <w:tab w:leader="none" w:pos="70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Restricted Subsidiary of the Borrower from its guaranty of any Obligation if (i) such Restricted Subsidiary becomes an Excluded Subsidiary or</w:t>
      </w:r>
    </w:p>
    <w:p>
      <w:pPr>
        <w:spacing w:after="0" w:line="46" w:lineRule="exact"/>
        <w:rPr>
          <w:rFonts w:ascii="Arial" w:cs="Arial" w:eastAsia="Arial" w:hAnsi="Arial"/>
          <w:sz w:val="16"/>
          <w:szCs w:val="16"/>
          <w:color w:val="auto"/>
        </w:rPr>
      </w:pPr>
    </w:p>
    <w:p>
      <w:pPr>
        <w:ind w:right="300" w:firstLine="8"/>
        <w:spacing w:after="0" w:line="255" w:lineRule="auto"/>
        <w:tabs>
          <w:tab w:leader="none" w:pos="2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all of the Stock of such Restricted Subsidiary owned by any Credit Party is sold or transferred in a transaction permitted under the Loan Documents (including pursuant to a waiver or consent), to the extent that, after giving effect to such transaction, such Restricted Subsidiary would, in each case not be required to guaranty any Obligations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and</w:t>
      </w:r>
    </w:p>
    <w:p>
      <w:pPr>
        <w:spacing w:after="0" w:line="190" w:lineRule="exact"/>
        <w:rPr>
          <w:rFonts w:ascii="Arial" w:cs="Arial" w:eastAsia="Arial" w:hAnsi="Arial"/>
          <w:sz w:val="18"/>
          <w:szCs w:val="18"/>
          <w:color w:val="auto"/>
        </w:rPr>
      </w:pPr>
    </w:p>
    <w:p>
      <w:pPr>
        <w:ind w:right="100" w:firstLine="464"/>
        <w:spacing w:after="0" w:line="293" w:lineRule="auto"/>
        <w:tabs>
          <w:tab w:leader="none" w:pos="71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any Lien held by Agent for the benefit of the Secured Parties against (i) any Collateral that is (x) sold, transferred, conveyed or otherwise disposed of by a Credit Party in a transaction permitted by the Loan Documents (including pursuant to a valid waiver or consent) or (y) held by a Credit Party that becomes an Excluded Subsidiary, in each case, to the extent all Liens required to be granted in such Collateral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after giving effect to such transaction have been granted, (ii) any Property subject to a Lien permitted hereunder in reliance upon </w:t>
      </w:r>
      <w:r>
        <w:rPr>
          <w:rFonts w:ascii="Arial" w:cs="Arial" w:eastAsia="Arial" w:hAnsi="Arial"/>
          <w:sz w:val="16"/>
          <w:szCs w:val="16"/>
          <w:u w:val="single" w:color="auto"/>
          <w:color w:val="auto"/>
        </w:rPr>
        <w:t>Section 6.1(h)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6.1(i)</w:t>
      </w:r>
      <w:r>
        <w:rPr>
          <w:rFonts w:ascii="Arial" w:cs="Arial" w:eastAsia="Arial" w:hAnsi="Arial"/>
          <w:sz w:val="16"/>
          <w:szCs w:val="16"/>
          <w:color w:val="auto"/>
        </w:rPr>
        <w:t xml:space="preserve"> and (iii) all of the Collateral and all Credit Parties, upon (A) the occurrence of the Facility Termination Date and (B) to the extent requested by Agent, receipt by Agent and the Secured Parties of liability releases from the Credit Parties each in form and substance reasonably acceptable to Agent.</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Each Lender hereby directs Agent, and Agent hereby agrees, upon receipt of reasonable advance notice from the Borrower, to execute and deliver or file such documents and to perform other actions reasonably necessary at the Borrower’s expense to release the guaranties and Liens when and as directed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Additional Secured Parties</w:t>
      </w:r>
      <w:r>
        <w:rPr>
          <w:rFonts w:ascii="Arial" w:cs="Arial" w:eastAsia="Arial" w:hAnsi="Arial"/>
          <w:sz w:val="17"/>
          <w:szCs w:val="17"/>
          <w:color w:val="auto"/>
        </w:rPr>
        <w:t xml:space="preserve">. The benefit of the provisions of the Loan Documents directly relating to the Collateral or any Lien granted thereunder shall extend to and be available to any Secured Party that is not a Lender or L/C Issuer party hereto as long as, by accepting such benefits, such Secured Party agrees, as among Agent and all other Secured Parties, that such Secured Party is bound by (and, if requested by Agent, shall confirm such agreement in a writing in form and substance acceptable to Agent)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10.17</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solely with respect to L/C Issuers, </w:t>
      </w:r>
      <w:r>
        <w:rPr>
          <w:rFonts w:ascii="Arial" w:cs="Arial" w:eastAsia="Arial" w:hAnsi="Arial"/>
          <w:sz w:val="17"/>
          <w:szCs w:val="17"/>
          <w:u w:val="single" w:color="auto"/>
          <w:color w:val="auto"/>
        </w:rPr>
        <w:t>Section 2.1(c)</w:t>
      </w:r>
      <w:r>
        <w:rPr>
          <w:rFonts w:ascii="Arial" w:cs="Arial" w:eastAsia="Arial" w:hAnsi="Arial"/>
          <w:sz w:val="17"/>
          <w:szCs w:val="17"/>
          <w:color w:val="auto"/>
        </w:rPr>
        <w:t>), all terms and provisions contained herein applicable to Secured Swap Providers or Secured Cash Management Banks, as applicable, and the decisions and actions of Agent and the Required Lenders (or, where expressly required by the terms of this Agreement, a greater proportion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Lenders or other parties hereto as required herein) to the same extent a Lender is bound; provided, however, that, notwithstanding the foregoing,</w:t>
      </w:r>
    </w:p>
    <w:p>
      <w:pPr>
        <w:spacing w:after="0" w:line="35" w:lineRule="exact"/>
        <w:rPr>
          <w:sz w:val="20"/>
          <w:szCs w:val="20"/>
          <w:color w:val="auto"/>
        </w:rPr>
      </w:pPr>
    </w:p>
    <w:p>
      <w:pPr>
        <w:ind w:firstLine="8"/>
        <w:spacing w:after="0" w:line="281" w:lineRule="auto"/>
        <w:tabs>
          <w:tab w:leader="none" w:pos="24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such Secured Party shall be bound by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(b) each of Agent, the Lenders and the L/C Issuers party hereto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w:t>
      </w:r>
    </w:p>
    <w:p>
      <w:pPr>
        <w:spacing w:after="0" w:line="3" w:lineRule="exact"/>
        <w:rPr>
          <w:rFonts w:ascii="Arial" w:cs="Arial" w:eastAsia="Arial" w:hAnsi="Arial"/>
          <w:sz w:val="16"/>
          <w:szCs w:val="16"/>
          <w:color w:val="auto"/>
        </w:rPr>
      </w:pPr>
    </w:p>
    <w:p>
      <w:pPr>
        <w:ind w:right="300" w:firstLine="8"/>
        <w:spacing w:after="0" w:line="261" w:lineRule="auto"/>
        <w:tabs>
          <w:tab w:leader="none" w:pos="2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except as otherwise set forth herein, such Secured Party shall not have any right to be notified of, consent to, direct, require or be heard with respect to, any action taken or omitted in respect of the Collateral or under any Loan Document.</w:t>
      </w:r>
    </w:p>
    <w:p>
      <w:pPr>
        <w:spacing w:after="0" w:line="18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Additional Titles</w:t>
      </w:r>
      <w:r>
        <w:rPr>
          <w:rFonts w:ascii="Arial" w:cs="Arial" w:eastAsia="Arial" w:hAnsi="Arial"/>
          <w:sz w:val="17"/>
          <w:szCs w:val="17"/>
          <w:color w:val="auto"/>
        </w:rPr>
        <w:t>. Notwithstanding any provision to the contrary contained elsewhere in this Agreement or in any other Loan Document, Capital One, National Association, Bank Of The West, Compass Bank, Fifth Third Bank and JPMorgan Chase Bank, N.A. and SunTrust Robinson Humphrey (collectively in their capacities as joint lead arrangers, the “</w:t>
      </w:r>
      <w:r>
        <w:rPr>
          <w:rFonts w:ascii="Arial" w:cs="Arial" w:eastAsia="Arial" w:hAnsi="Arial"/>
          <w:sz w:val="17"/>
          <w:szCs w:val="17"/>
          <w:b w:val="1"/>
          <w:bCs w:val="1"/>
          <w:color w:val="auto"/>
        </w:rPr>
        <w:t>Lead Arrangers</w:t>
      </w:r>
      <w:r>
        <w:rPr>
          <w:rFonts w:ascii="Arial" w:cs="Arial" w:eastAsia="Arial" w:hAnsi="Arial"/>
          <w:sz w:val="17"/>
          <w:szCs w:val="17"/>
          <w:color w:val="auto"/>
        </w:rPr>
        <w:t>”), Bank Of The West, Compass Bank, Fifth Third Bank and JPMorgan Chase Bank, N.A. (collectively in their capacities as co-syndication agents, the “</w:t>
      </w:r>
      <w:r>
        <w:rPr>
          <w:rFonts w:ascii="Arial" w:cs="Arial" w:eastAsia="Arial" w:hAnsi="Arial"/>
          <w:sz w:val="17"/>
          <w:szCs w:val="17"/>
          <w:b w:val="1"/>
          <w:bCs w:val="1"/>
          <w:color w:val="auto"/>
        </w:rPr>
        <w:t>Syndication Agents</w:t>
      </w:r>
      <w:r>
        <w:rPr>
          <w:rFonts w:ascii="Arial" w:cs="Arial" w:eastAsia="Arial" w:hAnsi="Arial"/>
          <w:sz w:val="17"/>
          <w:szCs w:val="17"/>
          <w:color w:val="auto"/>
        </w:rPr>
        <w:t>”) and SunTrust Bank, in its capacity as Documentation Agent (in such capacity, the “</w:t>
      </w:r>
      <w:r>
        <w:rPr>
          <w:rFonts w:ascii="Arial" w:cs="Arial" w:eastAsia="Arial" w:hAnsi="Arial"/>
          <w:sz w:val="17"/>
          <w:szCs w:val="17"/>
          <w:b w:val="1"/>
          <w:bCs w:val="1"/>
          <w:color w:val="auto"/>
        </w:rPr>
        <w:t>Documentation Agent</w:t>
      </w:r>
      <w:r>
        <w:rPr>
          <w:rFonts w:ascii="Arial" w:cs="Arial" w:eastAsia="Arial" w:hAnsi="Arial"/>
          <w:sz w:val="17"/>
          <w:szCs w:val="17"/>
          <w:color w:val="auto"/>
        </w:rPr>
        <w:t>”) shall not have any duties or responsibilities, nor shall any of the Lead Arrangers, the Syndication Agents or the Documentation Agent have or be deemed to have any fiduciary relationship with any Lender, and no implied covenants, functions, responsibilities, duties, obligations or liabilities shall be read into this Agreement or any other Loan Document or otherwise exist against any of the Lead Arrangers, the Syndication Agents or the Documentation Agent.</w:t>
      </w:r>
    </w:p>
    <w:p>
      <w:pPr>
        <w:spacing w:after="0" w:line="17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Credit Bid</w:t>
      </w:r>
      <w:r>
        <w:rPr>
          <w:rFonts w:ascii="Arial" w:cs="Arial" w:eastAsia="Arial" w:hAnsi="Arial"/>
          <w:sz w:val="17"/>
          <w:szCs w:val="17"/>
          <w:color w:val="auto"/>
        </w:rPr>
        <w:t>. Each of the Lenders hereby irrevocably authorizes (and by entering into a Secured Rate Contract or Secured Cash Management Agreement, each Secured Swap Provider or Secured Cash Management Bank, as the case may be, hereby authorizes and shall be deemed to authorize) Agent, on behalf of all Secured Parties to take any of the following actions upon the instruction of the Required Lenders:</w:t>
      </w:r>
    </w:p>
    <w:p>
      <w:pPr>
        <w:spacing w:after="0" w:line="166" w:lineRule="exact"/>
        <w:rPr>
          <w:sz w:val="20"/>
          <w:szCs w:val="20"/>
          <w:color w:val="auto"/>
        </w:rPr>
      </w:pPr>
    </w:p>
    <w:p>
      <w:pPr>
        <w:ind w:right="720" w:firstLine="464"/>
        <w:spacing w:after="0" w:line="277"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consent to the Disposition of all or any portion of the Collateral free and clear of the Liens securing the Obligations in connection with any Disposition pursuant to the applicable provisions of the Bankruptcy Code, including Section 363 thereof;</w:t>
      </w:r>
    </w:p>
    <w:p>
      <w:pPr>
        <w:spacing w:after="0" w:line="170" w:lineRule="exact"/>
        <w:rPr>
          <w:rFonts w:ascii="Arial" w:cs="Arial" w:eastAsia="Arial" w:hAnsi="Arial"/>
          <w:sz w:val="18"/>
          <w:szCs w:val="18"/>
          <w:color w:val="auto"/>
        </w:rPr>
      </w:pPr>
    </w:p>
    <w:p>
      <w:pPr>
        <w:jc w:val="both"/>
        <w:ind w:right="100"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Bankruptcy Code, including under Section 363 thereof;</w:t>
      </w:r>
    </w:p>
    <w:p>
      <w:pPr>
        <w:spacing w:after="0" w:line="181" w:lineRule="exact"/>
        <w:rPr>
          <w:rFonts w:ascii="Arial" w:cs="Arial" w:eastAsia="Arial" w:hAnsi="Arial"/>
          <w:sz w:val="18"/>
          <w:szCs w:val="18"/>
          <w:color w:val="auto"/>
        </w:rPr>
      </w:pPr>
    </w:p>
    <w:p>
      <w:pPr>
        <w:ind w:right="180" w:firstLine="464"/>
        <w:spacing w:after="0" w:line="264"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including pursuant to Sections 9-610 or 9-620 of the UCC;</w:t>
      </w:r>
    </w:p>
    <w:p>
      <w:pPr>
        <w:spacing w:after="0" w:line="181"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estimate the amount of any contingent or unliquidated Obligations of such Lender or other Secured Party;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it being understood that no Lender shall be required to fund any amount (other than by means of offset) in connection with any purchase of all or any portion of the Collateral by Agent pursuant to the foregoing clauses (b), (c) or (d) without its prior written consent.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35" w:name="page136"/>
    <w:bookmarkEnd w:id="135"/>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Secured Party agrees that Agent is under no obligation to credit bid any part of the Obligations or to purchase or retain or acquire any portion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credit bid or purchase described under clauses (b), (c) or (d) of the preceding paragraph, the Obligations owed to all of the Secured Parties (other than with respect to contingent or unliquidated liabilities as set forth in the next succeeding paragraph) may be, and shall be, credit bid by Agent on a ratable basis.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With respect to each contingent or unliquidated claim that is an Obligation, Agent is hereby authorized, but is not required, to estimate the amount thereof for purposes of any credit bid or purchase described in the second preceding paragraph so long as the estimation of the amount or liquidation of such claim would not unduly delay the ability of Agent to credit bid the Obligations or purchase the Collateral in the relevant Disposition. In the event that Agent, in its sole and absolute discretion, elects not to estimate any such contingent or unliquidated claim or any such claim cannot be estimated without unduly delaying the ability of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8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Each Secured Party whose Obligations are credit bid under clauses (b), (c) or (d) of the third preceding paragraph shall be entitled to receive interests in the Collateral or any other asset acquired in connection with such credit bid (or in the Stock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3" w:lineRule="auto"/>
        <w:tabs>
          <w:tab w:leader="none" w:pos="701"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Amendments Generally</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10.1(e)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hereof, no amendment or waiver of, or supplement or other modification (which shall include any direction to Agent pursuant) to, any Loan Document (other than the Fee Letter, any Control Agreement, any Mortgage, or any letter of credit reimbursement or similar agreement or any landlord, bailee or mortgagee agreement) or any provision thereof, and no consent with respect to any departure by any Credit Party from any such Loan Documents, shall be effective unless the same shall be in writing and signed by the Required Lenders (or by Agent with the consent of the Required Lenders), and the Borrower and then such waiver shall be effective only in the specific instance and for the specific purpose for which given; provided, however, that no such waiver, amendment, supplement (including any additional Loan Document) or consent shall, unless in writing and signed by all the Lenders directly and adversely affected thereby (or by Agent with the consent of all the Lenders directly and adversely affected thereby), in addition to the Required Lenders (or by Agent with the consent of the Required Lenders) and the Borrower, do any of the following:</w:t>
      </w:r>
    </w:p>
    <w:p>
      <w:pPr>
        <w:spacing w:after="0" w:line="89" w:lineRule="exact"/>
        <w:rPr>
          <w:rFonts w:ascii="Arial" w:cs="Arial" w:eastAsia="Arial" w:hAnsi="Arial"/>
          <w:sz w:val="18"/>
          <w:szCs w:val="18"/>
          <w:color w:val="auto"/>
        </w:rPr>
      </w:pPr>
    </w:p>
    <w:p>
      <w:pPr>
        <w:ind w:left="1560" w:hanging="219"/>
        <w:spacing w:after="0"/>
        <w:tabs>
          <w:tab w:leader="none" w:pos="156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increase or extend the Commitment of such Lender (or reinstate any Commitment terminated pursuant to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77" w:lineRule="auto"/>
        <w:tabs>
          <w:tab w:leader="none" w:pos="1605"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postpone or delay any date fixed for, or reduce or waive, any scheduled installment of principal or any payment of interest, fees or other amounts (other than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136" w:name="page137"/>
    <w:bookmarkEnd w:id="136"/>
    <w:p>
      <w:pPr>
        <w:ind w:left="92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principal) due to the Lenders (or any of them) or L/C Issuer hereunder or under any other Loan Document (for the avoidance of doubt, mandatory prepayments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(other than scheduled installments under </w:t>
      </w:r>
      <w:r>
        <w:rPr>
          <w:rFonts w:ascii="Arial" w:cs="Arial" w:eastAsia="Arial" w:hAnsi="Arial"/>
          <w:sz w:val="18"/>
          <w:szCs w:val="18"/>
          <w:u w:val="single" w:color="auto"/>
          <w:color w:val="auto"/>
        </w:rPr>
        <w:t>Section 2.8(a)</w:t>
      </w:r>
      <w:r>
        <w:rPr>
          <w:rFonts w:ascii="Arial" w:cs="Arial" w:eastAsia="Arial" w:hAnsi="Arial"/>
          <w:sz w:val="18"/>
          <w:szCs w:val="18"/>
          <w:color w:val="auto"/>
        </w:rPr>
        <w:t>) may be postponed, delayed, reduced, waived or modified with the consent of Required Lenders);</w:t>
      </w:r>
    </w:p>
    <w:p>
      <w:pPr>
        <w:spacing w:after="0" w:line="73" w:lineRule="exact"/>
        <w:rPr>
          <w:sz w:val="20"/>
          <w:szCs w:val="20"/>
          <w:color w:val="auto"/>
        </w:rPr>
      </w:pPr>
    </w:p>
    <w:p>
      <w:pPr>
        <w:ind w:left="920" w:right="100" w:firstLine="421"/>
        <w:spacing w:after="0" w:line="264" w:lineRule="auto"/>
        <w:tabs>
          <w:tab w:leader="none" w:pos="1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reduce the principal of, or the rate of interest specified herein (it being agreed that waiver of the default interest margin shall only require the consent of Required Lenders) or the amount of interest payable in cash specified herein on any Loan, or of any fees or other amounts payable hereunder or under any other Loan Document, including L/C Reimbursement Obligations;</w:t>
      </w:r>
    </w:p>
    <w:p>
      <w:pPr>
        <w:spacing w:after="0" w:line="73" w:lineRule="exact"/>
        <w:rPr>
          <w:rFonts w:ascii="Arial" w:cs="Arial" w:eastAsia="Arial" w:hAnsi="Arial"/>
          <w:sz w:val="18"/>
          <w:szCs w:val="18"/>
          <w:color w:val="auto"/>
        </w:rPr>
      </w:pPr>
    </w:p>
    <w:p>
      <w:pPr>
        <w:ind w:left="920" w:right="60" w:firstLine="421"/>
        <w:spacing w:after="0" w:line="276" w:lineRule="auto"/>
        <w:tabs>
          <w:tab w:leader="none" w:pos="164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or (B) advance the date fixed for, or increase, any scheduled installment of principal due to any of the Lenders under any Loan Document;</w:t>
      </w:r>
    </w:p>
    <w:p>
      <w:pPr>
        <w:spacing w:after="0" w:line="64" w:lineRule="exact"/>
        <w:rPr>
          <w:rFonts w:ascii="Arial" w:cs="Arial" w:eastAsia="Arial" w:hAnsi="Arial"/>
          <w:sz w:val="17"/>
          <w:szCs w:val="17"/>
          <w:color w:val="auto"/>
        </w:rPr>
      </w:pPr>
    </w:p>
    <w:p>
      <w:pPr>
        <w:ind w:left="920" w:right="300" w:firstLine="421"/>
        <w:spacing w:after="0" w:line="277" w:lineRule="auto"/>
        <w:tabs>
          <w:tab w:leader="none" w:pos="15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 the percentage of the Commitments or of the aggregate unpaid principal amount of the Loans which shall be required for the Lenders or any of them to take any action hereunder;</w:t>
      </w:r>
    </w:p>
    <w:p>
      <w:pPr>
        <w:spacing w:after="0" w:line="62" w:lineRule="exact"/>
        <w:rPr>
          <w:rFonts w:ascii="Arial" w:cs="Arial" w:eastAsia="Arial" w:hAnsi="Arial"/>
          <w:sz w:val="18"/>
          <w:szCs w:val="18"/>
          <w:color w:val="auto"/>
        </w:rPr>
      </w:pPr>
    </w:p>
    <w:p>
      <w:pPr>
        <w:ind w:left="920" w:right="100" w:firstLine="421"/>
        <w:spacing w:after="0" w:line="277" w:lineRule="auto"/>
        <w:tabs>
          <w:tab w:leader="none" w:pos="16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amend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10.1(c)</w:t>
      </w:r>
      <w:r>
        <w:rPr>
          <w:rFonts w:ascii="Arial" w:cs="Arial" w:eastAsia="Arial" w:hAnsi="Arial"/>
          <w:sz w:val="18"/>
          <w:szCs w:val="18"/>
          <w:color w:val="auto"/>
        </w:rPr>
        <w:t>) or, subject to the terms of this Agreement, the definition of Required Lenders, the definition of Required Revolving Lenders or any provision providing for consent or other action by all Lenders; or</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6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discharge any Credit Party from its respective payment Obligations under the Loan Documents, or release all or substantially all of the Collateral, except as otherwise may be provided in this Agreement or the other Loan Documents;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it being agreed that (X) all Lenders shall be deemed to be directly and adversely affected by an amendment, waiver or supplement described in the preceding </w:t>
      </w:r>
      <w:r>
        <w:rPr>
          <w:rFonts w:ascii="Arial" w:cs="Arial" w:eastAsia="Arial" w:hAnsi="Arial"/>
          <w:sz w:val="18"/>
          <w:szCs w:val="18"/>
          <w:u w:val="single" w:color="auto"/>
          <w:color w:val="auto"/>
        </w:rPr>
        <w:t>clauses (iv)(B</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and (Y) notwithstanding the preceding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only those Lenders that have not been provided a reasonable opportunity, as determined in the good faith judgment of Agent, to receive the most-favorable treatment under or in connection with the applicable amendment, waiver or supplement described in the preceding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w:t>
      </w:r>
    </w:p>
    <w:p>
      <w:pPr>
        <w:spacing w:after="0" w:line="189" w:lineRule="exact"/>
        <w:rPr>
          <w:sz w:val="20"/>
          <w:szCs w:val="20"/>
          <w:color w:val="auto"/>
        </w:rPr>
      </w:pPr>
    </w:p>
    <w:p>
      <w:pPr>
        <w:ind w:firstLine="464"/>
        <w:spacing w:after="0" w:line="272" w:lineRule="auto"/>
        <w:tabs>
          <w:tab w:leader="none" w:pos="711"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Agent, Swing Lender and L/C Issuer.</w:t>
      </w:r>
      <w:r>
        <w:rPr>
          <w:rFonts w:ascii="Arial" w:cs="Arial" w:eastAsia="Arial" w:hAnsi="Arial"/>
          <w:sz w:val="17"/>
          <w:szCs w:val="17"/>
          <w:color w:val="auto"/>
        </w:rPr>
        <w:t xml:space="preserve"> No amendment, waiver or consent shall, unless in writing and signed by Agent, the Swing Lender or the L/C Issuer, as the case may be, in addition to the Required Lenders or all Lenders directly affected thereby, as the case may be (or by Agent with the consent of the Required Lenders or all the Lenders directly affected thereby, as the case may be), affect the rights or duties of Agent, the Swing Lender or the L/C Issuer, as applicable, under this Agreement or any other Loan Document. No amendment, modification or waiver of this Agreement or any Loan Document altering the ratable treatment of Secured Rate Contract Obligations or Secured Cash Management Obligations resulting in such Secured Rate Contract Obligations or Secured Cash Management Obligations being junior in right of payment to principal on the Loans or resulting in such Secured Rate Contract Obligations or Secured Cash Management Obligations becoming unsecured (other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274" w:right="239" w:bottom="1440" w:gutter="0" w:footer="0" w:header="0"/>
        </w:sectPr>
      </w:pPr>
    </w:p>
    <w:bookmarkStart w:id="137" w:name="page138"/>
    <w:bookmarkEnd w:id="137"/>
    <w:p>
      <w:pPr>
        <w:jc w:val="both"/>
        <w:ind w:right="6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releases of Liens applicable to all Lenders permitted in accordance with the terms hereof), in each case in a manner adverse to any Secured Swap Provider or any Secured Cash Management Bank, shall be effective without the written consent of such Secured Swap Provider or such Secured Cash Management Bank, as the case may be.</w:t>
      </w:r>
    </w:p>
    <w:p>
      <w:pPr>
        <w:spacing w:after="0" w:line="181" w:lineRule="exact"/>
        <w:rPr>
          <w:sz w:val="20"/>
          <w:szCs w:val="20"/>
          <w:color w:val="auto"/>
        </w:rPr>
      </w:pPr>
    </w:p>
    <w:p>
      <w:pPr>
        <w:ind w:firstLine="464"/>
        <w:spacing w:after="0" w:line="254" w:lineRule="auto"/>
        <w:tabs>
          <w:tab w:leader="none" w:pos="70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No amendment or waiver shall, unless signed by Required Revolving Lenders (or by Agent with the consent of Required Revolving Lenders) in addition to the Required Lenders (or by Agent with the consent of the Required Lenders) and the Borrower: (i) amend or waive compliance with the conditions precedent to the obligations of Lenders to make any Revolving Loan (or of any L/C Issuer to Issue any Letter of Credit)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or (ii) waive any Default or Event of Default for the purpose of satisfying the conditions precedent to the obligations of Lenders to make any Revolving Loan (or of any L/C Issuer to Issue any Letter of Credit)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No amendment shall: (x) amend or waive this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or the definitions of the terms used in this </w:t>
      </w:r>
      <w:r>
        <w:rPr>
          <w:rFonts w:ascii="Arial" w:cs="Arial" w:eastAsia="Arial" w:hAnsi="Arial"/>
          <w:sz w:val="18"/>
          <w:szCs w:val="18"/>
          <w:u w:val="single" w:color="auto"/>
          <w:color w:val="auto"/>
        </w:rPr>
        <w:t>Section 10.1(c)</w:t>
      </w:r>
      <w:r>
        <w:rPr>
          <w:rFonts w:ascii="Arial" w:cs="Arial" w:eastAsia="Arial" w:hAnsi="Arial"/>
          <w:sz w:val="18"/>
          <w:szCs w:val="18"/>
          <w:color w:val="auto"/>
        </w:rPr>
        <w:t xml:space="preserve"> insofar as the definitions affect the substance of this </w:t>
      </w:r>
      <w:r>
        <w:rPr>
          <w:rFonts w:ascii="Arial" w:cs="Arial" w:eastAsia="Arial" w:hAnsi="Arial"/>
          <w:sz w:val="18"/>
          <w:szCs w:val="18"/>
          <w:u w:val="single" w:color="auto"/>
          <w:color w:val="auto"/>
        </w:rPr>
        <w:t>Section 10.1(c)</w:t>
      </w:r>
      <w:r>
        <w:rPr>
          <w:rFonts w:ascii="Arial" w:cs="Arial" w:eastAsia="Arial" w:hAnsi="Arial"/>
          <w:sz w:val="18"/>
          <w:szCs w:val="18"/>
          <w:color w:val="auto"/>
        </w:rPr>
        <w:t>; (y) change the definition of “Required Revolving Lenders”; or (z) change the percentage of Lenders which shall be required for Revolving Lenders to take any action hereunder, in each case, without the consent of all Revolving Lenders.</w:t>
      </w:r>
    </w:p>
    <w:p>
      <w:pPr>
        <w:spacing w:after="0" w:line="192" w:lineRule="exact"/>
        <w:rPr>
          <w:rFonts w:ascii="Arial" w:cs="Arial" w:eastAsia="Arial" w:hAnsi="Arial"/>
          <w:sz w:val="18"/>
          <w:szCs w:val="18"/>
          <w:color w:val="auto"/>
        </w:rPr>
      </w:pPr>
    </w:p>
    <w:p>
      <w:pPr>
        <w:ind w:right="80" w:firstLine="464"/>
        <w:spacing w:after="0" w:line="257"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Additional Credit Facilities</w:t>
      </w:r>
      <w:r>
        <w:rPr>
          <w:rFonts w:ascii="Arial" w:cs="Arial" w:eastAsia="Arial" w:hAnsi="Arial"/>
          <w:sz w:val="18"/>
          <w:szCs w:val="18"/>
          <w:color w:val="auto"/>
        </w:rPr>
        <w:t>. This Agreement may be amended with the written consent of Agent, the Borrower and the Required Lenders to (i) add one or more additional credit facilities to this Agreement and to permit the extensions of credit from time to time outstanding thereunder and the outstanding principal and accrued interest and fees in respect thereof to share ratably in the benefits of this Agreement and the other Loan Documents with the Term Loans and Revolving Loans and the accrued interest and fees in respect thereof and (ii) include appropriately the Lenders holding such credit facilities in any determination of the Required Lenders.</w:t>
      </w:r>
    </w:p>
    <w:p>
      <w:pPr>
        <w:spacing w:after="0" w:line="188" w:lineRule="exact"/>
        <w:rPr>
          <w:rFonts w:ascii="Arial" w:cs="Arial" w:eastAsia="Arial" w:hAnsi="Arial"/>
          <w:sz w:val="18"/>
          <w:szCs w:val="18"/>
          <w:color w:val="auto"/>
        </w:rPr>
      </w:pPr>
    </w:p>
    <w:p>
      <w:pPr>
        <w:ind w:right="40" w:firstLine="464"/>
        <w:spacing w:after="0" w:line="286" w:lineRule="auto"/>
        <w:tabs>
          <w:tab w:leader="none" w:pos="70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Schedules; Corrections; Liens; Incrementals</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(i) the Borrower may amend </w:t>
      </w:r>
      <w:r>
        <w:rPr>
          <w:rFonts w:ascii="Arial" w:cs="Arial" w:eastAsia="Arial" w:hAnsi="Arial"/>
          <w:sz w:val="16"/>
          <w:szCs w:val="16"/>
          <w:u w:val="single" w:color="auto"/>
          <w:color w:val="auto"/>
        </w:rPr>
        <w:t>Schedules 4.19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4.20</w:t>
      </w:r>
      <w:r>
        <w:rPr>
          <w:rFonts w:ascii="Arial" w:cs="Arial" w:eastAsia="Arial" w:hAnsi="Arial"/>
          <w:sz w:val="16"/>
          <w:szCs w:val="16"/>
          <w:color w:val="auto"/>
        </w:rPr>
        <w:t xml:space="preserve"> upon notice to Agent, (ii) Agent may amend </w:t>
      </w:r>
      <w:r>
        <w:rPr>
          <w:rFonts w:ascii="Arial" w:cs="Arial" w:eastAsia="Arial" w:hAnsi="Arial"/>
          <w:sz w:val="16"/>
          <w:szCs w:val="16"/>
          <w:u w:val="single" w:color="auto"/>
          <w:color w:val="auto"/>
        </w:rPr>
        <w:t>Schedules 2.1(a)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to reflect Incremental Facilities and Sales entered into pursuant to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(iii) Agent and the Borrower may amend or modify this Agreement and any other Loan Document to (1) cure any ambiguity, omission, defect or inconsistency therein, (2) grant a new Lien for the benefit of the Secured Parties, extend an existing Lien over additional Property for the benefit of the Secured Parties or join additional Persons as Credit Parties, and (3) add one or more Incremental Facilities to this Agreement pursuant to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to include appropriately the Lenders holding such credit facilities in any determination of the Required Revolving Lenders and Required Lenders; and (iv) in connection with an amendment in which any Class of Term Loans or Class of Revolving Loan Commitments (or outstandings thereunder) is refinanced with a replacement Class of Term Loans or Revolving Loan Commitments (or outstandings thereunder), as applicable, bearing (or is modified in such a manner such that the resulting Term Loans or Revolving Loan Commitments (or outstandings thereunder) bear) a lower All-In Yield and other customary amendments related thereto (a “</w:t>
      </w:r>
      <w:r>
        <w:rPr>
          <w:rFonts w:ascii="Arial" w:cs="Arial" w:eastAsia="Arial" w:hAnsi="Arial"/>
          <w:sz w:val="16"/>
          <w:szCs w:val="16"/>
          <w:b w:val="1"/>
          <w:bCs w:val="1"/>
          <w:color w:val="auto"/>
        </w:rPr>
        <w:t>Permitted Repricing Amendment</w:t>
      </w:r>
      <w:r>
        <w:rPr>
          <w:rFonts w:ascii="Arial" w:cs="Arial" w:eastAsia="Arial" w:hAnsi="Arial"/>
          <w:sz w:val="16"/>
          <w:szCs w:val="16"/>
          <w:color w:val="auto"/>
        </w:rPr>
        <w:t>”), only the consent of each of the Lenders holding the Term Loans or Revolving Loan Commitments (or outstandings thereunder) subject to such permitted repricing transaction that will continue as a Lender in respect of the modified Term Loans or Revolving Loan Commitments (or outstandings thereunder) shall be required for such Permitted Repricing Amendment.</w:t>
      </w:r>
    </w:p>
    <w:p>
      <w:pPr>
        <w:spacing w:after="0" w:line="167" w:lineRule="exact"/>
        <w:rPr>
          <w:rFonts w:ascii="Arial" w:cs="Arial" w:eastAsia="Arial" w:hAnsi="Arial"/>
          <w:sz w:val="16"/>
          <w:szCs w:val="16"/>
          <w:color w:val="auto"/>
        </w:rPr>
      </w:pPr>
    </w:p>
    <w:p>
      <w:pPr>
        <w:ind w:right="100" w:firstLine="464"/>
        <w:spacing w:after="0" w:line="258" w:lineRule="auto"/>
        <w:tabs>
          <w:tab w:leader="none" w:pos="681"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Extensions</w:t>
      </w:r>
      <w:r>
        <w:rPr>
          <w:rFonts w:ascii="Arial" w:cs="Arial" w:eastAsia="Arial" w:hAnsi="Arial"/>
          <w:sz w:val="18"/>
          <w:szCs w:val="18"/>
          <w:color w:val="auto"/>
        </w:rPr>
        <w:t>. Notwithstanding anything to the contrary in this Agreement, pursuant to one or more offers (each, an “</w:t>
      </w:r>
      <w:r>
        <w:rPr>
          <w:rFonts w:ascii="Arial" w:cs="Arial" w:eastAsia="Arial" w:hAnsi="Arial"/>
          <w:sz w:val="18"/>
          <w:szCs w:val="18"/>
          <w:b w:val="1"/>
          <w:bCs w:val="1"/>
          <w:color w:val="auto"/>
        </w:rPr>
        <w:t>Extension Offer”</w:t>
      </w:r>
      <w:r>
        <w:rPr>
          <w:rFonts w:ascii="Arial" w:cs="Arial" w:eastAsia="Arial" w:hAnsi="Arial"/>
          <w:sz w:val="18"/>
          <w:szCs w:val="18"/>
          <w:color w:val="auto"/>
        </w:rPr>
        <w:t>) made from time to time by Borrower to all Lenders holding Term Loans with a like maturity date or all Revolving Lenders having Revolving Loan Commitments with a like commitment termination date, in each case on a pro rata basis (based on the aggregate outstanding principal amount of such respective Term Loans or amounts of Revolving Loan Commitments) and on the same terms to each such Lender, Borrower is hereby permitted to consummate from time to time transactions with individual Lenders that accept the terms contained in any such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138" w:name="page139"/>
    <w:bookmarkEnd w:id="138"/>
    <w:p>
      <w:pPr>
        <w:ind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 Offers to extend the maturity date and/or commitment termination of each such Lender’s Term Loans and/or Revolving Loan Commitments, and, subject to the terms hereof, otherwise modify the terms of such Term Loans and/or Revolving Loan Commitments pursuant to the terms of the relevant Extension Offer (including by increasing the interest rate and/or fees payable in respect of such Term Loans and/or Revolving Loan Commitments (and related outstandings) and/or modifying the amortization schedule in respect of such Lender’s Term Loans) (each, an “</w:t>
      </w:r>
      <w:r>
        <w:rPr>
          <w:rFonts w:ascii="Arial" w:cs="Arial" w:eastAsia="Arial" w:hAnsi="Arial"/>
          <w:sz w:val="16"/>
          <w:szCs w:val="16"/>
          <w:b w:val="1"/>
          <w:bCs w:val="1"/>
          <w:color w:val="auto"/>
        </w:rPr>
        <w:t>Extension</w:t>
      </w:r>
      <w:r>
        <w:rPr>
          <w:rFonts w:ascii="Arial" w:cs="Arial" w:eastAsia="Arial" w:hAnsi="Arial"/>
          <w:sz w:val="16"/>
          <w:szCs w:val="16"/>
          <w:color w:val="auto"/>
        </w:rPr>
        <w:t>”; and each group of Term Loans or Revolving Loan Commitments, as applicable, in each case as so extended, as well as the original Term Loans and the original Revolving Loan Commitments (in each case not so extended), being a separate Class), so long as the following terms are satisfied:</w:t>
      </w:r>
    </w:p>
    <w:p>
      <w:pPr>
        <w:spacing w:after="0" w:line="57" w:lineRule="exact"/>
        <w:rPr>
          <w:sz w:val="20"/>
          <w:szCs w:val="20"/>
          <w:color w:val="auto"/>
        </w:rPr>
      </w:pPr>
    </w:p>
    <w:p>
      <w:pPr>
        <w:ind w:left="1560" w:hanging="219"/>
        <w:spacing w:after="0"/>
        <w:tabs>
          <w:tab w:leader="none" w:pos="156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the applicable Extension Offer is delivered to the</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Lenders;</w:t>
      </w:r>
    </w:p>
    <w:p>
      <w:pPr>
        <w:spacing w:after="0" w:line="102" w:lineRule="exact"/>
        <w:rPr>
          <w:rFonts w:ascii="Arial" w:cs="Arial" w:eastAsia="Arial" w:hAnsi="Arial"/>
          <w:sz w:val="17"/>
          <w:szCs w:val="17"/>
          <w:color w:val="auto"/>
        </w:rPr>
      </w:pPr>
    </w:p>
    <w:p>
      <w:pPr>
        <w:ind w:left="920" w:firstLine="421"/>
        <w:spacing w:after="0" w:line="284" w:lineRule="auto"/>
        <w:tabs>
          <w:tab w:leader="none" w:pos="160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except as to final commitment termination date (which shall be determined by Borrower and set forth in the relevant Extension Offer, subject to acceptance by the Extended Revolving Lenders), the Revolving Loan Commitment of any Revolving Lender that agrees to an Extension with respect to such Revolving Loan Commitment (an “</w:t>
      </w:r>
      <w:r>
        <w:rPr>
          <w:rFonts w:ascii="Arial" w:cs="Arial" w:eastAsia="Arial" w:hAnsi="Arial"/>
          <w:sz w:val="16"/>
          <w:szCs w:val="16"/>
          <w:b w:val="1"/>
          <w:bCs w:val="1"/>
          <w:color w:val="auto"/>
        </w:rPr>
        <w:t>Extended Revolving Lender</w:t>
      </w:r>
      <w:r>
        <w:rPr>
          <w:rFonts w:ascii="Arial" w:cs="Arial" w:eastAsia="Arial" w:hAnsi="Arial"/>
          <w:sz w:val="16"/>
          <w:szCs w:val="16"/>
          <w:color w:val="auto"/>
        </w:rPr>
        <w:t>”) extended pursuant to an Extension (an “</w:t>
      </w:r>
      <w:r>
        <w:rPr>
          <w:rFonts w:ascii="Arial" w:cs="Arial" w:eastAsia="Arial" w:hAnsi="Arial"/>
          <w:sz w:val="16"/>
          <w:szCs w:val="16"/>
          <w:b w:val="1"/>
          <w:bCs w:val="1"/>
          <w:color w:val="auto"/>
        </w:rPr>
        <w:t>Extended Revolving Loan Commitment</w:t>
      </w:r>
      <w:r>
        <w:rPr>
          <w:rFonts w:ascii="Arial" w:cs="Arial" w:eastAsia="Arial" w:hAnsi="Arial"/>
          <w:sz w:val="16"/>
          <w:szCs w:val="16"/>
          <w:color w:val="auto"/>
        </w:rPr>
        <w:t>” and the Loans thereunder, “</w:t>
      </w:r>
      <w:r>
        <w:rPr>
          <w:rFonts w:ascii="Arial" w:cs="Arial" w:eastAsia="Arial" w:hAnsi="Arial"/>
          <w:sz w:val="16"/>
          <w:szCs w:val="16"/>
          <w:b w:val="1"/>
          <w:bCs w:val="1"/>
          <w:color w:val="auto"/>
        </w:rPr>
        <w:t>Extended Revolving Loans</w:t>
      </w:r>
      <w:r>
        <w:rPr>
          <w:rFonts w:ascii="Arial" w:cs="Arial" w:eastAsia="Arial" w:hAnsi="Arial"/>
          <w:sz w:val="16"/>
          <w:szCs w:val="16"/>
          <w:color w:val="auto"/>
        </w:rPr>
        <w:t>”) and the related outstandings shall be a Revolving Loan Commitment (or related outstandings, as the case may be) with the same terms (or terms not less favorable to existing Revolving Lenders) as the original Revolving Loan Commitments (and related outstandings); provided that (1) the borrowing and payments (except for</w:t>
      </w:r>
    </w:p>
    <w:p>
      <w:pPr>
        <w:spacing w:after="0" w:line="4" w:lineRule="exact"/>
        <w:rPr>
          <w:rFonts w:ascii="Arial" w:cs="Arial" w:eastAsia="Arial" w:hAnsi="Arial"/>
          <w:sz w:val="16"/>
          <w:szCs w:val="16"/>
          <w:color w:val="auto"/>
        </w:rPr>
      </w:pPr>
    </w:p>
    <w:p>
      <w:pPr>
        <w:ind w:left="920" w:firstLine="1"/>
        <w:spacing w:after="0" w:line="285" w:lineRule="auto"/>
        <w:tabs>
          <w:tab w:leader="none" w:pos="121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payments of interest and/or fees at different rates on Extended Revolving Loan Commitments (and related outstandings), (B) repayments required upon the commitment termination date of the non-extended Class of Revolving Loan Commitments and (C) repayment made in connection with a permanent repayment and termination of commitments) of Revolving Loans with respect to Extended Revolving Loan Commitments after the applicable Extension date shall be made on a pro rata basis with all other Revolving Loan Commitments, (2) subject to </w:t>
      </w:r>
      <w:r>
        <w:rPr>
          <w:rFonts w:ascii="Arial" w:cs="Arial" w:eastAsia="Arial" w:hAnsi="Arial"/>
          <w:sz w:val="16"/>
          <w:szCs w:val="16"/>
          <w:u w:val="single" w:color="auto"/>
          <w:color w:val="auto"/>
        </w:rPr>
        <w:t>Section 10.1(b)</w:t>
      </w:r>
      <w:r>
        <w:rPr>
          <w:rFonts w:ascii="Arial" w:cs="Arial" w:eastAsia="Arial" w:hAnsi="Arial"/>
          <w:sz w:val="16"/>
          <w:szCs w:val="16"/>
          <w:color w:val="auto"/>
        </w:rPr>
        <w:t>, all Swing Loans and Letters of Credit shall be participated on a pro rata basis by all Lenders with Revolving Loan Commitments (including Extended Revolving Loan Commitments) in accordance with their percentage of the Aggregate Revolving Loan Commitments, (3) the permanent repayment of Revolving Loans with respect to, and termination of, Extended Revolving Loan Commitments after the applicable Extension date shall be made on a pro rata basis with all other Revolving Loan Commitments, except that Borrower shall be permitted to repay permanently and terminate commitments of any such Class on a better than pro rata basis as compared to any other Class with a later commitment termination date than such Class, (4) assignments and participations of Extended Revolving Loan Commitments and related Revolving Loans shall be governed by the same assignment and participation provisions applicable to the other Classes of Revolving Loan Commitments and Revolving Loans and (5) at no time shall there be Revolving Loan Commitments hereunder (including Extended Revolving Loan Commitments and any original Revolving Loan Commitments) which have more than two (2) different maturity dates;</w:t>
      </w:r>
    </w:p>
    <w:p>
      <w:pPr>
        <w:spacing w:after="0" w:line="62" w:lineRule="exact"/>
        <w:rPr>
          <w:rFonts w:ascii="Arial" w:cs="Arial" w:eastAsia="Arial" w:hAnsi="Arial"/>
          <w:sz w:val="16"/>
          <w:szCs w:val="16"/>
          <w:color w:val="auto"/>
        </w:rPr>
      </w:pPr>
    </w:p>
    <w:p>
      <w:pPr>
        <w:ind w:left="920" w:firstLine="421"/>
        <w:spacing w:after="0" w:line="293" w:lineRule="auto"/>
        <w:tabs>
          <w:tab w:leader="none" w:pos="1655"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except as to interest rates, fees, amortization, final maturity date, premium, required prepayment dates and participation in prepayments (which shall, subject to immediately succeeding </w:t>
      </w:r>
      <w:r>
        <w:rPr>
          <w:rFonts w:ascii="Arial" w:cs="Arial" w:eastAsia="Arial" w:hAnsi="Arial"/>
          <w:sz w:val="16"/>
          <w:szCs w:val="16"/>
          <w:u w:val="single" w:color="auto"/>
          <w:color w:val="auto"/>
        </w:rPr>
        <w:t>clauses (iv)</w:t>
      </w:r>
      <w:r>
        <w:rPr>
          <w:rFonts w:ascii="Arial" w:cs="Arial" w:eastAsia="Arial" w:hAnsi="Arial"/>
          <w:sz w:val="16"/>
          <w:szCs w:val="16"/>
          <w:color w:val="auto"/>
        </w:rPr>
        <w:t xml:space="preserve">, (v) and </w:t>
      </w:r>
      <w:r>
        <w:rPr>
          <w:rFonts w:ascii="Arial" w:cs="Arial" w:eastAsia="Arial" w:hAnsi="Arial"/>
          <w:sz w:val="16"/>
          <w:szCs w:val="16"/>
          <w:u w:val="single" w:color="auto"/>
          <w:color w:val="auto"/>
        </w:rPr>
        <w:t>(vi)</w:t>
      </w:r>
      <w:r>
        <w:rPr>
          <w:rFonts w:ascii="Arial" w:cs="Arial" w:eastAsia="Arial" w:hAnsi="Arial"/>
          <w:sz w:val="16"/>
          <w:szCs w:val="16"/>
          <w:color w:val="auto"/>
        </w:rPr>
        <w:t>, be determined by Borrower and set forth in the relevant Extension Offer, subject to acceptance by the Extending Term Lenders), the Term Loans of any Term Lender that agrees to an Extension (such commitment, an “</w:t>
      </w:r>
      <w:r>
        <w:rPr>
          <w:rFonts w:ascii="Arial" w:cs="Arial" w:eastAsia="Arial" w:hAnsi="Arial"/>
          <w:sz w:val="16"/>
          <w:szCs w:val="16"/>
          <w:b w:val="1"/>
          <w:bCs w:val="1"/>
          <w:color w:val="auto"/>
        </w:rPr>
        <w:t>Extended Term Loan Commitment</w:t>
      </w:r>
      <w:r>
        <w:rPr>
          <w:rFonts w:ascii="Arial" w:cs="Arial" w:eastAsia="Arial" w:hAnsi="Arial"/>
          <w:sz w:val="16"/>
          <w:szCs w:val="16"/>
          <w:color w:val="auto"/>
        </w:rPr>
        <w:t>”) with respect to such Term Loans owed to it (an “</w:t>
      </w:r>
      <w:r>
        <w:rPr>
          <w:rFonts w:ascii="Arial" w:cs="Arial" w:eastAsia="Arial" w:hAnsi="Arial"/>
          <w:sz w:val="16"/>
          <w:szCs w:val="16"/>
          <w:b w:val="1"/>
          <w:bCs w:val="1"/>
          <w:color w:val="auto"/>
        </w:rPr>
        <w:t>Extending Term Lender</w:t>
      </w:r>
      <w:r>
        <w:rPr>
          <w:rFonts w:ascii="Arial" w:cs="Arial" w:eastAsia="Arial" w:hAnsi="Arial"/>
          <w:sz w:val="16"/>
          <w:szCs w:val="16"/>
          <w:color w:val="auto"/>
        </w:rPr>
        <w:t>”) extended pursuant to any Extension (“</w:t>
      </w:r>
      <w:r>
        <w:rPr>
          <w:rFonts w:ascii="Arial" w:cs="Arial" w:eastAsia="Arial" w:hAnsi="Arial"/>
          <w:sz w:val="16"/>
          <w:szCs w:val="16"/>
          <w:b w:val="1"/>
          <w:bCs w:val="1"/>
          <w:color w:val="auto"/>
        </w:rPr>
        <w:t>Extended Term Loans</w:t>
      </w:r>
      <w:r>
        <w:rPr>
          <w:rFonts w:ascii="Arial" w:cs="Arial" w:eastAsia="Arial" w:hAnsi="Arial"/>
          <w:sz w:val="16"/>
          <w:szCs w:val="16"/>
          <w:color w:val="auto"/>
        </w:rPr>
        <w:t>”) shall have the same terms as the Class of Term Loans subject to such Extension Offer (except for covenants or other provisions contained therein applicable only to periods after the then Latest Maturity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39" w:name="page140"/>
    <w:bookmarkEnd w:id="139"/>
    <w:p>
      <w:pPr>
        <w:ind w:left="460" w:right="220" w:firstLine="421"/>
        <w:spacing w:after="0" w:line="264" w:lineRule="auto"/>
        <w:tabs>
          <w:tab w:leader="none" w:pos="1185"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final maturity date of any Extended Term Loans shall be no earlier than the Latest Maturity Date of the Term Loans extended thereby and the amortization schedule applicable to Loans pursuant to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for periods prior to the original maturity date of the Term Loans shall not be increased;</w:t>
      </w:r>
    </w:p>
    <w:p>
      <w:pPr>
        <w:spacing w:after="0" w:line="73" w:lineRule="exact"/>
        <w:rPr>
          <w:rFonts w:ascii="Arial" w:cs="Arial" w:eastAsia="Arial" w:hAnsi="Arial"/>
          <w:sz w:val="18"/>
          <w:szCs w:val="18"/>
          <w:color w:val="auto"/>
        </w:rPr>
      </w:pPr>
    </w:p>
    <w:p>
      <w:pPr>
        <w:ind w:left="460" w:right="120" w:firstLine="421"/>
        <w:spacing w:after="0" w:line="277" w:lineRule="auto"/>
        <w:tabs>
          <w:tab w:leader="none" w:pos="11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shall be no shorter than the Weighted Average Life to Maturity of the Term Loans extended thereby;</w:t>
      </w:r>
    </w:p>
    <w:p>
      <w:pPr>
        <w:spacing w:after="0" w:line="62" w:lineRule="exact"/>
        <w:rPr>
          <w:rFonts w:ascii="Arial" w:cs="Arial" w:eastAsia="Arial" w:hAnsi="Arial"/>
          <w:sz w:val="18"/>
          <w:szCs w:val="18"/>
          <w:color w:val="auto"/>
        </w:rPr>
      </w:pPr>
    </w:p>
    <w:p>
      <w:pPr>
        <w:ind w:left="1180" w:hanging="299"/>
        <w:spacing w:after="0"/>
        <w:tabs>
          <w:tab w:leader="none" w:pos="11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Extended Term Loans may participate on a pro rata basis or a less than pro rata basis (but not greater than pro rata basis) with</w:t>
      </w:r>
    </w:p>
    <w:p>
      <w:pPr>
        <w:spacing w:after="0" w:line="46" w:lineRule="exact"/>
        <w:rPr>
          <w:sz w:val="20"/>
          <w:szCs w:val="20"/>
          <w:color w:val="auto"/>
        </w:rPr>
      </w:pPr>
    </w:p>
    <w:p>
      <w:pPr>
        <w:ind w:left="460" w:right="20"/>
        <w:spacing w:after="0" w:line="261" w:lineRule="auto"/>
        <w:rPr>
          <w:sz w:val="20"/>
          <w:szCs w:val="20"/>
          <w:color w:val="auto"/>
        </w:rPr>
      </w:pPr>
      <w:r>
        <w:rPr>
          <w:rFonts w:ascii="Arial" w:cs="Arial" w:eastAsia="Arial" w:hAnsi="Arial"/>
          <w:sz w:val="18"/>
          <w:szCs w:val="18"/>
          <w:color w:val="auto"/>
        </w:rPr>
        <w:t>non-extended Classes of Term Loans in any voluntary or mandatory prepayments hereunder, in each case as specified in the respective Extension Offer; and</w:t>
      </w:r>
    </w:p>
    <w:p>
      <w:pPr>
        <w:spacing w:after="0" w:line="76" w:lineRule="exact"/>
        <w:rPr>
          <w:sz w:val="20"/>
          <w:szCs w:val="20"/>
          <w:color w:val="auto"/>
        </w:rPr>
      </w:pPr>
    </w:p>
    <w:p>
      <w:pPr>
        <w:ind w:left="460" w:right="300" w:firstLine="421"/>
        <w:spacing w:after="0" w:line="293" w:lineRule="auto"/>
        <w:tabs>
          <w:tab w:leader="none" w:pos="123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if the aggregate principal amount of Term Loans (calculated on the outstanding principal amount thereof) and/or Revolving Loan Commitments, as the case may be, in respect of which Term Lenders or Revolving Lenders, as applicable, shall have accepted the relevant Extension Offer shall exceed the maximum aggregate principal amount of Term Loans or Revolving Loan Commitments, as the case may be, offered to be extended by Borrower pursuant to such Extension Offer, then the Term Loans and/or Revolving Loans of such Term Lenders or Revolving Lenders, as applicable, shall be extended ratably up to such maximum amount based on the respective principal or commitment amounts with respect to which such Term Lenders and/or Revolving Lenders, as the case may be, have accepted such Extension Offer.</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With respect to all Extensions consummated by Borrower pursuant to this Section, (i) such Extensions shall not constitute voluntary or mandatory payments or prepayments for purposes of </w:t>
      </w:r>
      <w:r>
        <w:rPr>
          <w:rFonts w:ascii="Arial" w:cs="Arial" w:eastAsia="Arial" w:hAnsi="Arial"/>
          <w:sz w:val="17"/>
          <w:szCs w:val="17"/>
          <w:u w:val="single" w:color="auto"/>
          <w:color w:val="auto"/>
        </w:rPr>
        <w:t>Sections 2.7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and (ii) no Extension Offer is required to be in any minimum amount or any minimum increment;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at its election specify as a condition to consummating any such Extension that a minimum amount (to be determined and specified in the relevant Extension Offer in Borrower’s sole discretion and may be waived by Borrower) of Term Loans or Revolving Loan Commitments (as applicable) of any or all applicable Classes be tendered. Agent and the Lenders hereby consent to the transactions contemplated by this Section (including, for the avoidance of doubt, payment of any interest, fees or premium in respect of any Extended Term Loans and/or Extended Revolving Loan Commitments on the such terms as may be set forth in the relevant Extension Offer) and hereby waive the requirements of any provision of this Agreement or any other Loan Document that may otherwise prohibit or conflict with any such Extension or any other transaction contemplated by this Section. Any Lender that does not respond to an Extension Offer by the applicable due date shall be deemed to have rejected such Extension Offer.</w:t>
      </w:r>
    </w:p>
    <w:p>
      <w:pPr>
        <w:spacing w:after="0" w:line="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No consent of Agent or any Lender shall be required to effectuate any Extension, other than (A) the consent of each Lender agreeing to such Extension with respect to one or more of its Term Loans and/or Revolving Loan Commitments (or a portion thereof) and (B) with respect to any Extension of the Revolving Loan Commitments, the consent of the L/C Issuer and Swing Lender. All Extended Term Loans, Extended Revolving Loan Commitments and all obligations in respect thereof shall be Obligations under this Agreement and the other Loan Documents and secured by the Collateral on a pari passu basis with all other applicable Obligations. The Lenders hereby irrevocably authorize Agent to enter into amendments to this Agreement and the other Loan Documents with Borrower (on behalf of all Credit Parties) as may be necessary in order to establish new Classes or sub-Classes in respect of Revolving Loan Commitments or Term Loans</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0"/>
          </w:cols>
          <w:pgMar w:left="700" w:top="274" w:right="259" w:bottom="1440" w:gutter="0" w:footer="0" w:header="0"/>
        </w:sectPr>
      </w:pPr>
    </w:p>
    <w:bookmarkStart w:id="140" w:name="page141"/>
    <w:bookmarkEnd w:id="140"/>
    <w:p>
      <w:pPr>
        <w:ind w:left="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so extended and such technical amendments as may be necessary in the reasonable opinion of Agent and Borrower in connection with the establishment of such new Classes or sub-Classes, in each case on terms consistent with this Section. In addition, if so provided in such amendment and with the consent of each L/C Issuer, participations in Letters of Credit expiring on or after the applicable commitment termination date shall be re-allocated from Lenders holding non-extended Revolving Loan Commitments to Lenders holding Extended Revolving Loan Commitments in accordance with the terms of such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participation interests shall, upon receipt thereof by the relevant Lenders holding Revolving Loan Commitments, be deemed to be participation interests in respect of such Revolving Loan Commitments and the terms of such participation interests shall be adjusted accordingly. Without limiting the foregoing, in connection with any Extensions the applicable Credit Parties shall (at their expense) amend (and Agent is hereby directed by the Lenders to amend) any Mortgage that has a maturity date prior to the Latest Maturity Date, so that such maturity date referenced therein is extended to the later of the then Latest Maturity Date (or such later date as may be advised by local counsel to Agent). Agent shall promptly notify each Lender of the effectiveness of each such amendment.</w:t>
      </w:r>
    </w:p>
    <w:p>
      <w:pPr>
        <w:spacing w:after="0" w:line="61"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 xml:space="preserve">In connection with any Extension, Borrower shall provide Agent at least five (5) Business Days (or such shorter period as may be agreed by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Agent, in each case acting reasonably to accomplish the purposes of this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shall supersede any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20" w:right="160" w:firstLine="464"/>
        <w:spacing w:after="0" w:line="342" w:lineRule="auto"/>
        <w:tabs>
          <w:tab w:leader="none" w:pos="6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Certain other Loan Documents. The Fee Letter, any Control Agreement, any Mortgage, any letter of credit reimbursement or similar agreement or any landlord, bailee or mortgagee agreement may be amended as provided therein and if not provided therein, by each of the parties thereto.</w:t>
      </w:r>
    </w:p>
    <w:p>
      <w:pPr>
        <w:spacing w:after="0" w:line="123" w:lineRule="exact"/>
        <w:rPr>
          <w:rFonts w:ascii="Arial" w:cs="Arial" w:eastAsia="Arial" w:hAnsi="Arial"/>
          <w:sz w:val="16"/>
          <w:szCs w:val="16"/>
          <w:color w:val="auto"/>
        </w:rPr>
      </w:pPr>
    </w:p>
    <w:p>
      <w:pPr>
        <w:ind w:left="-20" w:right="60" w:firstLine="464"/>
        <w:spacing w:after="0" w:line="273" w:lineRule="auto"/>
        <w:tabs>
          <w:tab w:leader="none" w:pos="69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Initial Term Loans</w:t>
      </w:r>
      <w:r>
        <w:rPr>
          <w:rFonts w:ascii="Arial" w:cs="Arial" w:eastAsia="Arial" w:hAnsi="Arial"/>
          <w:sz w:val="17"/>
          <w:szCs w:val="17"/>
          <w:color w:val="auto"/>
        </w:rPr>
        <w:t xml:space="preserve">. No amendment or waiver shall, unless signed by Agent and each Term Lender holding an Initial Term Loan Commitment and directly affected thereby (or by Agent with the consent of each Term Lender holding an Initial Term Loan Commitment and directly affected thereby) in addition to the Required Lenders (or by Agent with the consent of the Required Lenders) and the Borrower: (i) amend or waive compliance with the conditions precedent to the obligations of Lenders to make any Initial Term Loan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(ii) waive any Default or Event of Default for the purpose of satisfying the conditions precedent to the obligations of Lenders to make any Initial Term Loan in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(iii) amend or waive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or the definitions of the terms used in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insofar as the definitions affect the substance of this </w:t>
      </w:r>
      <w:r>
        <w:rPr>
          <w:rFonts w:ascii="Arial" w:cs="Arial" w:eastAsia="Arial" w:hAnsi="Arial"/>
          <w:sz w:val="17"/>
          <w:szCs w:val="17"/>
          <w:u w:val="single" w:color="auto"/>
          <w:color w:val="auto"/>
        </w:rPr>
        <w:t>Section 10.1(h)</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20" w:right="60" w:firstLine="464"/>
        <w:spacing w:after="0" w:line="271" w:lineRule="auto"/>
        <w:tabs>
          <w:tab w:leader="none" w:pos="681"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Addresses</w:t>
      </w:r>
      <w:r>
        <w:rPr>
          <w:rFonts w:ascii="Arial" w:cs="Arial" w:eastAsia="Arial" w:hAnsi="Arial"/>
          <w:sz w:val="17"/>
          <w:szCs w:val="17"/>
          <w:color w:val="auto"/>
        </w:rPr>
        <w:t>. All notices and other communications required or expressly authorized to be made by this Agreement shall be given in writing, unless otherwise expressly specified herein, and (i) addressed to the address set forth on the applicable signature page hereto, (ii) posted to Syndtrak® (to the extent such system is available and set up by or at the direction of Agent prior to posting) in an appropriate location by uploading such notice, demand, request, direction or other communication to www.syndtrak.com or using such other means of posting to Syndtrak® as may be available and reasonably acceptable to Agent prior to such posting, (iii) posted to any other E-System approved by or set up by or at the direction of Agent or (iv) addressed to such other address as shall be notified in writing (A) in the case of the Borrower, Agent and the Swing Lender, to the other parties hereto and (B) in the case of all other parties, to the Borrower and Agent. Transmissions made by electronic mail or E-Fax to Agent shall be effective only (x) for notices where such transmission is specifically authorized by this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60" w:top="274" w:right="259" w:bottom="1440" w:gutter="0" w:footer="0" w:header="0"/>
        </w:sectPr>
      </w:pPr>
    </w:p>
    <w:bookmarkStart w:id="141" w:name="page142"/>
    <w:bookmarkEnd w:id="141"/>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(y) if such transmission is delivered in compliance with procedures of Agent applicable at the time and previously communicated to the Borrower, and (z) if receipt of such transmission is acknowledged by Agent.</w:t>
      </w:r>
    </w:p>
    <w:p>
      <w:pPr>
        <w:spacing w:after="0" w:line="170" w:lineRule="exact"/>
        <w:rPr>
          <w:sz w:val="20"/>
          <w:szCs w:val="20"/>
          <w:color w:val="auto"/>
        </w:rPr>
      </w:pPr>
    </w:p>
    <w:p>
      <w:pPr>
        <w:ind w:left="720" w:hanging="256"/>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Effectiveness.</w:t>
      </w:r>
    </w:p>
    <w:p>
      <w:pPr>
        <w:spacing w:after="0" w:line="117" w:lineRule="exact"/>
        <w:rPr>
          <w:rFonts w:ascii="Arial" w:cs="Arial" w:eastAsia="Arial" w:hAnsi="Arial"/>
          <w:sz w:val="18"/>
          <w:szCs w:val="18"/>
          <w:color w:val="auto"/>
        </w:rPr>
      </w:pPr>
    </w:p>
    <w:p>
      <w:pPr>
        <w:ind w:left="920" w:firstLine="421"/>
        <w:spacing w:after="0" w:line="291" w:lineRule="auto"/>
        <w:tabs>
          <w:tab w:leader="none" w:pos="1555"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All communications described in clause (a) above and all other notices, demands, requests and other communications made in connection with this Agreement shall be effective and be deemed to have been received (i) if delivered by hand, upon personal delivery, (ii) if delivered by overnight courier service, one (1) Business Day after delivery to such courier service, (iii) if delivered by mail, three (3) Business Days after deposit in the mail, (iv) if delivered by facsimile (other than to post to an E-System pursuant to clause (a)(ii) or (a)(iii) above), upon sender’s receipt of confirmation of proper transmission, and (v) if delivered by posting to any E-System, on the later of the Business Day of such posting and the Business Day access to such posting is given to the recipient thereof in accordance with the standard procedures applicable to such E-System; provided, however, that no communications to Agent pursuant to Article I shall be effective until received by Agent.</w:t>
      </w:r>
    </w:p>
    <w:p>
      <w:pPr>
        <w:spacing w:after="0" w:line="59" w:lineRule="exact"/>
        <w:rPr>
          <w:rFonts w:ascii="Arial" w:cs="Arial" w:eastAsia="Arial" w:hAnsi="Arial"/>
          <w:sz w:val="16"/>
          <w:szCs w:val="16"/>
          <w:color w:val="auto"/>
        </w:rPr>
      </w:pPr>
    </w:p>
    <w:p>
      <w:pPr>
        <w:ind w:left="920" w:right="100" w:firstLine="421"/>
        <w:spacing w:after="0" w:line="259" w:lineRule="auto"/>
        <w:tabs>
          <w:tab w:leader="none" w:pos="160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except as expressly noted in such communication or E-System.</w:t>
      </w:r>
    </w:p>
    <w:p>
      <w:pPr>
        <w:spacing w:after="0" w:line="186" w:lineRule="exact"/>
        <w:rPr>
          <w:rFonts w:ascii="Arial" w:cs="Arial" w:eastAsia="Arial" w:hAnsi="Arial"/>
          <w:sz w:val="18"/>
          <w:szCs w:val="18"/>
          <w:color w:val="auto"/>
        </w:rPr>
      </w:pPr>
    </w:p>
    <w:p>
      <w:pPr>
        <w:ind w:right="320" w:firstLine="464"/>
        <w:spacing w:after="0" w:line="264" w:lineRule="auto"/>
        <w:tabs>
          <w:tab w:leader="none" w:pos="70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Each Lender shall notify Agent in writing of any changes in the address to which notices to such Lender should be directed, of addresses of its Lending Office, of payment instructions in respect of all payments to be made to it hereunder and of such other administrative information as Agent shall reasonably request.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Electronic Transmissions</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76" w:lineRule="auto"/>
        <w:tabs>
          <w:tab w:leader="none" w:pos="70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10.2(a)</w:t>
      </w:r>
      <w:r>
        <w:rPr>
          <w:rFonts w:ascii="Arial" w:cs="Arial" w:eastAsia="Arial" w:hAnsi="Arial"/>
          <w:sz w:val="17"/>
          <w:szCs w:val="17"/>
          <w:color w:val="auto"/>
        </w:rPr>
        <w:t>, each of Agent, Lenders, each Credit Party and each of their Related Persons, is authorized (but not required) to transmit, post or otherwise make or communicate, in its sole discretion, Electronic Transmissions in connection with any Loan Document and the transactions contemplated therein. Each Credit Party and each Secured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72" w:lineRule="exact"/>
        <w:rPr>
          <w:rFonts w:ascii="Arial" w:cs="Arial" w:eastAsia="Arial" w:hAnsi="Arial"/>
          <w:sz w:val="17"/>
          <w:szCs w:val="17"/>
          <w:color w:val="auto"/>
        </w:rPr>
      </w:pPr>
    </w:p>
    <w:p>
      <w:pPr>
        <w:ind w:right="40" w:firstLine="464"/>
        <w:spacing w:after="0" w:line="272" w:lineRule="auto"/>
        <w:tabs>
          <w:tab w:leader="none" w:pos="711"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Signatures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10.2(a)</w:t>
      </w:r>
      <w:r>
        <w:rPr>
          <w:rFonts w:ascii="Arial" w:cs="Arial" w:eastAsia="Arial" w:hAnsi="Arial"/>
          <w:sz w:val="17"/>
          <w:szCs w:val="17"/>
          <w:color w:val="auto"/>
        </w:rPr>
        <w:t>, (i)(A) no posting to any E-System shall be denied legal effect merely because it is made electronically, (B) each E-Signature on any such posting shall be deemed sufficient to satisfy any requirement for a “signature” and (C) each such posting shall be deemed sufficient to satisfy any requirement for a “writing”, in each case including pursuant to any Loan Document, any applicable provision of any UCC, the federal Uniform Electronic Transactions Act, the Electronic Signatures in Global and National Commerce Act and any substantive or procedural Requirement of Law governing such subject matter, (ii) each such posting that is not readily capable of bearing either a signature or a reproduction of a signature may be signed, and shall be deemed signed, by attaching to, or logically associating with such posting, an E-Signature, upon which Agent, each other Secured Party and each Credit Party may rely and assume the authenticity thereof, (iii) each</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274" w:right="299" w:bottom="1440" w:gutter="0" w:footer="0" w:header="0"/>
        </w:sectPr>
      </w:pPr>
    </w:p>
    <w:bookmarkStart w:id="142" w:name="page143"/>
    <w:bookmarkEnd w:id="14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posting containing a signature, a reproduction of a signature or an E-Signature shall, for all intents and purposes, have the same effect and weight as a signed paper original and (iv) each party hereto or beneficiary hereto agrees not to contest the validity or enforceability of any posting on any E-System or E-Signature on any such posting under the provisions of any applicable Requirement of Law requiring certain documents to be in writing or signed; provided, however, that nothing herein shall limit such party’s or beneficiary’s right to contest whether any posting to any E-System or E-Signature has been altered after transmission.</w:t>
      </w:r>
    </w:p>
    <w:p>
      <w:pPr>
        <w:spacing w:after="0" w:line="188" w:lineRule="exact"/>
        <w:rPr>
          <w:sz w:val="20"/>
          <w:szCs w:val="20"/>
          <w:color w:val="auto"/>
        </w:rPr>
      </w:pPr>
    </w:p>
    <w:p>
      <w:pPr>
        <w:ind w:right="220" w:firstLine="464"/>
        <w:spacing w:after="0" w:line="312" w:lineRule="auto"/>
        <w:tabs>
          <w:tab w:leader="none" w:pos="70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Separate Agreements</w:t>
      </w:r>
      <w:r>
        <w:rPr>
          <w:rFonts w:ascii="Arial" w:cs="Arial" w:eastAsia="Arial" w:hAnsi="Arial"/>
          <w:sz w:val="16"/>
          <w:szCs w:val="16"/>
          <w:color w:val="auto"/>
        </w:rPr>
        <w:t xml:space="preserve">. All uses of an E-System shall be governed by and subject to, in addition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10.3</w:t>
      </w:r>
      <w:r>
        <w:rPr>
          <w:rFonts w:ascii="Arial" w:cs="Arial" w:eastAsia="Arial" w:hAnsi="Arial"/>
          <w:sz w:val="16"/>
          <w:szCs w:val="16"/>
          <w:color w:val="auto"/>
        </w:rPr>
        <w:t>, the separate terms, conditions and privacy policy posted or referenced in such E-System (or such terms, conditions and privacy policy as may be updated from time to time, including on such E-System) and related Contractual Obligations executed by Agent and Credit Parties in connection with the use of such E-System.</w:t>
      </w:r>
    </w:p>
    <w:p>
      <w:pPr>
        <w:spacing w:after="0" w:line="146" w:lineRule="exact"/>
        <w:rPr>
          <w:rFonts w:ascii="Arial" w:cs="Arial" w:eastAsia="Arial" w:hAnsi="Arial"/>
          <w:sz w:val="16"/>
          <w:szCs w:val="16"/>
          <w:color w:val="auto"/>
        </w:rPr>
      </w:pPr>
    </w:p>
    <w:p>
      <w:pPr>
        <w:ind w:right="60" w:firstLine="464"/>
        <w:spacing w:after="0" w:line="290" w:lineRule="auto"/>
        <w:tabs>
          <w:tab w:leader="none" w:pos="71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ALL E-SYSTEMS AND ELECTRONIC TRANSMISSIONS SHALL BE PROVIDED “AS IS” AND “AS AVAILABLE”. NONE OF AGENT, ANY LENDER OR ANY OF THEIR RELATED PERSONS WARRANTS THE ACCURACY, ADEQUACY OR COMPLETENESS OF ANY E-SYSTEMS OR ELECTRONIC TRANSMISSION AND DISCLAIMS ALL LIABILITY FOR ERRORS OR OMISSIONS THEREIN. NO WARRANTY OF ANY KIND IS MADE BY AGENT, ANY LENDER OR ANY OF THEIR RELATED PERSONS IN CONNECTION WITH ANY E-SYSTEMS OR ELECTRONIC COMMUNICATION, INCLUDING ANY WARRANTY OF MERCHANTABILITY, FITNESS FOR A PARTICULAR PURPOSE, NON-INFRINGEMENT OF THIRD-PARTY RIGHTS OR FREEDOM FROM VIRUSES OR OTHER CODE DEFECTS. Each of the Borrower, the other Credit Parties executing this Agreement and the Secured Parties agrees that Agent has no responsibility for maintaining or providing any equipment, software, services or any testing required in connection with any Electronic Transmission or otherwise required for any E-System.</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No course of dealing between any Credit Party, any Affiliate of any Credit Party, Agent or any Lender shall be effective to amend, modify or discharge any provision of this Agreement or any of the other Loan Documents.</w:t>
      </w:r>
    </w:p>
    <w:p>
      <w:pPr>
        <w:spacing w:after="0" w:line="18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Costs and Expenses</w:t>
      </w:r>
      <w:r>
        <w:rPr>
          <w:rFonts w:ascii="Arial" w:cs="Arial" w:eastAsia="Arial" w:hAnsi="Arial"/>
          <w:sz w:val="16"/>
          <w:szCs w:val="16"/>
          <w:color w:val="auto"/>
        </w:rPr>
        <w:t>. Any action taken by any Credit Party under or with respect to any Loan Document, even if required under any Loan Document or at the request of Agent or Required Lenders, shall be at the expense of such Credit Party, and neither Agent nor any other Secured Party shall be required under any Loan Document to reimburse any Credit Party or any Subsidiary of any Credit Party therefor except as expressly provided therein. In addition, the Borrower agrees to pay or reimburse upon demand (a) Agent for all reasonable out-of-pocket costs and expenses incurred by it or any of its Related Persons,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in each case including Attorney Costs of Agent, the cost of environmental audits, syndication, distribution, Collateral audits and appraisals, background checks and similar expenses, to the extent permitted hereunder,</w:t>
      </w:r>
    </w:p>
    <w:p>
      <w:pPr>
        <w:spacing w:after="0" w:line="1" w:lineRule="exact"/>
        <w:rPr>
          <w:sz w:val="20"/>
          <w:szCs w:val="20"/>
          <w:color w:val="auto"/>
        </w:rPr>
      </w:pPr>
    </w:p>
    <w:p>
      <w:pPr>
        <w:ind w:right="40" w:firstLine="8"/>
        <w:spacing w:after="0" w:line="253"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Agent for all reasonable costs and expenses incurred by it or any of its Related Persons in connection with internal audit reviews, field examinations and Collateral examinations (which shall be reimbursed, in addition to the out-of-pocket costs and expenses of such examiners, at the per diem rate per individual charged by Agent for its examiners), (c) each of Agent, its Related Persons, and L/C Issuer for all costs and expenses incurred in connection with (i) the creation, perfection and maintenance of the perfection of Agent’s Liens upon the Collateral, including Lien search, filing and recording fees, (ii) any refinancing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74" w:right="279" w:bottom="1440" w:gutter="0" w:footer="0" w:header="0"/>
        </w:sectPr>
      </w:pPr>
    </w:p>
    <w:bookmarkStart w:id="143" w:name="page144"/>
    <w:bookmarkEnd w:id="143"/>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 of the credit arrangements provided hereunder in the nature of a “work-out” in any insolvency or bankruptcy proceeding or otherwise and whether or not consummated, (iii) the enforcement or preservation of any right or remedy under any Loan Document, any Obligation, with respect to the Collateral or any other related right or remedy or any attempt to inspect, verify, protect, insure, collect, sell, liquidate or otherwise dispose of any Collateral or</w:t>
      </w:r>
    </w:p>
    <w:p>
      <w:pPr>
        <w:ind w:right="140" w:firstLine="8"/>
        <w:spacing w:after="0" w:line="281" w:lineRule="auto"/>
        <w:tabs>
          <w:tab w:leader="none" w:pos="30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commencement, defense, conduct of, intervention in, or the taking of any other action (including preparation for and/or response to any subpoena or request for document production relating thereto) with respect to, any proceeding (including any bankruptcy or insolvency proceeding) related to any Credit Party, any Subsidiary of any Credit Party, Loan Document, Obligation or transactions contemplated hereby, including Attorney Costs, (d) the cost of purchasing insurance that the Credit Parties fail to obtain as required by the Loan Documents and (e) fees and disbursements of Attorney Costs of one law firm on behalf of all Lenders (other than Agent) incurred in connection with any of the matters referred to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and to the extent necessary,</w:t>
      </w:r>
    </w:p>
    <w:p>
      <w:pPr>
        <w:spacing w:after="0" w:line="3" w:lineRule="exact"/>
        <w:rPr>
          <w:rFonts w:ascii="Arial" w:cs="Arial" w:eastAsia="Arial" w:hAnsi="Arial"/>
          <w:sz w:val="16"/>
          <w:szCs w:val="16"/>
          <w:color w:val="auto"/>
        </w:rPr>
      </w:pPr>
    </w:p>
    <w:p>
      <w:pPr>
        <w:ind w:right="540" w:firstLine="8"/>
        <w:spacing w:after="0" w:line="261" w:lineRule="auto"/>
        <w:tabs>
          <w:tab w:leader="none" w:pos="21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one local counsel in each relevant jurisdiction, (ii) regulatory counsel if reasonably required and (iii) solely in the event of a conflict of interest, one additional counsel (which may be a single Person) of similarly situated affected Persons.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5" w:lineRule="auto"/>
        <w:tabs>
          <w:tab w:leader="none" w:pos="70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Credit Party agrees to indemnify, hold harmless and defend Agent, each Lender, each L/C Issuer and each of their respective Related Persons (each such Person being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from and against all Liabilities (including Attorneys’ Costs, brokerage commissions, fees and other compensation) that may be imposed on, incurred by or asserted against any such Indemnitee (whether brought by a Credit Party, an Affiliate of a Credit Party or any other Person) in any matter relating to or arising out of, in connection with or as a result of (i) any Loan Document, any Obligation (or the repayment thereof), any Letter of Credit, the use or intended use of the proceeds of any Loan or the use of any Letter of Credit or any securities filing of, or with respect to, any Credit Party, (ii) any engagement letter, proposal letter or term sheet with any Person or any Contractual Obligation, arrangement or understanding with any broker, finder or consultant, in each case entered into by or on behalf of any </w:t>
      </w:r>
      <w:r>
        <w:rPr>
          <w:rFonts w:ascii="Arial" w:cs="Arial" w:eastAsia="Arial" w:hAnsi="Arial"/>
          <w:sz w:val="16"/>
          <w:szCs w:val="16"/>
          <w:b w:val="1"/>
          <w:bCs w:val="1"/>
          <w:color w:val="auto"/>
        </w:rPr>
        <w:t>Target,</w:t>
      </w:r>
      <w:r>
        <w:rPr>
          <w:rFonts w:ascii="Arial" w:cs="Arial" w:eastAsia="Arial" w:hAnsi="Arial"/>
          <w:sz w:val="16"/>
          <w:szCs w:val="16"/>
          <w:color w:val="auto"/>
        </w:rPr>
        <w:t xml:space="preserve"> any Credit Party or any Affiliate of any of them in connection with any of the foregoing and any Contractual Obligation entered into in connection with any E-Systems or other Electronic Transmissions, (iii) any actual or prospective investigation, litigation or other proceeding, whether or not brought by any such Indemnitee or any of its Related Persons, any holders of securities or creditors (and including Attorneys’ Costs in any case), whether or not any such Indemnitee, Related Person, holder or creditor is a party thereto, and whether or not based on any securities or commercial law or regulation or any other Requirement of Law or theory thereof, including common law, equity, contract, tort or otherwise or (iv) any other act, event or transaction related, contemplated in or attendant to any of the foregoing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Matters</w:t>
      </w:r>
      <w:r>
        <w:rPr>
          <w:rFonts w:ascii="Arial" w:cs="Arial" w:eastAsia="Arial" w:hAnsi="Arial"/>
          <w:sz w:val="16"/>
          <w:szCs w:val="16"/>
          <w:color w:val="auto"/>
        </w:rPr>
        <w:t>”); provided, however, that no Credit Party shall have any liability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10.6</w:t>
      </w:r>
      <w:r>
        <w:rPr>
          <w:rFonts w:ascii="Arial" w:cs="Arial" w:eastAsia="Arial" w:hAnsi="Arial"/>
          <w:sz w:val="16"/>
          <w:szCs w:val="16"/>
          <w:b w:val="1"/>
          <w:bCs w:val="1"/>
          <w:color w:val="auto"/>
        </w:rPr>
        <w:t xml:space="preserve"> </w:t>
      </w:r>
      <w:r>
        <w:rPr>
          <w:rFonts w:ascii="Arial" w:cs="Arial" w:eastAsia="Arial" w:hAnsi="Arial"/>
          <w:sz w:val="16"/>
          <w:szCs w:val="16"/>
          <w:color w:val="auto"/>
        </w:rPr>
        <w:t>to any Indemnitee with respect to any Indemnified Matter,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no Indemnitee shall have any liability with respect to any Indemnified Matter other than (to the extent otherwise liable), to the extent (a) such liability has resulted primarily from the gross negligence or willful misconduct of such Indemnitee, as determined by a court of competent jurisdiction in a final non-appealable judgment or order or (b) such Indemnitee is in material breach of its duties hereafter as determined by a court of competent jurisdiction in a final non-appealable judgment or order. Furthermore, each of the Borrower and each other Credit Party executing this Agreement waives and agrees not to assert against any Indemnitee, and shall cause each other Credit Party to waive and not assert against any Indemnitee, any right of contribution with respect to any Liabilities that may be imposed on, incurred by or asserted against any Related Person. This </w:t>
      </w:r>
      <w:r>
        <w:rPr>
          <w:rFonts w:ascii="Arial" w:cs="Arial" w:eastAsia="Arial" w:hAnsi="Arial"/>
          <w:sz w:val="16"/>
          <w:szCs w:val="16"/>
          <w:u w:val="single" w:color="auto"/>
          <w:color w:val="auto"/>
        </w:rPr>
        <w:t>Section 10.6(a)</w:t>
      </w:r>
      <w:r>
        <w:rPr>
          <w:rFonts w:ascii="Arial" w:cs="Arial" w:eastAsia="Arial" w:hAnsi="Arial"/>
          <w:sz w:val="16"/>
          <w:szCs w:val="16"/>
          <w:color w:val="auto"/>
        </w:rPr>
        <w:t xml:space="preserve"> shall not apply with respect to Taxes other than any Taxes that represent Liabilities arising from any non-Tax claim.</w:t>
      </w:r>
    </w:p>
    <w:p>
      <w:pPr>
        <w:spacing w:after="0" w:line="164" w:lineRule="exact"/>
        <w:rPr>
          <w:rFonts w:ascii="Arial" w:cs="Arial" w:eastAsia="Arial" w:hAnsi="Arial"/>
          <w:sz w:val="16"/>
          <w:szCs w:val="16"/>
          <w:color w:val="auto"/>
        </w:rPr>
      </w:pPr>
    </w:p>
    <w:p>
      <w:pPr>
        <w:ind w:right="160" w:firstLine="464"/>
        <w:spacing w:after="0" w:line="261" w:lineRule="auto"/>
        <w:tabs>
          <w:tab w:leader="none" w:pos="71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Without limiting the foregoing, “</w:t>
      </w:r>
      <w:r>
        <w:rPr>
          <w:rFonts w:ascii="Arial" w:cs="Arial" w:eastAsia="Arial" w:hAnsi="Arial"/>
          <w:sz w:val="18"/>
          <w:szCs w:val="18"/>
          <w:b w:val="1"/>
          <w:bCs w:val="1"/>
          <w:color w:val="auto"/>
        </w:rPr>
        <w:t>Indemnified Matters</w:t>
      </w:r>
      <w:r>
        <w:rPr>
          <w:rFonts w:ascii="Arial" w:cs="Arial" w:eastAsia="Arial" w:hAnsi="Arial"/>
          <w:sz w:val="18"/>
          <w:szCs w:val="18"/>
          <w:color w:val="auto"/>
        </w:rPr>
        <w:t>” includes all Environmental Liabilities imposed on, incurred by or asserted against any Indemnitee arising from, or otherwise involving, any Property of any Credit Party or any Related Person of any Credit Party or any actual, alleged or prospective damage to Real Estate or natural resources or harm or injury alleged to have resulted from any Release of Hazardous Materials on, upon or into such Real Estate or natural resource or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74" w:right="279" w:bottom="1440" w:gutter="0" w:footer="0" w:header="0"/>
        </w:sectPr>
      </w:pPr>
    </w:p>
    <w:bookmarkStart w:id="144" w:name="page145"/>
    <w:bookmarkEnd w:id="144"/>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Property on or contiguous to any Real Estate of any Credit Party or any Related Person of any Credit Party, whether or not, with respect to any such Environmental Liabilities, any Indemnitee is a mortgagee pursuant to any leasehold mortgage, a mortgagee in possession, the successor-in-interest to any Credit Party or any Related Person of any Credit Party or the owner, lessee or operator of any Property of any Related Person through any foreclosure action, in each case except to the extent such Environmental Liabilities (i) are incurred solely following foreclosure by Agent or following Agent or any Lender having become the successor-in-interest to any Credit Party or any Related Person of any Credit Party and (ii) are attributable to acts of such Indemnitee.</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Marshaling; Payments Set Aside</w:t>
      </w:r>
      <w:r>
        <w:rPr>
          <w:rFonts w:ascii="Arial" w:cs="Arial" w:eastAsia="Arial" w:hAnsi="Arial"/>
          <w:sz w:val="17"/>
          <w:szCs w:val="17"/>
          <w:color w:val="auto"/>
        </w:rPr>
        <w:t>. No Secured Party shall be under any obligation to marshal any Property in favor of any Credit Party or any other Person or against or in payment of any Obligation. To the extent that any Secured Party receives a payment from the Borrower, from any other Credit Party, from the proceeds of the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 or part thereof originally intended to be satisfied, and all Liens, rights and remedies therefor, shall be revived and continued in full force and effect as if such payment had not occurred.</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provided that any assignment by any Lender shall be subject to the provisions of </w:t>
      </w:r>
      <w:r>
        <w:rPr>
          <w:rFonts w:ascii="Arial" w:cs="Arial" w:eastAsia="Arial" w:hAnsi="Arial"/>
          <w:sz w:val="16"/>
          <w:szCs w:val="16"/>
          <w:u w:val="single" w:color="auto"/>
          <w:color w:val="auto"/>
        </w:rPr>
        <w:t>Section 10.9</w:t>
      </w:r>
      <w:r>
        <w:rPr>
          <w:rFonts w:ascii="Arial" w:cs="Arial" w:eastAsia="Arial" w:hAnsi="Arial"/>
          <w:sz w:val="16"/>
          <w:szCs w:val="16"/>
          <w:color w:val="auto"/>
        </w:rPr>
        <w:t>, and provided further that no Credit Party may assign or transfer any of its rights or obligations under this Agreement without the prior written consent of Agent and each Lender.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Binding Effect; Assignments and Participations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3" w:lineRule="auto"/>
        <w:tabs>
          <w:tab w:leader="none" w:pos="701"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shall become effective when it shall have been executed by Holdings, the Borrower, the other Credit Parties signatory hereto and Agent and when Agent shall have been notified by each Lender that such Lender has executed it. Thereafter, it shall be binding upon and inure to the benefit of, but only to the benefit of, Holdings, the Borrower, the other Credit Parties hereto (in each case except for Article VIII), Agent, each Lender and each L/C Issuer receiving the benefits of the Loan Documents and, to the extent provided in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each other Secured Party and, in each case, their respective successors and permitted assigns. Except as expressly provided in any Loan Document (including in </w:t>
      </w:r>
      <w:r>
        <w:rPr>
          <w:rFonts w:ascii="Arial" w:cs="Arial" w:eastAsia="Arial" w:hAnsi="Arial"/>
          <w:sz w:val="16"/>
          <w:szCs w:val="16"/>
          <w:u w:val="single" w:color="auto"/>
          <w:color w:val="auto"/>
        </w:rPr>
        <w:t>Section 9.9</w:t>
      </w:r>
      <w:r>
        <w:rPr>
          <w:rFonts w:ascii="Arial" w:cs="Arial" w:eastAsia="Arial" w:hAnsi="Arial"/>
          <w:sz w:val="16"/>
          <w:szCs w:val="16"/>
          <w:color w:val="auto"/>
        </w:rPr>
        <w:t>), none of Holdings, the Borrower, any other Credit Party, any L/C Issuer or Agent shall have the right to assign any rights or obligations hereunder or any interest herein.</w:t>
      </w:r>
    </w:p>
    <w:p>
      <w:pPr>
        <w:spacing w:after="0" w:line="160" w:lineRule="exact"/>
        <w:rPr>
          <w:rFonts w:ascii="Arial" w:cs="Arial" w:eastAsia="Arial" w:hAnsi="Arial"/>
          <w:sz w:val="16"/>
          <w:szCs w:val="16"/>
          <w:color w:val="auto"/>
        </w:rPr>
      </w:pPr>
    </w:p>
    <w:p>
      <w:pPr>
        <w:ind w:right="140" w:firstLine="464"/>
        <w:spacing w:after="0" w:line="282" w:lineRule="auto"/>
        <w:tabs>
          <w:tab w:leader="none" w:pos="711"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Right to Assign</w:t>
      </w:r>
      <w:r>
        <w:rPr>
          <w:rFonts w:ascii="Arial" w:cs="Arial" w:eastAsia="Arial" w:hAnsi="Arial"/>
          <w:sz w:val="18"/>
          <w:szCs w:val="18"/>
          <w:color w:val="auto"/>
        </w:rPr>
        <w:t>. Each Lender may sell, transfer, negotiate or assign (a “</w:t>
      </w:r>
      <w:r>
        <w:rPr>
          <w:rFonts w:ascii="Arial" w:cs="Arial" w:eastAsia="Arial" w:hAnsi="Arial"/>
          <w:sz w:val="18"/>
          <w:szCs w:val="18"/>
          <w:b w:val="1"/>
          <w:bCs w:val="1"/>
          <w:color w:val="auto"/>
        </w:rPr>
        <w:t>Sale</w:t>
      </w:r>
      <w:r>
        <w:rPr>
          <w:rFonts w:ascii="Arial" w:cs="Arial" w:eastAsia="Arial" w:hAnsi="Arial"/>
          <w:sz w:val="18"/>
          <w:szCs w:val="18"/>
          <w:color w:val="auto"/>
        </w:rPr>
        <w:t>”) all or a portion of its rights and obligations hereunder (including all or a portion of its Commitments and its rights and obligations with respect to Loans and Letters of Credit) to:</w:t>
      </w:r>
    </w:p>
    <w:p>
      <w:pPr>
        <w:spacing w:after="0" w:line="57" w:lineRule="exact"/>
        <w:rPr>
          <w:rFonts w:ascii="Arial" w:cs="Arial" w:eastAsia="Arial" w:hAnsi="Arial"/>
          <w:sz w:val="18"/>
          <w:szCs w:val="18"/>
          <w:color w:val="auto"/>
        </w:rPr>
      </w:pPr>
    </w:p>
    <w:p>
      <w:pPr>
        <w:ind w:left="1560" w:hanging="219"/>
        <w:spacing w:after="0"/>
        <w:tabs>
          <w:tab w:leader="none" w:pos="15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existing Lender (other than a Defaulting Lender);</w:t>
      </w:r>
    </w:p>
    <w:p>
      <w:pPr>
        <w:spacing w:after="0" w:line="117" w:lineRule="exact"/>
        <w:rPr>
          <w:rFonts w:ascii="Arial" w:cs="Arial" w:eastAsia="Arial" w:hAnsi="Arial"/>
          <w:sz w:val="18"/>
          <w:szCs w:val="18"/>
          <w:color w:val="auto"/>
        </w:rPr>
      </w:pPr>
    </w:p>
    <w:p>
      <w:pPr>
        <w:ind w:left="920" w:right="180" w:firstLine="421"/>
        <w:spacing w:after="0" w:line="277" w:lineRule="auto"/>
        <w:tabs>
          <w:tab w:leader="none" w:pos="160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Affiliate or Approved Fund of any existing Lender (other than a natural Person or a holding company, investment vehicle or trust for, or owned and operated for the primary benefit of, a natural Person, or a Defaulting Lender);</w:t>
      </w:r>
    </w:p>
    <w:p>
      <w:pPr>
        <w:spacing w:after="0" w:line="62" w:lineRule="exact"/>
        <w:rPr>
          <w:rFonts w:ascii="Arial" w:cs="Arial" w:eastAsia="Arial" w:hAnsi="Arial"/>
          <w:sz w:val="18"/>
          <w:szCs w:val="18"/>
          <w:color w:val="auto"/>
        </w:rPr>
      </w:pPr>
    </w:p>
    <w:p>
      <w:pPr>
        <w:ind w:left="920" w:right="20" w:firstLine="421"/>
        <w:spacing w:after="0" w:line="257" w:lineRule="auto"/>
        <w:tabs>
          <w:tab w:leader="none" w:pos="165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other Person (other than a natural Person, a Defaulting Lender or the Borrower or any of the Borrower’s Affiliates or Subsidiaries) who is an “accredited investor” (as defined in Regulation D of the Securities Act of 1933) acceptable (which acceptances shall not be unreasonably withheld or delayed) to Agent and, as long as no Event of Default is continuing, the Borrower, and, in the case of any Sale of a Revolving Loan, Letter of Credit or Revolving Loan Commitment, each L/C Issuer that is a Lender (which acceptances of L/C Issuer and the Borrower shall be deemed to have been given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274" w:right="279" w:bottom="1440" w:gutter="0" w:footer="0" w:header="0"/>
        </w:sectPr>
      </w:pPr>
    </w:p>
    <w:bookmarkStart w:id="145" w:name="page146"/>
    <w:bookmarkEnd w:id="14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an objection is delivered to Agent within five (5) Business Days after notice of a proposed Sale is delivered to the L/C Issuer and the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as applicable). Notwithstanding any provision herein to the contrary:</w:t>
      </w:r>
    </w:p>
    <w:p>
      <w:pPr>
        <w:spacing w:after="0" w:line="103" w:lineRule="exact"/>
        <w:rPr>
          <w:sz w:val="20"/>
          <w:szCs w:val="20"/>
          <w:color w:val="auto"/>
        </w:rPr>
      </w:pPr>
    </w:p>
    <w:p>
      <w:pPr>
        <w:ind w:left="1040" w:right="400" w:firstLine="389"/>
        <w:spacing w:after="0" w:line="342" w:lineRule="auto"/>
        <w:tabs>
          <w:tab w:leader="none" w:pos="173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such Sales do not have to be ratable between the Revolving Loan and Term Loans or between each Term Loan but must be ratable among the obligations owing to and owed by such Lender with respect to the Revolving Loans or a Term Loan;</w:t>
      </w:r>
    </w:p>
    <w:p>
      <w:pPr>
        <w:spacing w:after="0" w:line="15" w:lineRule="exact"/>
        <w:rPr>
          <w:rFonts w:ascii="Arial" w:cs="Arial" w:eastAsia="Arial" w:hAnsi="Arial"/>
          <w:sz w:val="16"/>
          <w:szCs w:val="16"/>
          <w:color w:val="auto"/>
        </w:rPr>
      </w:pPr>
    </w:p>
    <w:p>
      <w:pPr>
        <w:ind w:left="1040" w:right="60" w:firstLine="389"/>
        <w:spacing w:after="0" w:line="257" w:lineRule="auto"/>
        <w:tabs>
          <w:tab w:leader="none" w:pos="172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each Loan, the aggregate outstanding principal amount (determined as of the effective date of the applicable Assignment) of the Loans, Commitments and Letter of Credit Obligations subject to any such Sale shall be in a minimum amount of $1,000,000, unless such Sale is made to an existing Lender or an Affiliate or Approved Fund of any existing Lender, is of the assignor’s (together with its Affiliates and Approved Funds) entire interest in such facility or is made with the prior consent of the Borrower (to the extent the Borrower’s consent is otherwise required) and Agent;</w:t>
      </w:r>
    </w:p>
    <w:p>
      <w:pPr>
        <w:spacing w:after="0" w:line="80" w:lineRule="exact"/>
        <w:rPr>
          <w:rFonts w:ascii="Arial" w:cs="Arial" w:eastAsia="Arial" w:hAnsi="Arial"/>
          <w:sz w:val="18"/>
          <w:szCs w:val="18"/>
          <w:color w:val="auto"/>
        </w:rPr>
      </w:pPr>
    </w:p>
    <w:p>
      <w:pPr>
        <w:ind w:left="1720" w:hanging="291"/>
        <w:spacing w:after="0"/>
        <w:tabs>
          <w:tab w:leader="none" w:pos="17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interest accrued, other than any interest that is payable-in-kind, prior to and through the date of any such Sale may not be</w:t>
      </w:r>
    </w:p>
    <w:p>
      <w:pPr>
        <w:spacing w:after="0" w:line="34" w:lineRule="exact"/>
        <w:rPr>
          <w:rFonts w:ascii="Arial" w:cs="Arial" w:eastAsia="Arial" w:hAnsi="Arial"/>
          <w:sz w:val="17"/>
          <w:szCs w:val="17"/>
          <w:color w:val="auto"/>
        </w:rPr>
      </w:pPr>
    </w:p>
    <w:p>
      <w:pPr>
        <w:ind w:left="1040"/>
        <w:spacing w:after="0"/>
        <w:rPr>
          <w:rFonts w:ascii="Arial" w:cs="Arial" w:eastAsia="Arial" w:hAnsi="Arial"/>
          <w:sz w:val="17"/>
          <w:szCs w:val="17"/>
          <w:color w:val="auto"/>
        </w:rPr>
      </w:pPr>
      <w:r>
        <w:rPr>
          <w:rFonts w:ascii="Arial" w:cs="Arial" w:eastAsia="Arial" w:hAnsi="Arial"/>
          <w:sz w:val="18"/>
          <w:szCs w:val="18"/>
          <w:color w:val="auto"/>
        </w:rPr>
        <w:t>assigned;</w:t>
      </w:r>
    </w:p>
    <w:p>
      <w:pPr>
        <w:spacing w:after="0" w:line="102" w:lineRule="exact"/>
        <w:rPr>
          <w:rFonts w:ascii="Arial" w:cs="Arial" w:eastAsia="Arial" w:hAnsi="Arial"/>
          <w:sz w:val="17"/>
          <w:szCs w:val="17"/>
          <w:color w:val="auto"/>
        </w:rPr>
      </w:pPr>
    </w:p>
    <w:p>
      <w:pPr>
        <w:ind w:left="1040" w:right="40" w:firstLine="389"/>
        <w:spacing w:after="0" w:line="264" w:lineRule="auto"/>
        <w:tabs>
          <w:tab w:leader="none" w:pos="173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such Sales by Lenders who are Defaulting Lenders due to clause (a) of the definition of Defaulting Lender shall be subject to Agent’s prior written consent in all instances, unless in connection with such sale, such Defaulting Lender cures, or causes the cure of, its Defaulting Lender status as contemplated in </w:t>
      </w:r>
      <w:r>
        <w:rPr>
          <w:rFonts w:ascii="Arial" w:cs="Arial" w:eastAsia="Arial" w:hAnsi="Arial"/>
          <w:sz w:val="18"/>
          <w:szCs w:val="18"/>
          <w:u w:val="single" w:color="auto"/>
          <w:color w:val="auto"/>
        </w:rPr>
        <w:t>Section 2.11(e)(v)</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1700" w:hanging="271"/>
        <w:spacing w:after="0"/>
        <w:tabs>
          <w:tab w:leader="none" w:pos="17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 xml:space="preserve">assignments and participations to Disqualified Institutions shall be subject to the terms and conditions in </w:t>
      </w:r>
      <w:r>
        <w:rPr>
          <w:rFonts w:ascii="Arial" w:cs="Arial" w:eastAsia="Arial" w:hAnsi="Arial"/>
          <w:sz w:val="17"/>
          <w:szCs w:val="17"/>
          <w:u w:val="single" w:color="auto"/>
          <w:color w:val="auto"/>
        </w:rPr>
        <w:t>Section 10.9(g)</w:t>
      </w:r>
      <w:r>
        <w:rPr>
          <w:rFonts w:ascii="Arial" w:cs="Arial" w:eastAsia="Arial" w:hAnsi="Arial"/>
          <w:sz w:val="17"/>
          <w:szCs w:val="17"/>
          <w:color w:val="auto"/>
        </w:rPr>
        <w:t>.</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Agent’s refusal to accept a Sale to a Credit Party, a Subsidiary of a Credit Party or a Person that would be a Defaulting Lender, or the imposition of conditions or limitations (including limitations on voting) upon Sales to such Persons, shall not be deemed to be unreasonable. In the event of any purported assignment or transfer by a Lender of its rights or obligations under this Agreement and the other Loan Documents to any Affiliate of the Borrower (other than Holdings or any of its Subsidiaries) that does not comply with the terms hereof, the Borrower shall, within ten (10) Business Days cause the applicable Affiliate to contribute such Term Loans to the common equity of the Borrower (which such Term Loans and all rights and obligations as a Term Lender related thereto, immediately and automatically, without any further action on the part of the Borrower, any Lender, Agent or any other Person, upon such contribution shall, for all purposes under this Agreement, the other Loan Documents and otherwise, be deemed to be irrevocably prepaid, terminated, extinguished, cancelled and of no further force and effect and the Borrower shall neither obtain nor have any rights as a Lender hereunder or under the other Loan Documents by virtue of such assignment). Any Loan acquired by Holdings or any Subsidiary thereof shall immediately upon such acquisition be deemed to be irrevocably prepaid, terminated, extinguished, cancelled and of no further force and effect. Any purported assignment or transfer by a Lender of its rights or obligations under this Agreement and the other Loan Documents to any Person not Affiliated with the Borrower that does not comply with the terms hereof shall be treated for purposes of this Agreement as a sale by such Lender of a participation of such rights and obligations in accordance with </w:t>
      </w:r>
      <w:r>
        <w:rPr>
          <w:rFonts w:ascii="Arial" w:cs="Arial" w:eastAsia="Arial" w:hAnsi="Arial"/>
          <w:sz w:val="17"/>
          <w:szCs w:val="17"/>
          <w:u w:val="single" w:color="auto"/>
          <w:color w:val="auto"/>
        </w:rPr>
        <w:t>Section 10.9(f)</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in the case of a purported transfer to a Disqualified Institution), provided that such treatment shall not relieve any assigning Lender from any Liabilities arising as a consequence of its breach of this Agreement.</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60"/>
          </w:cols>
          <w:pgMar w:left="700" w:top="274" w:right="239" w:bottom="1440" w:gutter="0" w:footer="0" w:header="0"/>
        </w:sectPr>
      </w:pPr>
    </w:p>
    <w:bookmarkStart w:id="146" w:name="page147"/>
    <w:bookmarkEnd w:id="146"/>
    <w:p>
      <w:pPr>
        <w:ind w:left="-8" w:right="80" w:firstLine="464"/>
        <w:spacing w:after="0" w:line="288" w:lineRule="auto"/>
        <w:tabs>
          <w:tab w:leader="none" w:pos="693"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w:t>
      </w:r>
      <w:r>
        <w:rPr>
          <w:rFonts w:ascii="Arial" w:cs="Arial" w:eastAsia="Arial" w:hAnsi="Arial"/>
          <w:sz w:val="16"/>
          <w:szCs w:val="16"/>
          <w:color w:val="auto"/>
        </w:rPr>
        <w:t xml:space="preserve">. The parties to each Sale made in reliance on clause (b) above (other than those described in clause (e) or (f) below) shall execute and deliver to Agent an Assignment via an electronic settlement system designated by Agent (or, if previously agreed with Agent, via a manual execution and delivery of the Assignment) evidencing such Sale, together with any existing Note subject to such Sale (or any affidavit of loss therefor acceptable to Agent), any Tax forms required to be delivered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payment of an assignment fee in the amount of $3,500 to Agent, unless waived or reduced by Agent; provided that (i) if a Sale by a Lender is made to an Affiliate or an Approved Fund of such assigning Lender, then no assignment fee shall be due in connection with such Sale, and (ii) if a Sale by a Lender is made to an assignee that is not an Affiliate or Approved Fund of such assignor Lender, and concurrently to one or more Affiliates or Approved Funds of such assignee, then only one assignment fee of $3,500 shall be due in connection with such Sale (unless waived or reduced by Agent). Upon receipt of all the foregoing, and conditioned upon such receipt and, if such Assignment is made in accordance with clause (iv) of </w:t>
      </w:r>
      <w:r>
        <w:rPr>
          <w:rFonts w:ascii="Arial" w:cs="Arial" w:eastAsia="Arial" w:hAnsi="Arial"/>
          <w:sz w:val="16"/>
          <w:szCs w:val="16"/>
          <w:u w:val="single" w:color="auto"/>
          <w:color w:val="auto"/>
        </w:rPr>
        <w:t>Section 10.9(b)</w:t>
      </w:r>
      <w:r>
        <w:rPr>
          <w:rFonts w:ascii="Arial" w:cs="Arial" w:eastAsia="Arial" w:hAnsi="Arial"/>
          <w:sz w:val="16"/>
          <w:szCs w:val="16"/>
          <w:color w:val="auto"/>
        </w:rPr>
        <w:t>, upon Agent (and, if applicable, the Borrower and L/C Issuer) consenting to such Assignment, from and after the effective date specified in such Assignment, Agent shall record or cause to be recorded in the Register the information contained in such Assignment.</w:t>
      </w:r>
    </w:p>
    <w:p>
      <w:pPr>
        <w:spacing w:after="0" w:line="169" w:lineRule="exact"/>
        <w:rPr>
          <w:rFonts w:ascii="Arial" w:cs="Arial" w:eastAsia="Arial" w:hAnsi="Arial"/>
          <w:sz w:val="16"/>
          <w:szCs w:val="16"/>
          <w:color w:val="auto"/>
        </w:rPr>
      </w:pPr>
    </w:p>
    <w:p>
      <w:pPr>
        <w:ind w:left="-8" w:right="140" w:firstLine="464"/>
        <w:spacing w:after="0" w:line="291" w:lineRule="auto"/>
        <w:tabs>
          <w:tab w:leader="none" w:pos="703"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Subject to the recording of an Assignment by Agent in the Register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(i) the assignee thereunder shall become a party hereto and, to the extent that rights and obligations under the Loan Documents have been assigned to such assignee pursuant to such Assignment, shall have the rights and obligations of a Lender, (ii) any applicable Note shall be transferred to such assignee through such entry and (iii) the assignor thereunder shall, to the extent that rights and obligations under this Agreement have been assigned by it pursuant to such Assignment, relinquish its rights (except for those surviving the termination of the Commitments and the payment in full of the Obligations) and be released from its obligations under the Loan Documents, other than those relating to events or circumstances occurring prior to such assignment (and, in the case of an Assignment covering all or the remaining portion of an assigning Lender’s rights and obligations under the Loan Documents, such Lender shall cease to be a party hereto).</w:t>
      </w:r>
    </w:p>
    <w:p>
      <w:pPr>
        <w:spacing w:after="0" w:line="167" w:lineRule="exact"/>
        <w:rPr>
          <w:rFonts w:ascii="Arial" w:cs="Arial" w:eastAsia="Arial" w:hAnsi="Arial"/>
          <w:sz w:val="16"/>
          <w:szCs w:val="16"/>
          <w:color w:val="auto"/>
        </w:rPr>
      </w:pPr>
    </w:p>
    <w:p>
      <w:pPr>
        <w:ind w:left="-8" w:right="100" w:firstLine="464"/>
        <w:spacing w:after="0" w:line="285" w:lineRule="auto"/>
        <w:tabs>
          <w:tab w:leader="none" w:pos="693"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Interests</w:t>
      </w:r>
      <w:r>
        <w:rPr>
          <w:rFonts w:ascii="Arial" w:cs="Arial" w:eastAsia="Arial" w:hAnsi="Arial"/>
          <w:sz w:val="16"/>
          <w:szCs w:val="16"/>
          <w:color w:val="auto"/>
        </w:rPr>
        <w:t xml:space="preserve">. In addition to the other rights provided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each Lender may grant a security interest in, or otherwise assign as collateral, any of its rights under this Agreement, whether now owned or hereafter acquired (including rights to payments of principal or interest on the Loans), to (A) any federal reserve bank (pursuant to Regulation A of the Federal Reserve Board), without notice to Agent or (B) any holder of, or trustee for the benefit of the holders of, such Lender’s Indebtedness or equity securities, by notice to Agent; provided, however, that no such holder or trustee, whether because of such grant or assignment or any foreclosure thereon (unless such foreclosure is made through an assignment in accordance with clause</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above), shall be entitled to any rights of such Lender hereunder and no such Lender shall be relieved of any of its obligations hereunder.</w:t>
      </w:r>
    </w:p>
    <w:p>
      <w:pPr>
        <w:spacing w:after="0" w:line="210" w:lineRule="exact"/>
        <w:rPr>
          <w:rFonts w:ascii="Arial" w:cs="Arial" w:eastAsia="Arial" w:hAnsi="Arial"/>
          <w:sz w:val="18"/>
          <w:szCs w:val="18"/>
          <w:color w:val="auto"/>
        </w:rPr>
      </w:pPr>
    </w:p>
    <w:p>
      <w:pPr>
        <w:ind w:left="-8" w:firstLine="464"/>
        <w:spacing w:after="0" w:line="288" w:lineRule="auto"/>
        <w:tabs>
          <w:tab w:leader="none" w:pos="673"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t>Participants and SPVs</w:t>
      </w:r>
      <w:r>
        <w:rPr>
          <w:rFonts w:ascii="Arial" w:cs="Arial" w:eastAsia="Arial" w:hAnsi="Arial"/>
          <w:sz w:val="16"/>
          <w:szCs w:val="16"/>
          <w:color w:val="auto"/>
        </w:rPr>
        <w:t xml:space="preserve">. In addition to the other rights provided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each Lender may, (x) with notice to Agent, grant to an SPV the option to make all or any part of any Loan that such Lender would otherwise be required to make hereunder (and the exercise of such option by such SPV and the making of Loans pursuant thereto shall satisfy the obligation of such Lender to make such Loans hereunder) and such SPV may assign to such Lender the right to receive payment with respect to any Obligation and (y) without notice to or consent from Agent or the Borrower, sell participations to one or more Persons (other than a natural Person, or a holding company, investment vehicle or trust for, or owned and operated for the primary benefit of, a natural Person, or the Borrower or any of the Borrower’s Affiliates or Subsidiaries) in or to all or a portion of its rights and obligations under the Loan Documents (including all its rights and obligations with respect to the Term Loans, Revolving Loans and Letters of Credit); provided, however, that, whether as a result of any term of any Loan Document or of such grant or participation, (i) no such SPV or participant shall have a commitment, or be deemed to have made an offer to commit, to make Loans hereunder, and, except as provided in the applicable option agreement, none shall be liable for any obligation of such Lender hereunder, (ii) such Lender’s rights and obligations, and the rights and obligations of the Credit Parties and the Secured Parties towards such Lender, under</w:t>
      </w:r>
    </w:p>
    <w:p>
      <w:pPr>
        <w:spacing w:after="0" w:line="1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12"/>
          </w:cols>
          <w:pgMar w:left="248"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Document shall remain unchanged and each other party hereto shall continue to deal solely with such Lender, which shall remain the holder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Obligations in the Register, except that (A) each such participant and SPV shall be entitled to the benefit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but, with respect to </w:t>
      </w:r>
      <w:r>
        <w:rPr>
          <w:rFonts w:ascii="Arial" w:cs="Arial" w:eastAsia="Arial" w:hAnsi="Arial"/>
          <w:sz w:val="16"/>
          <w:szCs w:val="16"/>
          <w:u w:val="single" w:color="auto"/>
          <w:color w:val="auto"/>
        </w:rPr>
        <w:t>Section 11.1</w:t>
      </w:r>
      <w:r>
        <w:rPr>
          <w:rFonts w:ascii="Arial" w:cs="Arial" w:eastAsia="Arial" w:hAnsi="Arial"/>
          <w:sz w:val="16"/>
          <w:szCs w:val="16"/>
          <w:color w:val="auto"/>
        </w:rPr>
        <w:t>, only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the extent such participant or SPV delivers the Tax forms such Lender is required to collect pursuant to </w:t>
      </w:r>
      <w:r>
        <w:rPr>
          <w:rFonts w:ascii="Arial" w:cs="Arial" w:eastAsia="Arial" w:hAnsi="Arial"/>
          <w:sz w:val="16"/>
          <w:szCs w:val="16"/>
          <w:u w:val="single" w:color="auto"/>
          <w:color w:val="auto"/>
        </w:rPr>
        <w:t>Section 11.1(g)</w:t>
      </w:r>
      <w:r>
        <w:rPr>
          <w:rFonts w:ascii="Arial" w:cs="Arial" w:eastAsia="Arial" w:hAnsi="Arial"/>
          <w:sz w:val="16"/>
          <w:szCs w:val="16"/>
          <w:color w:val="auto"/>
        </w:rPr>
        <w:t xml:space="preserve"> and then only to the extent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to which such Lender would be entitled in the absence of any such grant or participation except to the extent such entitlement to receive a greater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results from any change in, or in the interpretation of, any Requirement of Law that occurs after the date such grant or participation is made (and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of the foregoing, each such Participant and SPV shall be deemed to have acknowledged and agreed to be bound by the provisions of</w:t>
      </w:r>
    </w:p>
    <w:p>
      <w:pPr>
        <w:spacing w:after="0" w:line="21" w:lineRule="exact"/>
        <w:rPr>
          <w:sz w:val="20"/>
          <w:szCs w:val="20"/>
          <w:color w:val="auto"/>
        </w:rPr>
      </w:pPr>
    </w:p>
    <w:p>
      <w:pPr>
        <w:spacing w:after="0" w:line="281" w:lineRule="auto"/>
        <w:rPr>
          <w:sz w:val="20"/>
          <w:szCs w:val="20"/>
          <w:color w:val="auto"/>
        </w:rPr>
      </w:pPr>
      <w:r>
        <w:rPr>
          <w:rFonts w:ascii="Arial" w:cs="Arial" w:eastAsia="Arial" w:hAnsi="Arial"/>
          <w:sz w:val="16"/>
          <w:szCs w:val="16"/>
          <w:u w:val="single" w:color="auto"/>
          <w:color w:val="auto"/>
        </w:rPr>
        <w:t>Section 10.20</w:t>
      </w:r>
      <w:r>
        <w:rPr>
          <w:rFonts w:ascii="Arial" w:cs="Arial" w:eastAsia="Arial" w:hAnsi="Arial"/>
          <w:sz w:val="16"/>
          <w:szCs w:val="16"/>
          <w:color w:val="auto"/>
        </w:rPr>
        <w:t>) and (B) each such SPV may receive other payments that would otherwise be made to such Lender with respect to Loans funded by such SPV to the extent provided in the applicable option agreement and set forth in a notice provided to Agent by such SPV and such Lender, provided, however, that in no case (including pursuant to clause (A) or (B) above) shall an SPV or participant have the right to enforce any of the terms of any Loan Document, and</w:t>
      </w:r>
    </w:p>
    <w:p>
      <w:pPr>
        <w:spacing w:after="0" w:line="2" w:lineRule="exact"/>
        <w:rPr>
          <w:sz w:val="20"/>
          <w:szCs w:val="20"/>
          <w:color w:val="auto"/>
        </w:rPr>
      </w:pPr>
    </w:p>
    <w:p>
      <w:pPr>
        <w:ind w:firstLine="8"/>
        <w:spacing w:after="0" w:line="281" w:lineRule="auto"/>
        <w:tabs>
          <w:tab w:leader="none" w:pos="31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consent of such SPV or participant shall not be required (either directly, as a restraint on such Lender’s ability to consent hereunder or otherwise) for any amendments, waivers or consents with respect to any Loan Document or to exercise or refrain from exercising any powers or rights such Lender may have under or in respect of the Loan Documents (including the right to enforce or direct enforcement of the Obligations), except for those described in clauses</w:t>
      </w:r>
    </w:p>
    <w:p>
      <w:pPr>
        <w:spacing w:after="0" w:line="2" w:lineRule="exact"/>
        <w:rPr>
          <w:rFonts w:ascii="Arial" w:cs="Arial" w:eastAsia="Arial" w:hAnsi="Arial"/>
          <w:sz w:val="16"/>
          <w:szCs w:val="16"/>
          <w:color w:val="auto"/>
        </w:rPr>
      </w:pPr>
    </w:p>
    <w:p>
      <w:pPr>
        <w:ind w:right="40" w:firstLine="8"/>
        <w:spacing w:after="0" w:line="266" w:lineRule="auto"/>
        <w:tabs>
          <w:tab w:leader="none" w:pos="26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and (iii) of </w:t>
      </w:r>
      <w:r>
        <w:rPr>
          <w:rFonts w:ascii="Arial" w:cs="Arial" w:eastAsia="Arial" w:hAnsi="Arial"/>
          <w:sz w:val="17"/>
          <w:szCs w:val="17"/>
          <w:u w:val="single" w:color="auto"/>
          <w:color w:val="auto"/>
        </w:rPr>
        <w:t>Section 10.1(a)</w:t>
      </w:r>
      <w:r>
        <w:rPr>
          <w:rFonts w:ascii="Arial" w:cs="Arial" w:eastAsia="Arial" w:hAnsi="Arial"/>
          <w:sz w:val="17"/>
          <w:szCs w:val="17"/>
          <w:color w:val="auto"/>
        </w:rPr>
        <w:t xml:space="preserve"> with respect to amounts, or dates fixed for payment of amounts, to which such participant or SPV would otherwise be entitled and, in the case of participants, except for those described in clause (vii) of </w:t>
      </w:r>
      <w:r>
        <w:rPr>
          <w:rFonts w:ascii="Arial" w:cs="Arial" w:eastAsia="Arial" w:hAnsi="Arial"/>
          <w:sz w:val="17"/>
          <w:szCs w:val="17"/>
          <w:u w:val="single" w:color="auto"/>
          <w:color w:val="auto"/>
        </w:rPr>
        <w:t>Section 10.1(a)</w:t>
      </w:r>
      <w:r>
        <w:rPr>
          <w:rFonts w:ascii="Arial" w:cs="Arial" w:eastAsia="Arial" w:hAnsi="Arial"/>
          <w:sz w:val="17"/>
          <w:szCs w:val="17"/>
          <w:color w:val="auto"/>
        </w:rPr>
        <w:t>. No party hereto shall institute (and the Borrower and Holdings shall cause each other Credit Party not to institute) against any SPV grantee of an option pursuant to this clause (f) any bankruptcy, reorganization, insolvency, liquidation or similar proceeding, prior to the date that is one year and one day after the payment in full of all outstanding commercial paper of such SPV; provided, however, that each Lender having designated an SPV as such agrees to indemnify each Indemnitee against any Liability that may be incurred by, or asserted against, such Indemnitee as a result of failing to institute such proceeding (including a failure to be reimbursed by such SPV for any such Liability). The agreement in the preceding sentence shall survive the termination of the Commitments and the payment in full of the Obligations.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Agent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shall have no responsibility for maintaining a Participant Register.</w:t>
      </w:r>
    </w:p>
    <w:p>
      <w:pPr>
        <w:spacing w:after="0" w:line="192" w:lineRule="exact"/>
        <w:rPr>
          <w:rFonts w:ascii="Arial" w:cs="Arial" w:eastAsia="Arial" w:hAnsi="Arial"/>
          <w:sz w:val="17"/>
          <w:szCs w:val="17"/>
          <w:color w:val="auto"/>
        </w:rPr>
      </w:pPr>
    </w:p>
    <w:p>
      <w:pPr>
        <w:ind w:left="720" w:hanging="256"/>
        <w:spacing w:after="0"/>
        <w:tabs>
          <w:tab w:leader="none" w:pos="7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Disqualified Institutions.</w:t>
      </w:r>
    </w:p>
    <w:p>
      <w:pPr>
        <w:spacing w:after="0" w:line="113" w:lineRule="exact"/>
        <w:rPr>
          <w:rFonts w:ascii="Arial" w:cs="Arial" w:eastAsia="Arial" w:hAnsi="Arial"/>
          <w:sz w:val="18"/>
          <w:szCs w:val="18"/>
          <w:color w:val="auto"/>
        </w:rPr>
      </w:pPr>
    </w:p>
    <w:p>
      <w:pPr>
        <w:ind w:left="920" w:right="20" w:firstLine="421"/>
        <w:spacing w:after="0" w:line="255" w:lineRule="auto"/>
        <w:tabs>
          <w:tab w:leader="none" w:pos="1555" w:val="left"/>
        </w:tabs>
        <w:numPr>
          <w:ilvl w:val="2"/>
          <w:numId w:val="178"/>
        </w:numPr>
        <w:rPr>
          <w:rFonts w:ascii="Arial" w:cs="Arial" w:eastAsia="Arial" w:hAnsi="Arial"/>
          <w:sz w:val="18"/>
          <w:szCs w:val="18"/>
          <w:color w:val="auto"/>
        </w:rPr>
      </w:pPr>
      <w:r>
        <w:rPr>
          <w:rFonts w:ascii="Arial" w:cs="Arial" w:eastAsia="Arial" w:hAnsi="Arial"/>
          <w:sz w:val="18"/>
          <w:szCs w:val="18"/>
          <w:color w:val="auto"/>
        </w:rPr>
        <w:t>No assignment or participation shall be made to any Person that was a Disqualified Institution as of the date (the “</w:t>
      </w:r>
      <w:r>
        <w:rPr>
          <w:rFonts w:ascii="Arial" w:cs="Arial" w:eastAsia="Arial" w:hAnsi="Arial"/>
          <w:sz w:val="18"/>
          <w:szCs w:val="18"/>
          <w:b w:val="1"/>
          <w:bCs w:val="1"/>
          <w:color w:val="auto"/>
        </w:rPr>
        <w:t>Trade Date</w:t>
      </w:r>
      <w:r>
        <w:rPr>
          <w:rFonts w:ascii="Arial" w:cs="Arial" w:eastAsia="Arial" w:hAnsi="Arial"/>
          <w:sz w:val="18"/>
          <w:szCs w:val="18"/>
          <w:color w:val="auto"/>
        </w:rPr>
        <w:t>”) on which the assigning or transferring Lender entered into a binding agreement to sell and assign, or grant a participation in, all or a portion of its rights and obligations under this Agreement, as applicable, to such Person unless Agent and unless a Specified Event of Default has occurred and is continuing, the Borrower has consented in writing in its sole and absolute discretion to such assignment or participation, in which case such Person will not be considered a Disqualified Institution for the purpose of such assignment or participation. For the avoidance of doubt, the execution by the Borrower or Agent of an Assignment with respect to such an assignment will not by itself result in such assignee no longer being considered a Disqualified Institution.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74" w:right="259" w:bottom="1440" w:gutter="0" w:footer="0" w:header="0"/>
        </w:sectPr>
      </w:pPr>
    </w:p>
    <w:bookmarkStart w:id="148" w:name="page149"/>
    <w:bookmarkEnd w:id="148"/>
    <w:p>
      <w:pPr>
        <w:ind w:left="-1" w:right="20" w:firstLine="421"/>
        <w:spacing w:after="0" w:line="272" w:lineRule="auto"/>
        <w:tabs>
          <w:tab w:leader="none" w:pos="684" w:val="left"/>
        </w:tabs>
        <w:numPr>
          <w:ilvl w:val="1"/>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and each assignor of a Loan or seller of a participation hereunder shall be entitled to rely conclusively on a representation of the assignee Lender or Participant in the relevant Assignment or participation agreement, as applicable, that such assignee or purchaser is not a Disqualified Institution. The Agent shall have the right, and the Borrower hereby expressly authorizes Agent, to (A) post the list of Disqualified Institutions provided by the Borrower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an E-System, including that portion of such E-System that is designated for “public side” Lenders and/or (B) provide the DQ List to each Lender (who may share the DQ List with any prospective Lender) requesting the same. Any assignment to a Disqualified Institution or grant or sale of participation to a Disqualified Institution in violation of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shall not be void, but the other provisions of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shall apply.</w:t>
      </w:r>
    </w:p>
    <w:p>
      <w:pPr>
        <w:spacing w:after="0" w:line="69" w:lineRule="exact"/>
        <w:rPr>
          <w:rFonts w:ascii="Arial" w:cs="Arial" w:eastAsia="Arial" w:hAnsi="Arial"/>
          <w:sz w:val="17"/>
          <w:szCs w:val="17"/>
          <w:color w:val="auto"/>
        </w:rPr>
      </w:pPr>
    </w:p>
    <w:p>
      <w:pPr>
        <w:ind w:left="-1" w:right="20" w:firstLine="421"/>
        <w:spacing w:after="0" w:line="287" w:lineRule="auto"/>
        <w:tabs>
          <w:tab w:leader="none" w:pos="734"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is made to any Disqualified Institution without the consents required by this </w:t>
      </w:r>
      <w:r>
        <w:rPr>
          <w:rFonts w:ascii="Arial" w:cs="Arial" w:eastAsia="Arial" w:hAnsi="Arial"/>
          <w:sz w:val="16"/>
          <w:szCs w:val="16"/>
          <w:u w:val="single" w:color="auto"/>
          <w:color w:val="auto"/>
        </w:rPr>
        <w:t>Section 10.9(g)</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10.9(b)</w:t>
      </w:r>
      <w:r>
        <w:rPr>
          <w:rFonts w:ascii="Arial" w:cs="Arial" w:eastAsia="Arial" w:hAnsi="Arial"/>
          <w:sz w:val="16"/>
          <w:szCs w:val="16"/>
          <w:color w:val="auto"/>
        </w:rPr>
        <w:t xml:space="preserve">, the Borrower may, upon notice to the applicable Disqualified Institution and Agent, (1) terminate the Revolving Loan Commitment of such Disqualified Institution and pay or cause to be paid all Obligations of the Borrower owing to such Disqualified Institution in connection with such Revolving Loan Commitment, (2) in the case of outstanding Term Loans held by Disqualified Institutions, purchase or prepay (or cause to be purchased or prepaid)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and conditions contained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all of its interest, rights and obligations under this Agreement and the other Loan Documents to one or more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 Any Term Loan so purchased by the Borrower under this </w:t>
      </w:r>
      <w:r>
        <w:rPr>
          <w:rFonts w:ascii="Arial" w:cs="Arial" w:eastAsia="Arial" w:hAnsi="Arial"/>
          <w:sz w:val="16"/>
          <w:szCs w:val="16"/>
          <w:u w:val="single" w:color="auto"/>
          <w:color w:val="auto"/>
        </w:rPr>
        <w:t>Section 10.9(g)</w:t>
      </w:r>
      <w:r>
        <w:rPr>
          <w:rFonts w:ascii="Arial" w:cs="Arial" w:eastAsia="Arial" w:hAnsi="Arial"/>
          <w:sz w:val="16"/>
          <w:szCs w:val="16"/>
          <w:color w:val="auto"/>
        </w:rPr>
        <w:t xml:space="preserve"> shall upon such purchase be deemed to be irrevocably prepaid, terminated, extinguished, cancelled and of no further force and effect.</w:t>
      </w:r>
    </w:p>
    <w:p>
      <w:pPr>
        <w:spacing w:after="0" w:line="60" w:lineRule="exact"/>
        <w:rPr>
          <w:rFonts w:ascii="Arial" w:cs="Arial" w:eastAsia="Arial" w:hAnsi="Arial"/>
          <w:sz w:val="16"/>
          <w:szCs w:val="16"/>
          <w:color w:val="auto"/>
        </w:rPr>
      </w:pPr>
    </w:p>
    <w:p>
      <w:pPr>
        <w:ind w:left="719" w:hanging="299"/>
        <w:spacing w:after="0"/>
        <w:tabs>
          <w:tab w:leader="none" w:pos="719"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Disqualified Institutions (1) will not have the right to</w:t>
      </w:r>
    </w:p>
    <w:p>
      <w:pPr>
        <w:spacing w:after="0" w:line="23" w:lineRule="exact"/>
        <w:rPr>
          <w:rFonts w:ascii="Arial" w:cs="Arial" w:eastAsia="Arial" w:hAnsi="Arial"/>
          <w:sz w:val="18"/>
          <w:szCs w:val="18"/>
          <w:color w:val="auto"/>
        </w:rPr>
      </w:pPr>
    </w:p>
    <w:p>
      <w:pPr>
        <w:ind w:left="-1" w:firstLine="1"/>
        <w:spacing w:after="0" w:line="286" w:lineRule="auto"/>
        <w:tabs>
          <w:tab w:leader="none" w:pos="254" w:val="left"/>
        </w:tabs>
        <w:numPr>
          <w:ilvl w:val="0"/>
          <w:numId w:val="180"/>
        </w:numPr>
        <w:rPr>
          <w:rFonts w:ascii="Arial" w:cs="Arial" w:eastAsia="Arial" w:hAnsi="Arial"/>
          <w:sz w:val="16"/>
          <w:szCs w:val="16"/>
          <w:color w:val="auto"/>
        </w:rPr>
      </w:pPr>
      <w:r>
        <w:rPr>
          <w:rFonts w:ascii="Arial" w:cs="Arial" w:eastAsia="Arial" w:hAnsi="Arial"/>
          <w:sz w:val="16"/>
          <w:szCs w:val="16"/>
          <w:color w:val="auto"/>
        </w:rPr>
        <w:t>receive information, reports or other materials provided to Agent or Lenders by the Borrower, Agent or any other Lender, (y) attend or participate (including by telephone) in meetings attended by any of the Lenders and/or Agent, or (z) access any electronic site established for the Lenders or confidential communications from counsel to or financial advisors of Agent or the Lenders and (2) (x) for purposes of any consent to any amendment, waiver or modification of, or any action under, and for the purpose of any direction to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pursuant to Section 1126 of the Bankruptcy Code or any similar plan, each Disqualified Institution party hereto hereby agrees (1) not to vote on such plan, (2) if such Disqualified Institution does vote on such plan notwithstanding the restriction in the immediately foregoing clause (1), such vote will be deemed not to be in good faith and shall be “designated” pursuant to Section 1126(e) of the Bankruptcy Code (or any similar provision in any other similar federal, state or foreign law affecting creditor’s rights), and</w:t>
      </w:r>
    </w:p>
    <w:p>
      <w:pPr>
        <w:spacing w:after="0" w:line="103" w:lineRule="exact"/>
        <w:rPr>
          <w:sz w:val="20"/>
          <w:szCs w:val="20"/>
          <w:color w:val="auto"/>
        </w:rPr>
      </w:pPr>
    </w:p>
    <w:p>
      <w:pPr>
        <w:ind w:left="46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439"/>
          </w:cols>
          <w:pgMar w:left="1161" w:top="274" w:right="299" w:bottom="1440" w:gutter="0" w:footer="0" w:header="0"/>
        </w:sectPr>
      </w:pPr>
    </w:p>
    <w:bookmarkStart w:id="149" w:name="page150"/>
    <w:bookmarkEnd w:id="149"/>
    <w:p>
      <w:pPr>
        <w:ind w:left="8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vote shall not be counted in determining whether the applicable class has accepted or rejected such plan in accordance with Section 1126(c) of the Bankruptcy Code (or any similar provision in any other similar federal, state or foreign law affecting creditor’s rights) and (3) not to contest any request by any party for a determination by the Bankruptcy Court (or other applicable court of competent jurisdiction) effectuating the foregoing clause (2).</w:t>
      </w:r>
    </w:p>
    <w:p>
      <w:pPr>
        <w:spacing w:after="0" w:line="187" w:lineRule="exact"/>
        <w:rPr>
          <w:sz w:val="20"/>
          <w:szCs w:val="20"/>
          <w:color w:val="auto"/>
        </w:rPr>
      </w:pPr>
    </w:p>
    <w:p>
      <w:pPr>
        <w:ind w:left="-60" w:right="380" w:firstLine="464"/>
        <w:spacing w:after="0" w:line="308" w:lineRule="auto"/>
        <w:tabs>
          <w:tab w:leader="none" w:pos="651"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Disqualified Institution shall (i) be entitled to bring actions against Agent, in its role as such, (ii) receive advice of counsel or other advisors to Agent or any other Lenders or (iii) challenge the attorney client privilege of Agent or any Lender and their respective counsel.</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Non-Public Information; Confidentiality</w:t>
      </w:r>
      <w:r>
        <w:rPr>
          <w:rFonts w:ascii="Arial" w:cs="Arial" w:eastAsia="Arial" w:hAnsi="Arial"/>
          <w:sz w:val="18"/>
          <w:szCs w:val="18"/>
          <w:color w:val="auto"/>
        </w:rPr>
        <w:t>.</w:t>
      </w:r>
    </w:p>
    <w:p>
      <w:pPr>
        <w:spacing w:after="0" w:line="225" w:lineRule="exact"/>
        <w:rPr>
          <w:sz w:val="20"/>
          <w:szCs w:val="20"/>
          <w:color w:val="auto"/>
        </w:rPr>
      </w:pPr>
    </w:p>
    <w:p>
      <w:pPr>
        <w:ind w:left="640" w:hanging="236"/>
        <w:spacing w:after="0"/>
        <w:tabs>
          <w:tab w:leader="none" w:pos="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Non-Public Information.</w:t>
      </w:r>
    </w:p>
    <w:p>
      <w:pPr>
        <w:spacing w:after="0" w:line="117" w:lineRule="exact"/>
        <w:rPr>
          <w:rFonts w:ascii="Arial" w:cs="Arial" w:eastAsia="Arial" w:hAnsi="Arial"/>
          <w:sz w:val="18"/>
          <w:szCs w:val="18"/>
          <w:color w:val="auto"/>
        </w:rPr>
      </w:pPr>
    </w:p>
    <w:p>
      <w:pPr>
        <w:ind w:left="860" w:right="200" w:firstLine="421"/>
        <w:spacing w:after="0" w:line="291" w:lineRule="auto"/>
        <w:tabs>
          <w:tab w:leader="none" w:pos="1495"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Distribution of Materials to Lenders and L/C Issuers</w:t>
      </w:r>
      <w:r>
        <w:rPr>
          <w:rFonts w:ascii="Arial" w:cs="Arial" w:eastAsia="Arial" w:hAnsi="Arial"/>
          <w:sz w:val="16"/>
          <w:szCs w:val="16"/>
          <w:color w:val="auto"/>
        </w:rPr>
        <w:t>. The Credit Parties acknowledge and agree that (A) the Loan Documents and all reports, notices, communications and other information or materials provided or delivered by, or on behalf of, the Credit Parties hereunder (collectively, the “</w:t>
      </w:r>
      <w:r>
        <w:rPr>
          <w:rFonts w:ascii="Arial" w:cs="Arial" w:eastAsia="Arial" w:hAnsi="Arial"/>
          <w:sz w:val="16"/>
          <w:szCs w:val="16"/>
          <w:b w:val="1"/>
          <w:bCs w:val="1"/>
          <w:color w:val="auto"/>
        </w:rPr>
        <w:t>the Borrower Materials</w:t>
      </w:r>
      <w:r>
        <w:rPr>
          <w:rFonts w:ascii="Arial" w:cs="Arial" w:eastAsia="Arial" w:hAnsi="Arial"/>
          <w:sz w:val="16"/>
          <w:szCs w:val="16"/>
          <w:color w:val="auto"/>
        </w:rPr>
        <w:t>”) may be disseminated by, or on behalf of, Agent, and made available, to the Lenders and the L/C Issuers by posting such the Borrower Materials on an E-System;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t>
      </w:r>
      <w:r>
        <w:rPr>
          <w:rFonts w:ascii="Arial" w:cs="Arial" w:eastAsia="Arial" w:hAnsi="Arial"/>
          <w:sz w:val="16"/>
          <w:szCs w:val="16"/>
          <w:b w:val="1"/>
          <w:bCs w:val="1"/>
          <w:color w:val="auto"/>
        </w:rPr>
        <w:t>MNPI</w:t>
      </w:r>
      <w:r>
        <w:rPr>
          <w:rFonts w:ascii="Arial" w:cs="Arial" w:eastAsia="Arial" w:hAnsi="Arial"/>
          <w:sz w:val="16"/>
          <w:szCs w:val="16"/>
          <w:color w:val="auto"/>
        </w:rPr>
        <w:t>”) with respect to Holdings or its Affiliates, or the respective securities of any of the foregoing, and who may be engaged in investment and other market-related activities with respect to such Persons’ securities. The Credit Parties authorize Agent to download copies of their logos from its website and post copies thereof on an E-System.</w:t>
      </w:r>
    </w:p>
    <w:p>
      <w:pPr>
        <w:spacing w:after="0" w:line="59" w:lineRule="exact"/>
        <w:rPr>
          <w:rFonts w:ascii="Arial" w:cs="Arial" w:eastAsia="Arial" w:hAnsi="Arial"/>
          <w:sz w:val="16"/>
          <w:szCs w:val="16"/>
          <w:color w:val="auto"/>
        </w:rPr>
      </w:pPr>
    </w:p>
    <w:p>
      <w:pPr>
        <w:ind w:left="860" w:firstLine="421"/>
        <w:spacing w:after="0" w:line="286" w:lineRule="auto"/>
        <w:tabs>
          <w:tab w:leader="none" w:pos="1545"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The Credit Parties hereby agree that if either they, any parent company or any Subsidiary of the Credit Parties has publicly traded equity or debt securities in the United States, they shall (and shall cause such parent company or Subsidiary, as the case may be, to) (A) identify in writing, and (B) to the extent reasonably practicable, clearly and conspicuously mark such the Borrower Materials that contain only information that is publicly available or that is not material for purposes of United States federal and state securities laws as “PUBLIC”. The Credit Parties agree that by identifying such the Borrower Materials as “PUBLIC” or publicly filing such the Borrower Materials with the Securities and Exchange Commission, then Agent, the Lenders and the L/C Issuers shall be entitled to treat such the Borrower Materials as not containing any MNPI for purposes of United States federal and state securities laws. The Credit Parties further represent, warrant, acknowledge and agree that the following documents and materials shall be deemed to be PUBLIC, whether or not so marked, and do not contain any MNPI: (I) the Loan Documents, including the schedules and exhibits attached thereto, and (II) administrative materials of a customary nature prepared by the Credit Parties or Agent (including, Notices of Borrowing, Notices of Conversion/Continuation, L/C Requests, Swingline Requests and any similar requests or notices posted on or through an E-System). Before distribution of the Borrower Materials, the Credit Parties agree to execute and deliver to Agent a letter authorizing distribution of the evaluation materials to prospective Lenders and their employees willing to receive MNPI, and a separate letter authorizing distribution of evaluation materials that do not contain MNPI and represent that no MNPI is contained therein. The Credit Parties acknowledge and agree that the list of Disqualified Institutions does not constitute MNPI and may be posted to all Lenders by Agent (including any updates thereto).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00"/>
          </w:cols>
          <w:pgMar w:left="300" w:top="274" w:right="299" w:bottom="1440" w:gutter="0" w:footer="0" w:header="0"/>
        </w:sectPr>
      </w:pPr>
    </w:p>
    <w:bookmarkStart w:id="150" w:name="page151"/>
    <w:bookmarkEnd w:id="150"/>
    <w:p>
      <w:pPr>
        <w:ind w:left="880" w:right="60" w:firstLine="421"/>
        <w:spacing w:after="0" w:line="290" w:lineRule="auto"/>
        <w:tabs>
          <w:tab w:leader="none" w:pos="1615" w:val="left"/>
        </w:tabs>
        <w:numPr>
          <w:ilvl w:val="1"/>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Agent, each Lender and each L/C Issuer acknowledges and agrees that it may receive MNPI hereunder concerning the Credit Parties and their Affiliates and agrees to use such information in compliance with all relevant policies, procedures and applicable Requirements of Laws (including United States federal and state securities laws and regulations).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the Borrower Materials that are not made available through the “Public Side Information” portion of the Platform and that may contain material non-public information with respect to the Parent or its securities for purposes of United States Federal or state securities laws.</w:t>
      </w:r>
    </w:p>
    <w:p>
      <w:pPr>
        <w:spacing w:after="0" w:line="166" w:lineRule="exact"/>
        <w:rPr>
          <w:rFonts w:ascii="Arial" w:cs="Arial" w:eastAsia="Arial" w:hAnsi="Arial"/>
          <w:sz w:val="16"/>
          <w:szCs w:val="16"/>
          <w:color w:val="auto"/>
        </w:rPr>
      </w:pPr>
    </w:p>
    <w:p>
      <w:pPr>
        <w:ind w:left="-40" w:firstLine="464"/>
        <w:spacing w:after="0" w:line="284" w:lineRule="auto"/>
        <w:tabs>
          <w:tab w:leader="none" w:pos="671"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Each of Agent, each Lender and each L/C Issuer agrees to use all reasonable efforts to maintain, in accordance with its customary practices, the confidentiality of information obtained by it pursuant to any Loan Document, except that such information may be disclosed (i) with the Borrower’s consent, (ii) to Related Persons of such Lender, L/C Issuer or Agent, as the case may be, or to any Person that any L/C Issuer causes to Issue Letters of Credit hereunder, that are advised of the confidential nature of such information and are instructed to keep such information confidential in accordance with the terms hereof, (iii) to the extent such information presently is or hereafter becomes (A) publicly available other than as a result of a breach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or (B) available to or in the possession of such Lender, L/C Issuer or Agent or any of their Related Persons, as the case may be, from a source (other than any Credit Party) not known by them to be subject to disclosure restrictions, (iv) to the extent disclosure is required by applicable Requirements of Law or other legal process or requested or demanded by any Governmental Authority or any other regulatory or self-regulatory authority having jurisdiction over such Person or its Affiliates, (v) to the extent necessary or customary for inclusion in league table measurements, (vi) (A) to the National Association of Insurance Commissioners or any similar organization, any examiner or any nationally recognized rating agency or (B) otherwise to the extent consisting of general portfolio information that does not identify Credit Parties, (vii) to current or prospective assignees, SPVs (including the investors or prospective investors therein) or participants, financing sources, direct or contractual counterparties to any Secured Rate Contracts and Secured Cash Management Agreements and to their respective Related Persons, in each case to the extent such assignees, investors, participants, financing sources, counterparties or Related Persons agree to be bound by provisions substantially similar to the provisions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(and such Person may disclose information to their respective Related Persons in accordance with clause (ii) above), (viii) to any other party hereto, and (ix) in connection with the exercise or enforcement of any right or remedy under any Loan Document, in connection with any litigation or other proceeding to which such Lender, L/C Issuer, Secured Swap Provider, Secured Cash Management Bank or Agent or any of their Related Persons is a party or bound, or to the extent necessary to respond to public statements or disclosures by Credit Parties or their Related Persons referring to a Lender, L/C Issuer, Secured Swap Provider, Secured Cash Management Bank or Agent or any of their Related Persons. In addition, Agent and the Lenders may disclose this Agreement and information about this Agreement to market data collectors, similar service providers to the lending industry and service providers to Agent and the Lenders in connection with the administration of this Agreement, the other Loan Documents, and the Commitments and for purposes of general portfolio, benchmarking and market data analysis. In the event of any conflict between the terms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and those of any other Contractual Obligation entered into with any Credit Party (whether or not a Loan Document), the terms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shall govern.</w:t>
      </w:r>
    </w:p>
    <w:p>
      <w:pPr>
        <w:spacing w:after="0" w:line="396" w:lineRule="exact"/>
        <w:rPr>
          <w:rFonts w:ascii="Arial" w:cs="Arial" w:eastAsia="Arial" w:hAnsi="Arial"/>
          <w:sz w:val="16"/>
          <w:szCs w:val="16"/>
          <w:color w:val="auto"/>
        </w:rPr>
      </w:pPr>
    </w:p>
    <w:p>
      <w:pPr>
        <w:ind w:left="-40" w:right="20" w:firstLine="464"/>
        <w:spacing w:after="0" w:line="264" w:lineRule="auto"/>
        <w:tabs>
          <w:tab w:leader="none" w:pos="661"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Tombstones</w:t>
      </w:r>
      <w:r>
        <w:rPr>
          <w:rFonts w:ascii="Arial" w:cs="Arial" w:eastAsia="Arial" w:hAnsi="Arial"/>
          <w:sz w:val="18"/>
          <w:szCs w:val="18"/>
          <w:color w:val="auto"/>
        </w:rPr>
        <w:t>. Each Credit Party consents to the publication by Agent, Arranger or any Lender of any press releases, tombstones, advertising or other promotional materials (including via any Electronic Transmission) relating to the financing transactions contemplated by this Agreement using such Credit Party’s name, product photographs, logo or trademark.</w:t>
      </w:r>
    </w:p>
    <w:p>
      <w:pPr>
        <w:spacing w:after="0" w:line="181" w:lineRule="exact"/>
        <w:rPr>
          <w:rFonts w:ascii="Arial" w:cs="Arial" w:eastAsia="Arial" w:hAnsi="Arial"/>
          <w:sz w:val="18"/>
          <w:szCs w:val="18"/>
          <w:color w:val="auto"/>
        </w:rPr>
      </w:pPr>
    </w:p>
    <w:p>
      <w:pPr>
        <w:jc w:val="both"/>
        <w:ind w:left="-40" w:right="120" w:firstLine="464"/>
        <w:spacing w:after="0" w:line="276" w:lineRule="auto"/>
        <w:tabs>
          <w:tab w:leader="none" w:pos="671"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Press Release and Related Matters</w:t>
      </w:r>
      <w:r>
        <w:rPr>
          <w:rFonts w:ascii="Arial" w:cs="Arial" w:eastAsia="Arial" w:hAnsi="Arial"/>
          <w:sz w:val="17"/>
          <w:szCs w:val="17"/>
          <w:color w:val="auto"/>
        </w:rPr>
        <w:t>. No Credit Party shall, and no Credit Party shall permit any of its Affiliates to, issue any press release or other public disclosure (other than any document filed with any Governmental Authority relating to a public offering of securities of any Credit Party) using the name, logo or otherwise referring to any Lender or Affiliate of any Lender, the Loan Documents or any transaction contemplated herein or therein to which any Lender or any of Affiliate of any Lender is party without the prior written consent of such Lender or such Affiliate except to the extent required to do so under applicable Requirements of Law and then, only after consulting with such Lender.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80" w:top="274" w:right="279"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10.11 </w:t>
      </w:r>
      <w:r>
        <w:rPr>
          <w:rFonts w:ascii="Arial" w:cs="Arial" w:eastAsia="Arial" w:hAnsi="Arial"/>
          <w:sz w:val="18"/>
          <w:szCs w:val="18"/>
          <w:u w:val="single" w:color="auto"/>
          <w:color w:val="auto"/>
        </w:rPr>
        <w:t>Set-off; Sharing of Payments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Each of Agent, each Lender, each L/C Issuer and each Affiliate (including each branch office thereof) of any of them is hereby authorized, without notice or demand (each of which is hereby waived by each Credit Party), at any time and from time to time during the continuance of any Event of Default and to the fullest extent permitted by applicable Requirements of Law, to set off and apply any and all deposits (whether general or special, time or demand, provisional or final) at any time held and other Indebtedness, claims or other obligations at any time owing by Agent, such Lender, such L/C Issuer or any of their respective Affiliates to or for the credit or the account of the Borrower or any other Credit Party against any Obligation of any Credit Party now or hereafter existing, whether or not any demand was made under any Loan Document with respect to such Obligation and even though such Obligation may be unmatured. No Lender or L/C Issuer shall exercise any such right of setoff without the prior consent of Agent or Required Lenders. Each of Agent, each Lender and each L/C Issuer agrees promptly to notify the Borrower and Agent after any such setoff and application made by such Lender or its Affiliates; provided, however, that the failure to give such notice shall not affect the validity of such setoff and application. The rights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are in addition to any other rights and remedies (including other rights of setoff) that Agent, the Lenders, the L/C Issuer, their Affiliates and the other Secured Parties, may have.</w:t>
      </w:r>
    </w:p>
    <w:p>
      <w:pPr>
        <w:spacing w:after="0" w:line="182" w:lineRule="exact"/>
        <w:rPr>
          <w:rFonts w:ascii="Arial" w:cs="Arial" w:eastAsia="Arial" w:hAnsi="Arial"/>
          <w:sz w:val="17"/>
          <w:szCs w:val="17"/>
          <w:color w:val="auto"/>
        </w:rPr>
      </w:pPr>
    </w:p>
    <w:p>
      <w:pPr>
        <w:ind w:right="20" w:firstLine="464"/>
        <w:spacing w:after="0" w:line="286" w:lineRule="auto"/>
        <w:tabs>
          <w:tab w:leader="none" w:pos="711"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any Lender, directly or through an Affiliate or branch office thereof, obtains any payment of any Obligation of any Credit Party (whether voluntary, involuntary or through the exercise of any right of setoff or the receipt of any Collateral or “proceeds” (as defined under the applicable UCC) of Collateral) (and other than pursuant to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any purchase option pursuant to any intercreditor agreement or any subordination agreement to which Agent is a party) and such payment exceeds the amount such Lender would have been entitled to receive if all payments had gone to, and been distributed by,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Agent and applied in accordance with this Agreement (or, if such application would then be at the discretion of the Borrower, applied to repay the Obligations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if such payment is rescinded or otherwise recovered from such Lender or L/C Issuer in whole or in part, such purchase shall be rescinded and the purchase price therefor shall be returned to such Lender or L/C Issuer without interest and (ii) such Lender shall, to the fullest extent permitted by applicable Requirements of Law, be able to exercise all its rights of payment (including the right of setoff) with respect to such participation as fully as if such Lender were the direct creditor of the applicable Credit Party in the amount of such participation. If a Defaulting Lender receives any such payment as described in the previous sentence, such Lender shall turn over such payments to Agent in an amount that would satisfy the cash collateral requirements set forth in </w:t>
      </w:r>
      <w:r>
        <w:rPr>
          <w:rFonts w:ascii="Arial" w:cs="Arial" w:eastAsia="Arial" w:hAnsi="Arial"/>
          <w:sz w:val="16"/>
          <w:szCs w:val="16"/>
          <w:u w:val="single" w:color="auto"/>
          <w:color w:val="auto"/>
        </w:rPr>
        <w:t>Section 2.11(e)</w:t>
      </w:r>
      <w:r>
        <w:rPr>
          <w:rFonts w:ascii="Arial" w:cs="Arial" w:eastAsia="Arial" w:hAnsi="Arial"/>
          <w:sz w:val="16"/>
          <w:szCs w:val="16"/>
          <w:color w:val="auto"/>
        </w:rPr>
        <w:t>.</w:t>
      </w:r>
    </w:p>
    <w:p>
      <w:pPr>
        <w:spacing w:after="0" w:line="17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52" w:name="page153"/>
    <w:bookmarkEnd w:id="152"/>
    <w:p>
      <w:pPr>
        <w:ind w:right="10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10.13 </w:t>
      </w:r>
      <w:r>
        <w:rPr>
          <w:rFonts w:ascii="Arial" w:cs="Arial" w:eastAsia="Arial" w:hAnsi="Arial"/>
          <w:sz w:val="17"/>
          <w:szCs w:val="17"/>
          <w:u w:val="single" w:color="auto"/>
          <w:color w:val="auto"/>
        </w:rPr>
        <w:t>Severability; Captions; Independence of Provisions</w:t>
      </w:r>
      <w:r>
        <w:rPr>
          <w:rFonts w:ascii="Arial" w:cs="Arial" w:eastAsia="Arial" w:hAnsi="Arial"/>
          <w:sz w:val="17"/>
          <w:szCs w:val="17"/>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 The captions and headings of this Agreement are for convenience of reference only and shall not affect the interpretation of this Agreement.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w:t>
      </w:r>
    </w:p>
    <w:p>
      <w:pPr>
        <w:spacing w:after="0" w:line="174" w:lineRule="exact"/>
        <w:rPr>
          <w:sz w:val="20"/>
          <w:szCs w:val="20"/>
          <w:color w:val="auto"/>
        </w:rPr>
      </w:pPr>
    </w:p>
    <w:p>
      <w:pPr>
        <w:ind w:right="160" w:firstLine="456"/>
        <w:spacing w:after="0" w:line="329" w:lineRule="auto"/>
        <w:rPr>
          <w:sz w:val="20"/>
          <w:szCs w:val="20"/>
          <w:color w:val="auto"/>
        </w:rPr>
      </w:pPr>
      <w:r>
        <w:rPr>
          <w:rFonts w:ascii="Arial" w:cs="Arial" w:eastAsia="Arial" w:hAnsi="Arial"/>
          <w:sz w:val="15"/>
          <w:szCs w:val="15"/>
          <w:color w:val="auto"/>
        </w:rPr>
        <w:t xml:space="preserve">10.14 </w:t>
      </w:r>
      <w:r>
        <w:rPr>
          <w:rFonts w:ascii="Arial" w:cs="Arial" w:eastAsia="Arial" w:hAnsi="Arial"/>
          <w:sz w:val="15"/>
          <w:szCs w:val="15"/>
          <w:u w:val="single" w:color="auto"/>
          <w:color w:val="auto"/>
        </w:rPr>
        <w:t>Interpretation</w:t>
      </w:r>
      <w:r>
        <w:rPr>
          <w:rFonts w:ascii="Arial" w:cs="Arial" w:eastAsia="Arial" w:hAnsi="Arial"/>
          <w:sz w:val="15"/>
          <w:szCs w:val="15"/>
          <w:color w:val="auto"/>
        </w:rPr>
        <w:t xml:space="preserve">. </w:t>
      </w:r>
      <w:r>
        <w:rPr>
          <w:rFonts w:ascii="Arial" w:cs="Arial" w:eastAsia="Arial" w:hAnsi="Arial"/>
          <w:sz w:val="15"/>
          <w:szCs w:val="15"/>
          <w:b w:val="1"/>
          <w:bCs w:val="1"/>
          <w:color w:val="auto"/>
        </w:rPr>
        <w:t>This Agreement is the result of negotiations among and has been reviewed by counsel to Credit Parties, Agent, each</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Lender and other parties hereto, and is the product of all parties hereto. Accordingly, this Agreement and the other Loan Documents shall not be construed against the Lenders or Agent merely because of Agent’s or Lenders’ involvement in the preparation of such documents and agreements. Without limiting the generality of the foregoing, each of the parties hereto has had the advice of counsel with respect to </w:t>
      </w:r>
      <w:r>
        <w:rPr>
          <w:rFonts w:ascii="Arial" w:cs="Arial" w:eastAsia="Arial" w:hAnsi="Arial"/>
          <w:sz w:val="15"/>
          <w:szCs w:val="15"/>
          <w:b w:val="1"/>
          <w:bCs w:val="1"/>
          <w:u w:val="single" w:color="auto"/>
          <w:color w:val="auto"/>
        </w:rPr>
        <w:t>Sections 10.16</w:t>
      </w:r>
      <w:r>
        <w:rPr>
          <w:rFonts w:ascii="Arial" w:cs="Arial" w:eastAsia="Arial" w:hAnsi="Arial"/>
          <w:sz w:val="15"/>
          <w:szCs w:val="15"/>
          <w:b w:val="1"/>
          <w:bCs w:val="1"/>
          <w:color w:val="auto"/>
        </w:rPr>
        <w:t xml:space="preserve"> and </w:t>
      </w:r>
      <w:r>
        <w:rPr>
          <w:rFonts w:ascii="Arial" w:cs="Arial" w:eastAsia="Arial" w:hAnsi="Arial"/>
          <w:sz w:val="15"/>
          <w:szCs w:val="15"/>
          <w:b w:val="1"/>
          <w:bCs w:val="1"/>
          <w:u w:val="single" w:color="auto"/>
          <w:color w:val="auto"/>
        </w:rPr>
        <w:t>10.17</w:t>
      </w:r>
      <w:r>
        <w:rPr>
          <w:rFonts w:ascii="Arial" w:cs="Arial" w:eastAsia="Arial" w:hAnsi="Arial"/>
          <w:sz w:val="15"/>
          <w:szCs w:val="15"/>
          <w:b w:val="1"/>
          <w:bCs w:val="1"/>
          <w:color w:val="auto"/>
        </w:rPr>
        <w:t>.</w:t>
      </w:r>
    </w:p>
    <w:p>
      <w:pPr>
        <w:spacing w:after="0" w:line="13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Benefited</w:t>
      </w:r>
      <w:r>
        <w:rPr>
          <w:rFonts w:ascii="Arial" w:cs="Arial" w:eastAsia="Arial" w:hAnsi="Arial"/>
          <w:sz w:val="18"/>
          <w:szCs w:val="18"/>
          <w:color w:val="auto"/>
        </w:rPr>
        <w:t>. This Agreement is made and entered into for the sole protection and legal benefit of the Borrower, the Lenders, the L/C Issuers party hereto</w:t>
      </w:r>
      <w:r>
        <w:rPr>
          <w:rFonts w:ascii="Arial" w:cs="Arial" w:eastAsia="Arial" w:hAnsi="Arial"/>
          <w:sz w:val="18"/>
          <w:szCs w:val="18"/>
          <w:b w:val="1"/>
          <w:bCs w:val="1"/>
          <w:color w:val="auto"/>
        </w:rPr>
        <w:t>,</w:t>
      </w:r>
      <w:r>
        <w:rPr>
          <w:rFonts w:ascii="Arial" w:cs="Arial" w:eastAsia="Arial" w:hAnsi="Arial"/>
          <w:sz w:val="18"/>
          <w:szCs w:val="18"/>
          <w:color w:val="auto"/>
        </w:rPr>
        <w:t xml:space="preserve"> Agent and, subject to the provisions of </w:t>
      </w:r>
      <w:r>
        <w:rPr>
          <w:rFonts w:ascii="Arial" w:cs="Arial" w:eastAsia="Arial" w:hAnsi="Arial"/>
          <w:sz w:val="18"/>
          <w:szCs w:val="18"/>
          <w:u w:val="single" w:color="auto"/>
          <w:color w:val="auto"/>
        </w:rPr>
        <w:t>Section 9.11</w:t>
      </w:r>
      <w:r>
        <w:rPr>
          <w:rFonts w:ascii="Arial" w:cs="Arial" w:eastAsia="Arial" w:hAnsi="Arial"/>
          <w:sz w:val="18"/>
          <w:szCs w:val="18"/>
          <w:color w:val="auto"/>
        </w:rPr>
        <w:t>, each other Secured Party, and their permitted successors and assigns, and no other Person shall be a direct or indirect legal beneficiary of, or have any direct or indirect cause of action or claim in connection with, this Agreement or any of the other Loan Documents. Neither Agent nor any Lender shall have any obligation to any Person not a party to this Agreement or the other Loan Documents.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w:t>
      </w:r>
    </w:p>
    <w:p>
      <w:pPr>
        <w:spacing w:after="0" w:line="225" w:lineRule="exact"/>
        <w:rPr>
          <w:sz w:val="20"/>
          <w:szCs w:val="20"/>
          <w:color w:val="auto"/>
        </w:rPr>
      </w:pPr>
    </w:p>
    <w:p>
      <w:pPr>
        <w:ind w:right="420" w:firstLine="464"/>
        <w:spacing w:after="0" w:line="264" w:lineRule="auto"/>
        <w:tabs>
          <w:tab w:leader="none" w:pos="701"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all matters arising out of, in connection with or relating to this Agreement, including its validity, interpretation, construction, performance and enforcement (including any claims sounding in contract or tort law arising out of the subject matter hereof and any determinations with respect to post-judgment interest).</w:t>
      </w:r>
    </w:p>
    <w:p>
      <w:pPr>
        <w:spacing w:after="0" w:line="181" w:lineRule="exact"/>
        <w:rPr>
          <w:rFonts w:ascii="Arial" w:cs="Arial" w:eastAsia="Arial" w:hAnsi="Arial"/>
          <w:sz w:val="18"/>
          <w:szCs w:val="18"/>
          <w:color w:val="auto"/>
        </w:rPr>
      </w:pPr>
    </w:p>
    <w:p>
      <w:pPr>
        <w:ind w:right="40" w:firstLine="464"/>
        <w:spacing w:after="0" w:line="271" w:lineRule="auto"/>
        <w:tabs>
          <w:tab w:leader="none" w:pos="71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Any legal action or proceeding with respect to any Loan Document shall be brought exclusively in the courts of the State of New York located in the City of New York, Borough of Manhattan, or of the United States of America sitting in the Southern District of New York and, by execution and delivery of this Agreement, the Borrower and each other Credit Party executing this Agreement hereby accepts for itself and in respect of its Property, generally and unconditionally, the jurisdiction of the aforesaid courts; provided that nothing in this Agreement shall limit the right of Agent to commence any proceeding in the federal or state courts of any other jurisdiction to the extent Agent determines that such action is necessary or appropriate to exercise its rights or remedies under the Loan Documents. The parties hereto (and, to the extent set forth in any other Loan Document, each other Credit Party) hereby irrevocably waive any objection, including any objection to the laying of venue or based on the grounds of forum </w:t>
      </w:r>
      <w:r>
        <w:rPr>
          <w:rFonts w:ascii="Arial" w:cs="Arial" w:eastAsia="Arial" w:hAnsi="Arial"/>
          <w:sz w:val="17"/>
          <w:szCs w:val="17"/>
          <w:i w:val="1"/>
          <w:iCs w:val="1"/>
          <w:color w:val="auto"/>
        </w:rPr>
        <w:t>non conveniens</w:t>
      </w:r>
      <w:r>
        <w:rPr>
          <w:rFonts w:ascii="Arial" w:cs="Arial" w:eastAsia="Arial" w:hAnsi="Arial"/>
          <w:sz w:val="17"/>
          <w:szCs w:val="17"/>
          <w:color w:val="auto"/>
        </w:rPr>
        <w:t>, that any of them may now or hereafter have to the bringing of any such action or proceeding in such jurisdictions.</w:t>
      </w:r>
    </w:p>
    <w:p>
      <w:pPr>
        <w:spacing w:after="0" w:line="178" w:lineRule="exact"/>
        <w:rPr>
          <w:rFonts w:ascii="Arial" w:cs="Arial" w:eastAsia="Arial" w:hAnsi="Arial"/>
          <w:sz w:val="17"/>
          <w:szCs w:val="17"/>
          <w:color w:val="auto"/>
        </w:rPr>
      </w:pPr>
    </w:p>
    <w:p>
      <w:pPr>
        <w:ind w:right="60" w:firstLine="464"/>
        <w:spacing w:after="0" w:line="273" w:lineRule="auto"/>
        <w:tabs>
          <w:tab w:leader="none" w:pos="701"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Each Credit Party hereby irrevocably waives personal service of any and all legal process, summons, notices and other documents and other service of process of any kind and consents to such service in any suit, action or proceeding brought in the United States with respect to or otherwise arising out of or in connection with any Loan Document by any means permitted by applicable Requirements of Law, including by the mailing thereof (by registered or certified mail, postage prepaid) to the address of the Borrower specified herein (and shall be effective when such mailing shall be effective, as provided therein). Each Credit Party agrees that a final judgment in any such action or proceeding shall be conclusive and may be enforced in other jurisdictions by suit on the judgment or in any other manner provided by law.</w:t>
      </w:r>
    </w:p>
    <w:p>
      <w:pPr>
        <w:spacing w:after="0" w:line="178" w:lineRule="exact"/>
        <w:rPr>
          <w:rFonts w:ascii="Arial" w:cs="Arial" w:eastAsia="Arial" w:hAnsi="Arial"/>
          <w:sz w:val="17"/>
          <w:szCs w:val="17"/>
          <w:color w:val="auto"/>
        </w:rPr>
      </w:pPr>
    </w:p>
    <w:p>
      <w:pPr>
        <w:ind w:firstLine="464"/>
        <w:spacing w:after="0" w:line="342" w:lineRule="auto"/>
        <w:tabs>
          <w:tab w:leader="none" w:pos="711"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Non-Exclusive Jurisdiction</w:t>
      </w:r>
      <w:r>
        <w:rPr>
          <w:rFonts w:ascii="Arial" w:cs="Arial" w:eastAsia="Arial" w:hAnsi="Arial"/>
          <w:sz w:val="16"/>
          <w:szCs w:val="16"/>
          <w:color w:val="auto"/>
        </w:rPr>
        <w:t xml:space="preserve">. Nothing contained in this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shall affect the right of Agent or any Lender to serve process in any other manner permitted by applicable Requirements of Law or commence legal proceedings or otherwise proceed against any Credit Party in any other jurisdiction.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74" w:right="279" w:bottom="1440" w:gutter="0" w:footer="0" w:header="0"/>
        </w:sectPr>
      </w:pPr>
    </w:p>
    <w:bookmarkStart w:id="153" w:name="page154"/>
    <w:bookmarkEnd w:id="153"/>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HERETO, TO THE EXTENT PERMITTED BY LAW, WAIVE ALL RIGHT TO TRIAL BY JURY IN ANY ACTION, SUIT, OR PROCEEDING ARISING OUT OF, IN CONNECTION WITH OR RELATING TO, THIS AGREEMENT, THE OTHER LOAN DOCUMENTS AND ANY OTHER TRANSACTION CONTEMPLATED HEREBY AND THEREBY. THIS WAIVER APPLIES TO ANY ACTION, SUIT OR PROCEEDING WHETHER SOUNDING IN TORT, CONTRACT OR OTHERWISE. EACH PARTY HERETO (A) CERTIFIES THAT NO OTHER PARTY AND NO RELATED PERSON OF ANY OTHER PARTY HAS REPRESENTED, EXPRESSLY OR OTHERWISE, THAT SUCH OTHER PARTY WOULD NOT, IN THE EVENT OF LITIGATION, SEEK TO ENFORCE THE FOREGOING WAIVER AND (B) ACKNOWLEDGES THAT IT AND THE OTHER PARTIES HERETO HAVE BEEN INDUCED TO ENTER INTO THE LOAN DOCUMENTS, AS APPLICABLE, BY THE MUTUAL WAIVERS AND CERTIFICATIONS IN THIS SECTION.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Entire Agreement; Release; Survival</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THE LOAN DOCUMENTS EMBODY THE ENTIRE AGREEMENT OF THE PARTIES AND SUPERSEDE ALL PRIOR AGREEMENTS AND UNDERSTANDINGS RELATING TO THE SUBJECT MATTER THEREOF AND ANY PRIOR LETTER OF INTEREST, ENGAGEMENT LETTER, CONFIDENTIALITY AND SIMILAR AGREEMENTS INVOLVING ANY CREDIT PARTY AND ANY LENDER OR ANY L/C ISSUER OR ANY OF THEIR RESPECTIVE AFFILIATES RELATING TO A FINANCING OF SUBSTANTIALLY SIMILAR FORM, PURPOSE OR EFFECT OTHER THAN THE FEE LETTER. IN THE EVENT OF ANY CONFLICT BETWEEN THE TERMS OF THIS AGREEMENT AND ANY OTHER LOAN DOCUMENT, THE TERMS OF THIS AGREEMENT SHALL GOVERN (UNLESS OTHERWISE EXPRESSLY STATED IN SUCH OTHER LOAN DOCUMENTS OR SUCH TERMS OF SUCH OTHER LOAN DOCUMENTS ARE NECESSARY TO COMPLY WITH APPLICABLE REQUIREMENTS OF LAW, IN WHICH CASE SUCH TERMS SHALL GOVERN TO THE EXTENT NECESSARY TO COMPLY THEREWITH).</w:t>
      </w:r>
    </w:p>
    <w:p>
      <w:pPr>
        <w:spacing w:after="0" w:line="178" w:lineRule="exact"/>
        <w:rPr>
          <w:rFonts w:ascii="Arial" w:cs="Arial" w:eastAsia="Arial" w:hAnsi="Arial"/>
          <w:sz w:val="17"/>
          <w:szCs w:val="17"/>
          <w:color w:val="auto"/>
        </w:rPr>
      </w:pPr>
    </w:p>
    <w:p>
      <w:pPr>
        <w:ind w:right="20" w:firstLine="464"/>
        <w:spacing w:after="0" w:line="273" w:lineRule="auto"/>
        <w:tabs>
          <w:tab w:leader="none" w:pos="711" w:val="left"/>
        </w:tabs>
        <w:numPr>
          <w:ilvl w:val="1"/>
          <w:numId w:val="187"/>
        </w:numPr>
        <w:rPr>
          <w:rFonts w:ascii="Arial" w:cs="Arial" w:eastAsia="Arial" w:hAnsi="Arial"/>
          <w:sz w:val="17"/>
          <w:szCs w:val="17"/>
          <w:color w:val="auto"/>
        </w:rPr>
      </w:pPr>
      <w:r>
        <w:rPr>
          <w:rFonts w:ascii="Arial" w:cs="Arial" w:eastAsia="Arial" w:hAnsi="Arial"/>
          <w:sz w:val="17"/>
          <w:szCs w:val="17"/>
          <w:color w:val="auto"/>
        </w:rPr>
        <w:t>Execution of this Agreement by the Credit Parties constitutes a full, complete and irrevocable release of any and all claims which each Credit Party may have at law or in equity in respect of all prior discussions and understandings, oral or written, relating to the subject matter of this Agreement and the other Loan Documents. In no event shall any Indemnitee be liable on any theory of liability for any special, indirect, consequential or punitive damages (including any loss of profits, business or anticipated savings). Each of the Borrower and each other Credit Party signatory hereto hereby waives, releases and agrees (and shall cause each other Credit Party to waive, release and agree) not to sue upon any such claim for any special, indirect, consequential or punitive damages, whether or not accrued and whether or not known or suspected to exist in its favor.</w:t>
      </w:r>
    </w:p>
    <w:p>
      <w:pPr>
        <w:spacing w:after="0" w:line="178" w:lineRule="exact"/>
        <w:rPr>
          <w:rFonts w:ascii="Arial" w:cs="Arial" w:eastAsia="Arial" w:hAnsi="Arial"/>
          <w:sz w:val="17"/>
          <w:szCs w:val="17"/>
          <w:color w:val="auto"/>
        </w:rPr>
      </w:pPr>
    </w:p>
    <w:p>
      <w:pPr>
        <w:jc w:val="both"/>
        <w:ind w:right="20" w:firstLine="464"/>
        <w:spacing w:after="0" w:line="288" w:lineRule="auto"/>
        <w:tabs>
          <w:tab w:leader="none" w:pos="701"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(i) Any indemnification or other protection provided to any Indemnitee pursuant to this </w:t>
      </w:r>
      <w:r>
        <w:rPr>
          <w:rFonts w:ascii="Arial" w:cs="Arial" w:eastAsia="Arial" w:hAnsi="Arial"/>
          <w:sz w:val="16"/>
          <w:szCs w:val="16"/>
          <w:u w:val="single" w:color="auto"/>
          <w:color w:val="auto"/>
        </w:rPr>
        <w:t>Section 10.18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(Costs and Expenses), and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(Indemnity), and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(Agent)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(Taxes, Yield Protection and Illegality), and (ii) the provisions of Section 8.1 of the Guaranty and Security Agreement, in each case, shall (x) survive the termination of the Commitments and the payment in full of all other Obligations and (y) with respect to clause</w:t>
      </w:r>
    </w:p>
    <w:p>
      <w:pPr>
        <w:ind w:right="640" w:firstLine="8"/>
        <w:spacing w:after="0" w:line="261" w:lineRule="auto"/>
        <w:tabs>
          <w:tab w:leader="none" w:pos="21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above, inure to the benefit of any Person that at any time held a right thereunder (as an Indemnitee or otherwise) and, thereafter, its successors and permitted assigns.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154" w:name="page155"/>
    <w:bookmarkEnd w:id="154"/>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10.19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USA Patriot Act (and Agent (for itself and not on behalf of any Lender)) hereby notifies the Credit Parties that pursuant to the requirements of the USA Patriot Act, it is required to obtain, verify and record information that identifies each Credit Party, which information includes the name and address of each Credit Party and other information that will allow such Lender or Agent to identify each Credit Party in accordance with the USA Patriot Act.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Replacement of Lender</w:t>
      </w:r>
      <w:r>
        <w:rPr>
          <w:rFonts w:ascii="Arial" w:cs="Arial" w:eastAsia="Arial" w:hAnsi="Arial"/>
          <w:sz w:val="17"/>
          <w:szCs w:val="17"/>
          <w:color w:val="auto"/>
        </w:rPr>
        <w:t>. Within forty-five days after: (i) receipt by the Borrower of written notice and demand from (A) any Lender (an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Affected Lender</w:t>
      </w:r>
      <w:r>
        <w:rPr>
          <w:rFonts w:ascii="Arial" w:cs="Arial" w:eastAsia="Arial" w:hAnsi="Arial"/>
          <w:sz w:val="16"/>
          <w:szCs w:val="16"/>
          <w:color w:val="auto"/>
        </w:rPr>
        <w:t xml:space="preserve">”) for payment of additional costs as provided in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w:t>
      </w:r>
      <w:r>
        <w:rPr>
          <w:rFonts w:ascii="Arial" w:cs="Arial" w:eastAsia="Arial" w:hAnsi="Arial"/>
          <w:sz w:val="16"/>
          <w:szCs w:val="16"/>
          <w:u w:val="single" w:color="auto"/>
          <w:color w:val="auto"/>
        </w:rPr>
        <w:t>11.3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10.6</w:t>
      </w:r>
      <w:r>
        <w:rPr>
          <w:rFonts w:ascii="Arial" w:cs="Arial" w:eastAsia="Arial" w:hAnsi="Arial"/>
          <w:sz w:val="16"/>
          <w:szCs w:val="16"/>
          <w:color w:val="auto"/>
        </w:rPr>
        <w:t xml:space="preserve"> or that has become a Defaulting Lender or (B) any SPV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participant (an “</w:t>
      </w:r>
      <w:r>
        <w:rPr>
          <w:rFonts w:ascii="Arial" w:cs="Arial" w:eastAsia="Arial" w:hAnsi="Arial"/>
          <w:sz w:val="17"/>
          <w:szCs w:val="17"/>
          <w:b w:val="1"/>
          <w:bCs w:val="1"/>
          <w:color w:val="auto"/>
        </w:rPr>
        <w:t>Affected SPV/Participant</w:t>
      </w:r>
      <w:r>
        <w:rPr>
          <w:rFonts w:ascii="Arial" w:cs="Arial" w:eastAsia="Arial" w:hAnsi="Arial"/>
          <w:sz w:val="17"/>
          <w:szCs w:val="17"/>
          <w:color w:val="auto"/>
        </w:rPr>
        <w:t xml:space="preserve">”) for payment of additional costs as provided in </w:t>
      </w:r>
      <w:r>
        <w:rPr>
          <w:rFonts w:ascii="Arial" w:cs="Arial" w:eastAsia="Arial" w:hAnsi="Arial"/>
          <w:sz w:val="17"/>
          <w:szCs w:val="17"/>
          <w:u w:val="single" w:color="auto"/>
          <w:color w:val="auto"/>
        </w:rPr>
        <w:t>Section 10.9(f)</w:t>
      </w:r>
      <w:r>
        <w:rPr>
          <w:rFonts w:ascii="Arial" w:cs="Arial" w:eastAsia="Arial" w:hAnsi="Arial"/>
          <w:sz w:val="17"/>
          <w:szCs w:val="17"/>
          <w:color w:val="auto"/>
        </w:rPr>
        <w:t>, unless the option or participation of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Affected SPV/Participant shall have been terminated prior to the exercise by the Borrower of their rights hereunder; or (ii) any failure by any Lender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Agent or an Affiliate of Agent) to consent to a requested amendment, waiver or modification to any Loan Document in which Required Lenders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already consented to such amendment, waiver or modification but the consent of each Lender (or each Lender directly affected thereby, as applicable)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with respect thereto, the Borrower may, at its option, notify (A) in the case of clause (i)(A) or (ii) above, Agent and such Affected Lender (or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non-consenting Lender) of the Borrower’s intention to obtain, at the Borrower’s expense, a replacement Lender (“</w:t>
      </w:r>
      <w:r>
        <w:rPr>
          <w:rFonts w:ascii="Arial" w:cs="Arial" w:eastAsia="Arial" w:hAnsi="Arial"/>
          <w:sz w:val="16"/>
          <w:szCs w:val="16"/>
          <w:b w:val="1"/>
          <w:bCs w:val="1"/>
          <w:color w:val="auto"/>
        </w:rPr>
        <w:t>Replacement Lender</w:t>
      </w:r>
      <w:r>
        <w:rPr>
          <w:rFonts w:ascii="Arial" w:cs="Arial" w:eastAsia="Arial" w:hAnsi="Arial"/>
          <w:sz w:val="16"/>
          <w:szCs w:val="16"/>
          <w:color w:val="auto"/>
        </w:rPr>
        <w:t>”) for such Affected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(or such non-consenting Lender), or (B) in the case of clause (i)(B) above, Agent, such Affected SPV/Participant, if known, and the applicable Lender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Lender, a “</w:t>
      </w:r>
      <w:r>
        <w:rPr>
          <w:rFonts w:ascii="Arial" w:cs="Arial" w:eastAsia="Arial" w:hAnsi="Arial"/>
          <w:sz w:val="17"/>
          <w:szCs w:val="17"/>
          <w:b w:val="1"/>
          <w:bCs w:val="1"/>
          <w:color w:val="auto"/>
        </w:rPr>
        <w:t>Participating Lender</w:t>
      </w:r>
      <w:r>
        <w:rPr>
          <w:rFonts w:ascii="Arial" w:cs="Arial" w:eastAsia="Arial" w:hAnsi="Arial"/>
          <w:sz w:val="17"/>
          <w:szCs w:val="17"/>
          <w:color w:val="auto"/>
        </w:rPr>
        <w:t>”) that (1) granted to such Affected SPV/Participant the option to make all or any part of any Loan that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Participating Lender would otherwise be required to make hereunder or (2) sold to such Affected SPV/Participant a participation in or to all or a portion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rights and obligations under the Loan Documents, of the Borrower’s intention to obtain, at the Borrower’s expense, a Replacement Lender for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Participating Lender, in each case, which Replacement Lender shall be reasonably satisfactory to Agent. In the event the Borrower obtains a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within forty-five (45) days following notice of its intention to do so, the Affected Lender (or such non-consenting Lender) or Participating Lender,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case may be, shall sell and assign its Loans and Commitments to such Replacement Lender, at par,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has reimbursed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Affected Lender or Affected SPV/Participant, as applicable, for its increased costs for which it is entitled to reimbursement under this Agreement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such sale and assignment, and in the case of a Participating Lender being replaced by a Replacement Lender, (x) all right, title and interest in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and Commitments so assigned to the Replacement Lender shall be assigned free and clear of all Liens or other claims (including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option or participation granted or sold to the Affected SPV/Participant, but without affecting any rights, if any, of the Affected SPV/Participant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proceeds constituting the purchase price thereof) of the Affected SPV/Participant, and (y) to the extent required by the underlying option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participation documentation, such Participating Lender shall apply all or a portion of the proceeds received by it as a result of such assignment,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terminate in full the option or participation of such Affected SPV/Participant. In the event that a replaced Lender does not execute an Assignment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within five (5) Business Days after receipt by such replaced Lender of notice of replacement pursuant to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and presentation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such replaced Lender of an Assignment evidencing an assignment pursuant to this </w:t>
      </w:r>
      <w:r>
        <w:rPr>
          <w:rFonts w:ascii="Arial" w:cs="Arial" w:eastAsia="Arial" w:hAnsi="Arial"/>
          <w:sz w:val="16"/>
          <w:szCs w:val="16"/>
          <w:u w:val="single" w:color="auto"/>
          <w:color w:val="auto"/>
        </w:rPr>
        <w:t>Section 10.20</w:t>
      </w:r>
      <w:r>
        <w:rPr>
          <w:rFonts w:ascii="Arial" w:cs="Arial" w:eastAsia="Arial" w:hAnsi="Arial"/>
          <w:sz w:val="16"/>
          <w:szCs w:val="16"/>
          <w:color w:val="auto"/>
        </w:rPr>
        <w:t>, the Borrower shall be entitled (but not obligated) to execute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an Assignment on behalf of such replaced Lender, and any such Assignment so executed by the Borrower, the Replacement Lender and Agent,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effective for purposes of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10.9</w:t>
      </w:r>
      <w:r>
        <w:rPr>
          <w:rFonts w:ascii="Arial" w:cs="Arial" w:eastAsia="Arial" w:hAnsi="Arial"/>
          <w:sz w:val="16"/>
          <w:szCs w:val="16"/>
          <w:color w:val="auto"/>
        </w:rPr>
        <w:t>. Notwithstanding the foregoing, with respect to a Lender that is a Defaulting Lender, Agent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shall not be obligated to, obtain a Replacement Lender and execute an Assignment on behalf of such Defaulting Lender at any time with three</w:t>
      </w:r>
    </w:p>
    <w:p>
      <w:pPr>
        <w:spacing w:after="0" w:line="21" w:lineRule="exact"/>
        <w:rPr>
          <w:sz w:val="20"/>
          <w:szCs w:val="20"/>
          <w:color w:val="auto"/>
        </w:rPr>
      </w:pPr>
    </w:p>
    <w:p>
      <w:pPr>
        <w:ind w:right="20" w:firstLine="8"/>
        <w:spacing w:after="0" w:line="254"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Business Days’ prior notice to such Lender (unless notice is not practicable under the circumstances) and cause such Lender’s Loans and Commitments to be sold and assigned, in whole or in part, at par. Upon any such assignment and payment and compliance with the other provisions of </w:t>
      </w:r>
      <w:r>
        <w:rPr>
          <w:rFonts w:ascii="Arial" w:cs="Arial" w:eastAsia="Arial" w:hAnsi="Arial"/>
          <w:sz w:val="18"/>
          <w:szCs w:val="18"/>
          <w:u w:val="single" w:color="auto"/>
          <w:color w:val="auto"/>
        </w:rPr>
        <w:t>Section 10.9</w:t>
      </w:r>
      <w:r>
        <w:rPr>
          <w:rFonts w:ascii="Arial" w:cs="Arial" w:eastAsia="Arial" w:hAnsi="Arial"/>
          <w:sz w:val="18"/>
          <w:szCs w:val="18"/>
          <w:color w:val="auto"/>
        </w:rPr>
        <w:t>, such replaced Lender shall no longer constitute a “</w:t>
      </w:r>
      <w:r>
        <w:rPr>
          <w:rFonts w:ascii="Arial" w:cs="Arial" w:eastAsia="Arial" w:hAnsi="Arial"/>
          <w:sz w:val="18"/>
          <w:szCs w:val="18"/>
          <w:b w:val="1"/>
          <w:bCs w:val="1"/>
          <w:color w:val="auto"/>
        </w:rPr>
        <w:t>Lender</w:t>
      </w:r>
      <w:r>
        <w:rPr>
          <w:rFonts w:ascii="Arial" w:cs="Arial" w:eastAsia="Arial" w:hAnsi="Arial"/>
          <w:sz w:val="18"/>
          <w:szCs w:val="18"/>
          <w:color w:val="auto"/>
        </w:rPr>
        <w:t>” for purposes hereof; provided, any rights of such replaced Lender to indemnification hereunder shall survive.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55" w:name="page156"/>
    <w:bookmarkEnd w:id="155"/>
    <w:p>
      <w:pPr>
        <w:ind w:right="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10.21 </w:t>
      </w:r>
      <w:r>
        <w:rPr>
          <w:rFonts w:ascii="Arial" w:cs="Arial" w:eastAsia="Arial" w:hAnsi="Arial"/>
          <w:sz w:val="18"/>
          <w:szCs w:val="18"/>
          <w:u w:val="single" w:color="auto"/>
          <w:color w:val="auto"/>
        </w:rPr>
        <w:t>Joint and Several</w:t>
      </w:r>
      <w:r>
        <w:rPr>
          <w:rFonts w:ascii="Arial" w:cs="Arial" w:eastAsia="Arial" w:hAnsi="Arial"/>
          <w:sz w:val="18"/>
          <w:szCs w:val="18"/>
          <w:color w:val="auto"/>
        </w:rPr>
        <w:t>. The obligations of the Credit Parties hereunder and under the other Loan Documents are joint and several. Without limiting the generality of the foregoing, reference is hereby made to Article II of the Guaranty and Security Agreement, to which the obligations of the Borrower and the other Credit Parties are subject.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Creditor-Debtor Relationship</w:t>
      </w:r>
      <w:r>
        <w:rPr>
          <w:rFonts w:ascii="Arial" w:cs="Arial" w:eastAsia="Arial" w:hAnsi="Arial"/>
          <w:sz w:val="18"/>
          <w:szCs w:val="18"/>
          <w:color w:val="auto"/>
        </w:rPr>
        <w:t>. The relationship between Agent, each Lender and the L/C Issuer, on the one hand, and the Credit Parties, on the other hand, is solely that of creditor and debtor. No Secured Party has any fiduciary relationship or duty to any Credit Party arising out of or in connection with, and there is no agency, tenancy or joint venture relationship between the Secured Parties and the Credit Parties by virtue of, any Loan Document or any transaction contemplated therein.</w:t>
      </w:r>
    </w:p>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10.23 </w:t>
      </w:r>
      <w:r>
        <w:rPr>
          <w:rFonts w:ascii="Arial" w:cs="Arial" w:eastAsia="Arial" w:hAnsi="Arial"/>
          <w:sz w:val="18"/>
          <w:szCs w:val="18"/>
          <w:u w:val="single" w:color="auto"/>
          <w:color w:val="auto"/>
        </w:rPr>
        <w:t>Keepwell</w:t>
      </w:r>
      <w:r>
        <w:rPr>
          <w:rFonts w:ascii="Arial" w:cs="Arial" w:eastAsia="Arial" w:hAnsi="Arial"/>
          <w:sz w:val="18"/>
          <w:szCs w:val="18"/>
          <w:color w:val="auto"/>
        </w:rPr>
        <w:t xml:space="preserve">. Each Qualified ECP Guarantor hereby jointly and severally absolutely, unconditionally and irrevocably undertakes to provide such funds or other support as may be needed from time to time by each other Credit Party to honor all of its obligations under the Guaranty and Security Agreement in respect of Swap Obligations under any Secured Rate Contract (provided, however, that each Qualified ECP Guarantor shall only be liable under this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or otherwise under the Guaranty and Security Agreement, voidable under applicable Requirements of Law relating to fraudulent conveyance or fraudulent transfer, and not for any greater amount). The obligations of each Qualified ECP Guarantor under this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shall remain in full force and effect until the guarantees in respect of Swap Obligations under each Secured Rate Contract have been discharged, or otherwise released or terminated in accordance with the terms of this Agreement. Each Qualified ECP Guarantor intends that this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10.23</w:t>
      </w:r>
      <w:r>
        <w:rPr>
          <w:rFonts w:ascii="Arial" w:cs="Arial" w:eastAsia="Arial" w:hAnsi="Arial"/>
          <w:sz w:val="18"/>
          <w:szCs w:val="18"/>
          <w:color w:val="auto"/>
        </w:rPr>
        <w:t xml:space="preserve"> shall be deemed to constitute, a “keepwell, support, or other agreement” for the benefit of each other Credit Party for all purposes of Section 1a(18)(A)(v)(II) of the Commodity Exchange Act.</w:t>
      </w:r>
    </w:p>
    <w:p>
      <w:pPr>
        <w:spacing w:after="0" w:line="19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10.24 </w:t>
      </w:r>
      <w:r>
        <w:rPr>
          <w:rFonts w:ascii="Arial" w:cs="Arial" w:eastAsia="Arial" w:hAnsi="Arial"/>
          <w:sz w:val="16"/>
          <w:szCs w:val="16"/>
          <w:u w:val="single" w:color="auto"/>
          <w:color w:val="auto"/>
        </w:rPr>
        <w:t>Secured Swap Providers and Secured Cash Management Banks</w:t>
      </w:r>
      <w:r>
        <w:rPr>
          <w:rFonts w:ascii="Arial" w:cs="Arial" w:eastAsia="Arial" w:hAnsi="Arial"/>
          <w:sz w:val="16"/>
          <w:szCs w:val="16"/>
          <w:color w:val="auto"/>
        </w:rPr>
        <w:t>. No Secured Swap Provider or Secured Cash Management Bank that obtains the benefits of the Guaranty and Security Agreement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X to the contrary, the Agent shall not be required to verify the existence, amount or payment of any Secured Swap Obligations or Secured Cash Management Obligations. Upon the request of Agent, each Secured Swap Provider and Secured Cash Management Bank will promptly provide Agent with such information and supporting documentation with respect to its Secured Rate Contract Obligations and Secured Cash Management Obligations as Agent shall request, including the amounts (contingent and/or due and payable) thereof.</w:t>
      </w:r>
    </w:p>
    <w:p>
      <w:pPr>
        <w:spacing w:after="0" w:line="166"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120" w:firstLine="464"/>
        <w:spacing w:after="0" w:line="277" w:lineRule="auto"/>
        <w:tabs>
          <w:tab w:leader="none" w:pos="70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56" w:name="page157"/>
    <w:bookmarkEnd w:id="156"/>
    <w:p>
      <w:pPr>
        <w:ind w:left="900" w:right="320" w:firstLine="421"/>
        <w:spacing w:after="0" w:line="312" w:lineRule="auto"/>
        <w:tabs>
          <w:tab w:leader="none" w:pos="15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900" w:right="560" w:firstLine="421"/>
        <w:spacing w:after="0" w:line="277" w:lineRule="auto"/>
        <w:tabs>
          <w:tab w:leader="none" w:pos="163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20" w:right="180" w:firstLine="464"/>
        <w:spacing w:after="0" w:line="312" w:lineRule="auto"/>
        <w:tabs>
          <w:tab w:leader="none" w:pos="6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Except as required by a Requirement of Law, each payment by any Credit Party under any Loan Document shall be made free and clear of all present or future taxes, levies, imposts, duties, deductions, withholdings (including backup withholding), assessments, fees or other charges imposed by any Governmental Authority, including any interest, additions to tax, penalties or other Liabilities) with respect thereto (collectively, “</w:t>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20" w:right="20" w:firstLine="464"/>
        <w:spacing w:after="0" w:line="272" w:lineRule="auto"/>
        <w:tabs>
          <w:tab w:leader="none" w:pos="69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 xml:space="preserve">If any Taxes shall be required by any Requirement of Law to be deducted from or in respect of any amount payable under any Loan Document to any Secured Party (i) if such Tax is an Indemnified Tax, such amount payable shall be increased as necessary to ensure that, after all required deductions for Indemnified Taxes are made (including deductions applicable to any increases to any amount under this </w:t>
      </w:r>
      <w:r>
        <w:rPr>
          <w:rFonts w:ascii="Arial" w:cs="Arial" w:eastAsia="Arial" w:hAnsi="Arial"/>
          <w:sz w:val="17"/>
          <w:szCs w:val="17"/>
          <w:u w:val="single" w:color="auto"/>
          <w:color w:val="auto"/>
        </w:rPr>
        <w:t>Section 11.1</w:t>
      </w:r>
      <w:r>
        <w:rPr>
          <w:rFonts w:ascii="Arial" w:cs="Arial" w:eastAsia="Arial" w:hAnsi="Arial"/>
          <w:sz w:val="17"/>
          <w:szCs w:val="17"/>
          <w:color w:val="auto"/>
        </w:rPr>
        <w:t>), such Secured Party receives the amount it would have received had no such deductions been made, (ii) the relevant Credit Party shall make such deductions, (iii) the relevant Credit Party shall timely pay the full amount deducted to the relevant Governmental Authority in accordance with applicable Requirements of Law and (iv) within 30 days after such payment is made, the relevant Credit Party shall deliver to Agent an original or certified copy of a receipt evidencing such payment or other evidence of payment reasonably satisfactory to Agent.</w:t>
      </w:r>
    </w:p>
    <w:p>
      <w:pPr>
        <w:spacing w:after="0" w:line="177" w:lineRule="exact"/>
        <w:rPr>
          <w:rFonts w:ascii="Arial" w:cs="Arial" w:eastAsia="Arial" w:hAnsi="Arial"/>
          <w:sz w:val="17"/>
          <w:szCs w:val="17"/>
          <w:color w:val="auto"/>
        </w:rPr>
      </w:pPr>
    </w:p>
    <w:p>
      <w:pPr>
        <w:ind w:left="-20" w:right="140" w:firstLine="464"/>
        <w:spacing w:after="0" w:line="291" w:lineRule="auto"/>
        <w:tabs>
          <w:tab w:leader="none" w:pos="6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addition, the Borrower agrees to pay, and authorize Agent to pay in their name, any stamp, documentary, excise or property Tax, charges or similar levies imposed by any applicable Requirement of Law or Governmental Authority and all Liabilities with respect thereto (including by reason of any delay in payment thereof), in each case arising from the execution, delivery or registration of, or otherwise with respect to, any Loan Document or any transaction contemplated therein (collectively, “</w:t>
      </w:r>
      <w:r>
        <w:rPr>
          <w:rFonts w:ascii="Arial" w:cs="Arial" w:eastAsia="Arial" w:hAnsi="Arial"/>
          <w:sz w:val="16"/>
          <w:szCs w:val="16"/>
          <w:b w:val="1"/>
          <w:bCs w:val="1"/>
          <w:color w:val="auto"/>
        </w:rPr>
        <w:t>Other Taxes</w:t>
      </w:r>
      <w:r>
        <w:rPr>
          <w:rFonts w:ascii="Arial" w:cs="Arial" w:eastAsia="Arial" w:hAnsi="Arial"/>
          <w:sz w:val="16"/>
          <w:szCs w:val="16"/>
          <w:color w:val="auto"/>
        </w:rPr>
        <w:t>”). The Swing Lender may, without any need for notice, demand or consent from the Borrower, by making funds available to Agent in the amount equal to any such payment, make a Swing Loan to the Borrower in such amount, the proceeds of which shall be used by Agent in whole to make such payment. Within 30 days after the date of any payment of Other Taxes by any Credit Party, the Borrower shall furnish to Agent the original or a certified copy of a receipt evidencing payment thereof or other evidence of payment reasonably satisfactory to Agent.</w:t>
      </w:r>
    </w:p>
    <w:p>
      <w:pPr>
        <w:spacing w:after="0" w:line="167" w:lineRule="exact"/>
        <w:rPr>
          <w:rFonts w:ascii="Arial" w:cs="Arial" w:eastAsia="Arial" w:hAnsi="Arial"/>
          <w:sz w:val="16"/>
          <w:szCs w:val="16"/>
          <w:color w:val="auto"/>
        </w:rPr>
      </w:pPr>
    </w:p>
    <w:p>
      <w:pPr>
        <w:ind w:left="-20" w:firstLine="464"/>
        <w:spacing w:after="0" w:line="259" w:lineRule="auto"/>
        <w:tabs>
          <w:tab w:leader="none" w:pos="6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Credit Parties hereby acknowledge and agree that (i) neither Capital One nor any Affiliate of Capital One has provided any Tax advice to any Tax Affiliate in connection with the transactions contemplated hereby or any other matters and (ii) the Credit Parties have received appropriate Tax advice to the extent necessary to confirm that the structure of any transaction contemplated by the Credit Parties in connection with the Loan Documents complies in all material respects with applicable federal, state and foreign Tax laws.</w:t>
      </w:r>
    </w:p>
    <w:p>
      <w:pPr>
        <w:spacing w:after="0" w:line="186" w:lineRule="exact"/>
        <w:rPr>
          <w:rFonts w:ascii="Arial" w:cs="Arial" w:eastAsia="Arial" w:hAnsi="Arial"/>
          <w:sz w:val="18"/>
          <w:szCs w:val="18"/>
          <w:color w:val="auto"/>
        </w:rPr>
      </w:pPr>
    </w:p>
    <w:p>
      <w:pPr>
        <w:jc w:val="both"/>
        <w:ind w:left="-20" w:right="540" w:firstLine="464"/>
        <w:spacing w:after="0" w:line="342" w:lineRule="auto"/>
        <w:tabs>
          <w:tab w:leader="none" w:pos="681"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the Borrower shall reimburse and indemnify, within 30 days after receipt of demand therefor (with copy to Agent), each Secured Party for all Indemnified Taxes (including any Indemnified Taxes imposed by any jurisdiction on amounts payable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paid or payable by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60" w:top="274" w:right="239" w:bottom="1440" w:gutter="0" w:footer="0" w:header="0"/>
        </w:sectPr>
      </w:pPr>
    </w:p>
    <w:bookmarkStart w:id="157" w:name="page158"/>
    <w:bookmarkEnd w:id="157"/>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Party and any Liabilities arising therefrom or with respect thereto, whether or not such Indemnified Taxes were correctly or legally asserted. A certificate of the Secured Party (or of Agent on behalf of such Secured Party) claiming any compensation under this clause (e), setting forth the amounts to be paid thereunder and delivered to the Borrower with copy to Agent, shall be conclusive, binding and final for all purposes, absent manifest error. In determining such amount, Agent and such Secured Party may use any reasonable averaging and attribution methods.</w:t>
      </w:r>
    </w:p>
    <w:p>
      <w:pPr>
        <w:spacing w:after="0" w:line="171" w:lineRule="exact"/>
        <w:rPr>
          <w:sz w:val="20"/>
          <w:szCs w:val="20"/>
          <w:color w:val="auto"/>
        </w:rPr>
      </w:pPr>
    </w:p>
    <w:p>
      <w:pPr>
        <w:ind w:right="20" w:firstLine="464"/>
        <w:spacing w:after="0" w:line="286" w:lineRule="auto"/>
        <w:tabs>
          <w:tab w:leader="none" w:pos="671"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Any Lender claiming any additional amounts payable pursuant to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use its reasonable efforts (consistent with its internal policies and Requirements of Law) to change the jurisdiction of its Lending Office if such a change would reduce any such additional amounts (or any similar amount that may thereafter accrue) and would not, in the sole determination of such Lender, be otherwise disadvantageous to such Lender.</w:t>
      </w:r>
    </w:p>
    <w:p>
      <w:pPr>
        <w:spacing w:after="0" w:line="165" w:lineRule="exact"/>
        <w:rPr>
          <w:rFonts w:ascii="Arial" w:cs="Arial" w:eastAsia="Arial" w:hAnsi="Arial"/>
          <w:sz w:val="17"/>
          <w:szCs w:val="17"/>
          <w:color w:val="auto"/>
        </w:rPr>
      </w:pPr>
    </w:p>
    <w:p>
      <w:pPr>
        <w:jc w:val="both"/>
        <w:ind w:firstLine="464"/>
        <w:spacing w:after="0" w:line="288" w:lineRule="auto"/>
        <w:tabs>
          <w:tab w:leader="none" w:pos="711"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 Each Non-U.S. Lender Party that, at any of the following times, is entitled to an exemption from United States withholding Tax or, after a change in any Requirement of Law, is subject to such withholding Tax at a reduced rate under an applicable Tax treaty, shall (w) on or prior to the date such Non-U.S. Lender Party becomes a “Non-U.S. Lender Party” hereunder, (x) on or prior to the date on which any such form or certification expires or becomes obsolete,</w:t>
      </w:r>
    </w:p>
    <w:p>
      <w:pPr>
        <w:ind w:right="80" w:firstLine="8"/>
        <w:spacing w:after="0" w:line="281" w:lineRule="auto"/>
        <w:tabs>
          <w:tab w:leader="none" w:pos="2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after the occurrence of any event requiring a change in the most recent form or certification previously delivered by it pursuant to this clause (i) and (z) from time to time if requested by the Borrower or Agent (or, in the case of a participant or SPV, the relevant Lender), provide Agent and the Borrower (or, in the case of a participant or SPV, the relevant Lender) with executed copies of each of the following, as applicable: (A) Forms W-8ECI (claiming exemption from U.S. withholding Tax because the income is effectively connected with a U.S. trade or business), W-8BEN or W-8BEN-E (claiming exemption from, or a reduction of, U.S. withholding Tax) and/or W-8IMY (together with appropriate forms, certifications and supporting statements) or any successor forms,</w:t>
      </w:r>
    </w:p>
    <w:p>
      <w:pPr>
        <w:spacing w:after="0" w:line="3" w:lineRule="exact"/>
        <w:rPr>
          <w:rFonts w:ascii="Arial" w:cs="Arial" w:eastAsia="Arial" w:hAnsi="Arial"/>
          <w:sz w:val="16"/>
          <w:szCs w:val="16"/>
          <w:color w:val="auto"/>
        </w:rPr>
      </w:pPr>
    </w:p>
    <w:p>
      <w:pPr>
        <w:ind w:right="100"/>
        <w:spacing w:after="0" w:line="265" w:lineRule="auto"/>
        <w:rPr>
          <w:rFonts w:ascii="Arial" w:cs="Arial" w:eastAsia="Arial" w:hAnsi="Arial"/>
          <w:sz w:val="16"/>
          <w:szCs w:val="16"/>
          <w:color w:val="auto"/>
        </w:rPr>
      </w:pPr>
      <w:r>
        <w:rPr>
          <w:rFonts w:ascii="Arial" w:cs="Arial" w:eastAsia="Arial" w:hAnsi="Arial"/>
          <w:sz w:val="17"/>
          <w:szCs w:val="17"/>
          <w:color w:val="auto"/>
        </w:rPr>
        <w:t>(B) in the case of a Non-U.S. Lender Party claiming exemption under Sections 871(h) or 881(c) of the Code, Form W-8BEN or W-8BEN-E (claiming exemption from U.S. withholding Tax) or any successor form and a certificate in form and substance acceptable to Agent that such Non-U.S. Lender Party is not (1) a “bank” within the meaning of Section 881(c)(3)(A) of the Code, (2) a “10 percent shareholder” of the Borrower within the meaning of</w:t>
      </w:r>
    </w:p>
    <w:p>
      <w:pPr>
        <w:ind w:right="80"/>
        <w:spacing w:after="0" w:line="270" w:lineRule="auto"/>
        <w:rPr>
          <w:rFonts w:ascii="Arial" w:cs="Arial" w:eastAsia="Arial" w:hAnsi="Arial"/>
          <w:sz w:val="16"/>
          <w:szCs w:val="16"/>
          <w:color w:val="auto"/>
        </w:rPr>
      </w:pPr>
      <w:r>
        <w:rPr>
          <w:rFonts w:ascii="Arial" w:cs="Arial" w:eastAsia="Arial" w:hAnsi="Arial"/>
          <w:sz w:val="17"/>
          <w:szCs w:val="17"/>
          <w:color w:val="auto"/>
        </w:rPr>
        <w:t>Section 881(c)(3)(B) of the Code or (3) a “controlled foreign corporation” described in Section 881(c)(3)(C) of the Code or (C) any other applicable document prescribed by the IRS certifying as to the entitlement of such Non-U.S. Lender Party to such exemption from United States withholding Tax or reduced rate with respect to all payments to be made to such Non-U.S. Lender Party under the Loan Documents. Unless the Borrower and Agent have received forms or other documents satisfactory to them indicating that payments under any Loan Document to or for a Non-U.S. Lender Party are not subject to United States withholding Tax or are subject to such Tax at a rate reduced by an applicable Tax treaty, the Credit Parties and Agent shall withhold amounts required to be withheld by applicable Requirements of Law from such payments at the applicable statutory rate.</w:t>
      </w:r>
    </w:p>
    <w:p>
      <w:pPr>
        <w:spacing w:after="0" w:line="70" w:lineRule="exact"/>
        <w:rPr>
          <w:rFonts w:ascii="Arial" w:cs="Arial" w:eastAsia="Arial" w:hAnsi="Arial"/>
          <w:sz w:val="16"/>
          <w:szCs w:val="16"/>
          <w:color w:val="auto"/>
        </w:rPr>
      </w:pPr>
    </w:p>
    <w:p>
      <w:pPr>
        <w:ind w:left="920" w:right="20" w:firstLine="421"/>
        <w:spacing w:after="0" w:line="255" w:lineRule="auto"/>
        <w:tabs>
          <w:tab w:leader="none" w:pos="1605" w:val="left"/>
        </w:tabs>
        <w:numPr>
          <w:ilvl w:val="2"/>
          <w:numId w:val="194"/>
        </w:numPr>
        <w:rPr>
          <w:rFonts w:ascii="Arial" w:cs="Arial" w:eastAsia="Arial" w:hAnsi="Arial"/>
          <w:sz w:val="18"/>
          <w:szCs w:val="18"/>
          <w:color w:val="auto"/>
        </w:rPr>
      </w:pPr>
      <w:r>
        <w:rPr>
          <w:rFonts w:ascii="Arial" w:cs="Arial" w:eastAsia="Arial" w:hAnsi="Arial"/>
          <w:sz w:val="18"/>
          <w:szCs w:val="18"/>
          <w:color w:val="auto"/>
        </w:rPr>
        <w:t>Each U.S. Lender Party shall (A) on or prior to the date such U.S. Lender Party becomes a “U.S. Lender Party” hereunder, (B) on or prior to the date on which any such form or certification expires or becomes obsolete, (C) after the occurrence of any event requiring a change in the most recent form or certification previously delivered by it pursuant to this clause (g) and (D) from time to time if requested by the Borrower or Agent (or, in the case of a participant or SPV, the relevant Lender), provide Agent and the Borrower (or, in the case of a participant or SPV, the relevant Lender) with executed copies of Form W-9 (certifying that such U.S. Lender Party is entitled to an exemption from U.S. backup withholding Tax) or any successor form.</w:t>
      </w:r>
    </w:p>
    <w:p>
      <w:pPr>
        <w:spacing w:after="0" w:line="85" w:lineRule="exact"/>
        <w:rPr>
          <w:rFonts w:ascii="Arial" w:cs="Arial" w:eastAsia="Arial" w:hAnsi="Arial"/>
          <w:sz w:val="18"/>
          <w:szCs w:val="18"/>
          <w:color w:val="auto"/>
        </w:rPr>
      </w:pPr>
    </w:p>
    <w:p>
      <w:pPr>
        <w:ind w:left="920" w:right="660" w:firstLine="421"/>
        <w:spacing w:after="0" w:line="277" w:lineRule="auto"/>
        <w:tabs>
          <w:tab w:leader="none" w:pos="1655" w:val="left"/>
        </w:tabs>
        <w:numPr>
          <w:ilvl w:val="2"/>
          <w:numId w:val="194"/>
        </w:numPr>
        <w:rPr>
          <w:rFonts w:ascii="Arial" w:cs="Arial" w:eastAsia="Arial" w:hAnsi="Arial"/>
          <w:sz w:val="18"/>
          <w:szCs w:val="18"/>
          <w:color w:val="auto"/>
        </w:rPr>
      </w:pPr>
      <w:r>
        <w:rPr>
          <w:rFonts w:ascii="Arial" w:cs="Arial" w:eastAsia="Arial" w:hAnsi="Arial"/>
          <w:sz w:val="18"/>
          <w:szCs w:val="18"/>
          <w:color w:val="auto"/>
        </w:rPr>
        <w:t>Each Lender having sold a participation in any of its Obligations or identified an SPV as such to Agent shall collect from such participant or SPV the documents described in this clause (g) and provide them to Agent.</w:t>
      </w:r>
    </w:p>
    <w:p>
      <w:pPr>
        <w:spacing w:after="0" w:line="62" w:lineRule="exact"/>
        <w:rPr>
          <w:rFonts w:ascii="Arial" w:cs="Arial" w:eastAsia="Arial" w:hAnsi="Arial"/>
          <w:sz w:val="18"/>
          <w:szCs w:val="18"/>
          <w:color w:val="auto"/>
        </w:rPr>
      </w:pPr>
    </w:p>
    <w:p>
      <w:pPr>
        <w:ind w:left="920" w:right="20" w:firstLine="421"/>
        <w:spacing w:after="0" w:line="273" w:lineRule="auto"/>
        <w:tabs>
          <w:tab w:leader="none" w:pos="1645" w:val="left"/>
        </w:tabs>
        <w:numPr>
          <w:ilvl w:val="2"/>
          <w:numId w:val="194"/>
        </w:numPr>
        <w:rPr>
          <w:rFonts w:ascii="Arial" w:cs="Arial" w:eastAsia="Arial" w:hAnsi="Arial"/>
          <w:sz w:val="17"/>
          <w:szCs w:val="17"/>
          <w:color w:val="auto"/>
        </w:rPr>
      </w:pPr>
      <w:r>
        <w:rPr>
          <w:rFonts w:ascii="Arial" w:cs="Arial" w:eastAsia="Arial" w:hAnsi="Arial"/>
          <w:sz w:val="17"/>
          <w:szCs w:val="17"/>
          <w:color w:val="auto"/>
        </w:rPr>
        <w:t>If a payment made to a Non-U.S. Lender Party would be subject to United States federal withholding Tax imposed by FATCA if such Non-U.S. Lender Party fails to comply with the applicable reporting requirements of FATCA, such Non-U.S. Lender Party shall deliver to Agent and the Borrower any documentation under any Requirement of Law or reasonably requested by Agent or the Borrower sufficient for Agent or the Borrower to comply with their obligations under FATCA and to determine that such Non-U.S. Lender has complied with its obligations under FATCA or to determine the amount to deduct and withhold from such payment. Solely for the purposes of this clause (iv), “FATCA” shall include any amendments made to FATCA after the date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74" w:right="239" w:bottom="1440" w:gutter="0" w:footer="0" w:header="0"/>
        </w:sectPr>
      </w:pPr>
    </w:p>
    <w:bookmarkStart w:id="158" w:name="page159"/>
    <w:bookmarkEnd w:id="158"/>
    <w:p>
      <w:pPr>
        <w:ind w:firstLine="464"/>
        <w:spacing w:after="0" w:line="269" w:lineRule="auto"/>
        <w:tabs>
          <w:tab w:leader="none" w:pos="711" w:val="left"/>
        </w:tabs>
        <w:numPr>
          <w:ilvl w:val="0"/>
          <w:numId w:val="1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Secured Party determines, in its sole discretion exercised in good faith, that it has received a refund of any Indemnified Taxes as to which it has been indemnified pursuant to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(including by the payment of additional amounts pursuant to </w:t>
      </w:r>
      <w:r>
        <w:rPr>
          <w:rFonts w:ascii="Arial" w:cs="Arial" w:eastAsia="Arial" w:hAnsi="Arial"/>
          <w:sz w:val="17"/>
          <w:szCs w:val="17"/>
          <w:u w:val="single" w:color="auto"/>
          <w:color w:val="auto"/>
        </w:rPr>
        <w:t>Section 11.1(b)</w:t>
      </w:r>
      <w:r>
        <w:rPr>
          <w:rFonts w:ascii="Arial" w:cs="Arial" w:eastAsia="Arial" w:hAnsi="Arial"/>
          <w:sz w:val="17"/>
          <w:szCs w:val="17"/>
          <w:color w:val="auto"/>
        </w:rPr>
        <w:t xml:space="preserve">), it shall pay to the relevant Credit Party an amount equal to such refund (but only to the extent of indemnity payments made under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with respect to the Taxes giving rise to such refund), net of all out-of-pocket expenses (including Taxes) of such Secured Party and without interest (other than any interest paid by the relevant Governmental Authority with respect to such refund). Such Credit Party, upon the request of such Secured Party, shall repay to such Secured Party the amount paid over pursuant to this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(plus any penalties, interest or other charges imposed by the relevant Governmental Authority) in the event that such Secured Party is required to repay such refund to such Governmental Authority. Notwithstanding anything to the contrary in this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in no event shall the Secured Party be required to pay any amount to a Credit Party pursuant to this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the payment of which would place the Secured Party in a less favorable net after-Tax position than the Secured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7"/>
          <w:szCs w:val="17"/>
          <w:u w:val="single" w:color="auto"/>
          <w:color w:val="auto"/>
        </w:rPr>
        <w:t>Section 11.1(h)</w:t>
      </w:r>
      <w:r>
        <w:rPr>
          <w:rFonts w:ascii="Arial" w:cs="Arial" w:eastAsia="Arial" w:hAnsi="Arial"/>
          <w:sz w:val="17"/>
          <w:szCs w:val="17"/>
          <w:color w:val="auto"/>
        </w:rPr>
        <w:t xml:space="preserve"> shall not be construed to require any Secured Party to make available its Tax returns (or any other information relating to its Taxes that it deems confidential) to the Credit Party or any other Person.</w:t>
      </w:r>
    </w:p>
    <w:p>
      <w:pPr>
        <w:spacing w:after="0" w:line="18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Illegality</w:t>
      </w:r>
      <w:r>
        <w:rPr>
          <w:rFonts w:ascii="Arial" w:cs="Arial" w:eastAsia="Arial" w:hAnsi="Arial"/>
          <w:sz w:val="18"/>
          <w:szCs w:val="18"/>
          <w:color w:val="auto"/>
        </w:rPr>
        <w:t>. If after the date hereof any Lender shall determine that the introduction of any Requirement of Law, or any change in any Requirement of Law or in the interpretation or administration thereof, has made it unlawful, or that any central bank or other Governmental Authority has asserted that it is unlawful, for any Lender or its Lending Office to make LIBOR Rate Loans, then, on notice thereof by such Lender to the Borrower through Agent, the obligation of that Lender to make LIBOR Rate Loans shall be suspended until such Lender shall have notified Agent and the Borrower that the circumstances giving rise to such determination no longer exists.</w:t>
      </w:r>
    </w:p>
    <w:p>
      <w:pPr>
        <w:spacing w:after="0" w:line="188" w:lineRule="exact"/>
        <w:rPr>
          <w:sz w:val="20"/>
          <w:szCs w:val="20"/>
          <w:color w:val="auto"/>
        </w:rPr>
      </w:pPr>
    </w:p>
    <w:p>
      <w:pPr>
        <w:jc w:val="both"/>
        <w:ind w:right="40" w:firstLine="464"/>
        <w:spacing w:after="0" w:line="279" w:lineRule="auto"/>
        <w:tabs>
          <w:tab w:leader="none" w:pos="70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Subject to clause (c) below, if any Lender shall determine that it is unlawful to maintain any LIBOR Rate Loan, the Borrower shall prepay in full all LIBOR Rate Loans of such Lender then outstanding, together with interest accrued thereon, either on the last day of the Interest Period thereof if such Lender may lawfully continue to maintain such LIBOR Rate Loans to such day, or immediately, if such Lender may not lawfully continue to maintain such LIBOR Rate Loans, together with any amounts required to be paid in connection therewith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460" w:firstLine="464"/>
        <w:spacing w:after="0" w:line="342" w:lineRule="auto"/>
        <w:tabs>
          <w:tab w:leader="none" w:pos="71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the obligation of any Lender to make or maintain LIBOR Rate Loans has been terminated, the Borrower may elect, by giving notice to such Lender through Agent that all Loans which would otherwise be made by any such Lender as LIBOR Rate Loans shall be instead Base Rate Loans.</w:t>
      </w:r>
    </w:p>
    <w:p>
      <w:pPr>
        <w:spacing w:after="0" w:line="123" w:lineRule="exact"/>
        <w:rPr>
          <w:rFonts w:ascii="Arial" w:cs="Arial" w:eastAsia="Arial" w:hAnsi="Arial"/>
          <w:sz w:val="16"/>
          <w:szCs w:val="16"/>
          <w:color w:val="auto"/>
        </w:rPr>
      </w:pPr>
    </w:p>
    <w:p>
      <w:pPr>
        <w:ind w:right="320" w:firstLine="464"/>
        <w:spacing w:after="0" w:line="264" w:lineRule="auto"/>
        <w:tabs>
          <w:tab w:leader="none" w:pos="70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Before giving any notice to Agent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 affected Lender shall designate a different Lending Office with respect to its LIBOR Rate Loans if such designation will avoid the need for giving such notice or making such demand and will not, in the judgment of the Lender, be illegal or otherwise disadvantageous to the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59" w:name="page160"/>
    <w:bookmarkEnd w:id="159"/>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11.3 </w:t>
      </w:r>
      <w:r>
        <w:rPr>
          <w:rFonts w:ascii="Arial" w:cs="Arial" w:eastAsia="Arial" w:hAnsi="Arial"/>
          <w:sz w:val="18"/>
          <w:szCs w:val="18"/>
          <w:u w:val="single" w:color="auto"/>
          <w:color w:val="auto"/>
        </w:rPr>
        <w:t>Increased Costs and Reduction of Return</w:t>
      </w:r>
      <w:r>
        <w:rPr>
          <w:rFonts w:ascii="Arial" w:cs="Arial" w:eastAsia="Arial" w:hAnsi="Arial"/>
          <w:sz w:val="18"/>
          <w:szCs w:val="18"/>
          <w:color w:val="auto"/>
        </w:rPr>
        <w:t>.</w:t>
      </w:r>
    </w:p>
    <w:p>
      <w:pPr>
        <w:spacing w:after="0" w:line="225" w:lineRule="exact"/>
        <w:rPr>
          <w:sz w:val="20"/>
          <w:szCs w:val="20"/>
          <w:color w:val="auto"/>
        </w:rPr>
      </w:pPr>
    </w:p>
    <w:p>
      <w:pPr>
        <w:ind w:left="-60" w:firstLine="464"/>
        <w:spacing w:after="0" w:line="287" w:lineRule="auto"/>
        <w:tabs>
          <w:tab w:leader="none" w:pos="64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any Lender or L/C Issuer shall determine that, due to either (i) the introduction of, or any change in, or in the interpretation of, any Requirement of Law or (ii) the compliance with any guideline or request from any central bank or other Governmental Authority (whether or not having the force of law), in the case of either clause (i) or (ii) subsequent to the date hereof, (x) there shall be any increase in the cost to such Lender or L/C Issuer of agreeing to make or making, funding or maintaining any LIBOR Rate Loans or of Issuing or maintaining any Letter of Credit or (y) the Lender or L/C Issuer shall be subject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then the Borrower shall be liable for, and shall from time to time, within thirty (30) days of demand therefor by such Lender or L/C Issuer (with a copy of such demand to Agent), pay to Agent for the account of such Lender or L/C Issuer, additional amounts as are sufficient to compensate such Lender or L/C Issuer for such increased costs or such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any Lender or L/C Issuer pursuant to this </w:t>
      </w: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for any increased costs incurred more than 180 days prior to the date that such Lender or L/C Issuer notifies the Borrower, in writing of the increased costs and of such Lender’s or L/C Issuer’s intention to claim compensation thereof; provided, further, that if the circumstance giving rise to such increased costs is retroactive, then the 180-day period referred to above shall be extended to include the period of retroactive effect thereof.</w:t>
      </w:r>
    </w:p>
    <w:p>
      <w:pPr>
        <w:spacing w:after="0" w:line="168" w:lineRule="exact"/>
        <w:rPr>
          <w:rFonts w:ascii="Arial" w:cs="Arial" w:eastAsia="Arial" w:hAnsi="Arial"/>
          <w:sz w:val="16"/>
          <w:szCs w:val="16"/>
          <w:color w:val="auto"/>
        </w:rPr>
      </w:pPr>
    </w:p>
    <w:p>
      <w:pPr>
        <w:ind w:left="660" w:hanging="256"/>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any Lender or L/C Issuer shall have determined that:</w:t>
      </w:r>
    </w:p>
    <w:p>
      <w:pPr>
        <w:spacing w:after="0" w:line="117" w:lineRule="exact"/>
        <w:rPr>
          <w:rFonts w:ascii="Arial" w:cs="Arial" w:eastAsia="Arial" w:hAnsi="Arial"/>
          <w:sz w:val="18"/>
          <w:szCs w:val="18"/>
          <w:color w:val="auto"/>
        </w:rPr>
      </w:pPr>
    </w:p>
    <w:p>
      <w:pPr>
        <w:ind w:left="1500" w:hanging="219"/>
        <w:spacing w:after="0"/>
        <w:tabs>
          <w:tab w:leader="none" w:pos="15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introduction of any Capital Adequacy Regulation;</w:t>
      </w:r>
    </w:p>
    <w:p>
      <w:pPr>
        <w:spacing w:after="0" w:line="117" w:lineRule="exact"/>
        <w:rPr>
          <w:rFonts w:ascii="Arial" w:cs="Arial" w:eastAsia="Arial" w:hAnsi="Arial"/>
          <w:sz w:val="18"/>
          <w:szCs w:val="18"/>
          <w:color w:val="auto"/>
        </w:rPr>
      </w:pPr>
    </w:p>
    <w:p>
      <w:pPr>
        <w:ind w:left="1540" w:hanging="259"/>
        <w:spacing w:after="0"/>
        <w:tabs>
          <w:tab w:leader="none" w:pos="15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change in any Capital Adequacy Regulation;</w:t>
      </w:r>
    </w:p>
    <w:p>
      <w:pPr>
        <w:spacing w:after="0" w:line="117" w:lineRule="exact"/>
        <w:rPr>
          <w:rFonts w:ascii="Arial" w:cs="Arial" w:eastAsia="Arial" w:hAnsi="Arial"/>
          <w:sz w:val="18"/>
          <w:szCs w:val="18"/>
          <w:color w:val="auto"/>
        </w:rPr>
      </w:pPr>
    </w:p>
    <w:p>
      <w:pPr>
        <w:ind w:left="860" w:right="340" w:firstLine="421"/>
        <w:spacing w:after="0" w:line="277" w:lineRule="auto"/>
        <w:tabs>
          <w:tab w:leader="none" w:pos="159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change in the interpretation or administration of any Capital Adequacy Regulation by any central bank or other Governmental Authority charged with the interpretation or administration thereof; or</w:t>
      </w:r>
    </w:p>
    <w:p>
      <w:pPr>
        <w:spacing w:after="0" w:line="62" w:lineRule="exact"/>
        <w:rPr>
          <w:rFonts w:ascii="Arial" w:cs="Arial" w:eastAsia="Arial" w:hAnsi="Arial"/>
          <w:sz w:val="18"/>
          <w:szCs w:val="18"/>
          <w:color w:val="auto"/>
        </w:rPr>
      </w:pPr>
    </w:p>
    <w:p>
      <w:pPr>
        <w:ind w:left="860" w:right="200" w:firstLine="421"/>
        <w:spacing w:after="0" w:line="277" w:lineRule="auto"/>
        <w:tabs>
          <w:tab w:leader="none" w:pos="15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compliance by such Lender or L/C Issuer (or its Lending Office) or any entity controlling the Lender or L/C Issuer, with any Capital Adequacy Regulation;</w:t>
      </w:r>
    </w:p>
    <w:p>
      <w:pPr>
        <w:spacing w:after="0" w:line="62" w:lineRule="exact"/>
        <w:rPr>
          <w:sz w:val="20"/>
          <w:szCs w:val="20"/>
          <w:color w:val="auto"/>
        </w:rPr>
      </w:pPr>
    </w:p>
    <w:p>
      <w:pPr>
        <w:ind w:left="400" w:right="20"/>
        <w:spacing w:after="0" w:line="270" w:lineRule="auto"/>
        <w:rPr>
          <w:sz w:val="20"/>
          <w:szCs w:val="20"/>
          <w:color w:val="auto"/>
        </w:rPr>
      </w:pPr>
      <w:r>
        <w:rPr>
          <w:rFonts w:ascii="Arial" w:cs="Arial" w:eastAsia="Arial" w:hAnsi="Arial"/>
          <w:sz w:val="17"/>
          <w:szCs w:val="17"/>
          <w:color w:val="auto"/>
        </w:rPr>
        <w:t xml:space="preserve">affects the amount of capital or liquidity required or expected to be maintained by such Lender or L/C Issuer or any entity controlling such Lender or L/C Issuer and (taking into consideration such Lender’s or such entities’ policies with respect to capital adequacy or liquidity and such Lender’s or L/C Issuer’s desired return on capital) determines that the amount of such capital is increased as a consequence of its Commitment(s), loans, credits or obligations under this Agreement, then, within thirty (30) days of demand of such Lender or L/C Issuer (with a copy to Agent), the Borrower shall pay to such Lender or L/C Issuer, from time to time as specified by such Lender or L/C Issuer, additional amounts sufficient to compensate such Lender or L/C Issuer (or the entity controlling the Lender or L/C Issuer) for such increase;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any Lender or L/C Issuer pursuant to this </w:t>
      </w:r>
      <w:r>
        <w:rPr>
          <w:rFonts w:ascii="Arial" w:cs="Arial" w:eastAsia="Arial" w:hAnsi="Arial"/>
          <w:sz w:val="17"/>
          <w:szCs w:val="17"/>
          <w:u w:val="single" w:color="auto"/>
          <w:color w:val="auto"/>
        </w:rPr>
        <w:t>Section 10.3(b)</w:t>
      </w:r>
      <w:r>
        <w:rPr>
          <w:rFonts w:ascii="Arial" w:cs="Arial" w:eastAsia="Arial" w:hAnsi="Arial"/>
          <w:sz w:val="17"/>
          <w:szCs w:val="17"/>
          <w:color w:val="auto"/>
        </w:rPr>
        <w:t xml:space="preserve"> for any amounts incurred more than 180 days prior to the date that such Lender or L/C Issuer notifies the Borrower, in writing of the amounts and of such Lender’s or L/C Issuer’s intention to claim compensation thereof; provided, further, that if the event giving rise to such increase is retroactive, then the 180-day period referred to above shall be extended to include the period of retroactive effect thereof.</w:t>
      </w:r>
    </w:p>
    <w:p>
      <w:pPr>
        <w:spacing w:after="0" w:line="178" w:lineRule="exact"/>
        <w:rPr>
          <w:sz w:val="20"/>
          <w:szCs w:val="20"/>
          <w:color w:val="auto"/>
        </w:rPr>
      </w:pPr>
    </w:p>
    <w:p>
      <w:pPr>
        <w:ind w:left="-60" w:right="500" w:firstLine="464"/>
        <w:spacing w:after="0" w:line="264" w:lineRule="auto"/>
        <w:tabs>
          <w:tab w:leader="none" w:pos="64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20"/>
          </w:cols>
          <w:pgMar w:left="300" w:top="274" w:right="279" w:bottom="1440" w:gutter="0" w:footer="0" w:header="0"/>
        </w:sectPr>
      </w:pPr>
    </w:p>
    <w:bookmarkStart w:id="160" w:name="page161"/>
    <w:bookmarkEnd w:id="160"/>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authority) or the United States or foreign regulatory authorities, in each case in respect of this clause (ii) pursuant to Basel III, shall, in each case, be deemed to be a change in a Requirement of Law under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above and/or a change in Capital Adequacy Regulation under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above, as applicable, regardless of the date enacted, adopted, implemented or issued.</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Funding Losses</w:t>
      </w:r>
      <w:r>
        <w:rPr>
          <w:rFonts w:ascii="Arial" w:cs="Arial" w:eastAsia="Arial" w:hAnsi="Arial"/>
          <w:sz w:val="18"/>
          <w:szCs w:val="18"/>
          <w:color w:val="auto"/>
        </w:rPr>
        <w:t>. Borrower agrees to reimburse each Lender and to hold each Lender harmless from any loss or expense which such Lender may sustain or incur as a consequence of:</w:t>
      </w:r>
    </w:p>
    <w:p>
      <w:pPr>
        <w:spacing w:after="0" w:line="170" w:lineRule="exact"/>
        <w:rPr>
          <w:sz w:val="20"/>
          <w:szCs w:val="20"/>
          <w:color w:val="auto"/>
        </w:rPr>
      </w:pPr>
    </w:p>
    <w:p>
      <w:pPr>
        <w:ind w:right="140" w:firstLine="464"/>
        <w:spacing w:after="0" w:line="277" w:lineRule="auto"/>
        <w:tabs>
          <w:tab w:leader="none" w:pos="70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failure of the Borrower to make any payment or mandatory prepayment of principal of any LIBOR Rate Loan (including payments made after any acceleration thereof);</w:t>
      </w:r>
    </w:p>
    <w:p>
      <w:pPr>
        <w:spacing w:after="0" w:line="170"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failure of the Borrower to borrow, continue or convert a Loan after the Borrower has given (or is deemed to have given) a Notice of Borrowing or a Notice of Conversion/Continuation;</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failure of the Borrower to make any prepayment after the Borrower has given a notice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prepayment (including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of a LIBOR Rate Loan on a day which is not the last day of the Interest Period with respect thereto; or</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conversion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any LIBOR Rate Loan to a Base Rate Loan on a day that is not the last day of the applicable Interest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including any such loss or expense arising from the liquidation or reemployment of funds obtained by it to maintain its LIBOR Rate Loans hereunder or from fees payable to terminate the deposits from which such funds were obtained; provided that, with respect to the expenses described in clauses (d) and (e) above, such Lender shall have notified Agent of any such expense within two (2) Business Days of the date on which such expense was incurred. Solely for purposes of calculating amounts payable by the Borrower to the Lenders under this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and under </w:t>
      </w:r>
      <w:r>
        <w:rPr>
          <w:rFonts w:ascii="Arial" w:cs="Arial" w:eastAsia="Arial" w:hAnsi="Arial"/>
          <w:sz w:val="17"/>
          <w:szCs w:val="17"/>
          <w:u w:val="single" w:color="auto"/>
          <w:color w:val="auto"/>
        </w:rPr>
        <w:t>Section 10.3(a)</w:t>
      </w:r>
      <w:r>
        <w:rPr>
          <w:rFonts w:ascii="Arial" w:cs="Arial" w:eastAsia="Arial" w:hAnsi="Arial"/>
          <w:sz w:val="17"/>
          <w:szCs w:val="17"/>
          <w:color w:val="auto"/>
        </w:rPr>
        <w:t>: each LIBOR Rate Loan made by a Lender (and each related reserve, special deposit or similar requirement) shall be conclusively deemed to have been funded at the LIBOR used in determining the interest rate for such LIBOR Rate Loan by a matching deposit or other borrowing in the interbank Eurodollar market for a comparable amount and for a comparable period, whether or not such LIBOR Rate Loan is in fact so funded.</w:t>
      </w:r>
    </w:p>
    <w:p>
      <w:pPr>
        <w:spacing w:after="0" w:line="178"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xml:space="preserve">. If Agent shall have determined in good faith that for any reason adequate and reasonable means do not exist for ascertaining the LIBOR for any requested Interest Period with respect to a proposed LIBOR Rate Loan or that the LIBOR applicable pursuant to </w:t>
      </w:r>
      <w:r>
        <w:rPr>
          <w:rFonts w:ascii="Arial" w:cs="Arial" w:eastAsia="Arial" w:hAnsi="Arial"/>
          <w:sz w:val="16"/>
          <w:szCs w:val="16"/>
          <w:u w:val="single" w:color="auto"/>
          <w:color w:val="auto"/>
        </w:rPr>
        <w:t>Section</w:t>
      </w:r>
    </w:p>
    <w:p>
      <w:pPr>
        <w:ind w:right="20"/>
        <w:spacing w:after="0" w:line="270" w:lineRule="auto"/>
        <w:rPr>
          <w:sz w:val="20"/>
          <w:szCs w:val="20"/>
          <w:color w:val="auto"/>
        </w:rPr>
      </w:pPr>
      <w:r>
        <w:rPr>
          <w:rFonts w:ascii="Arial" w:cs="Arial" w:eastAsia="Arial" w:hAnsi="Arial"/>
          <w:sz w:val="17"/>
          <w:szCs w:val="17"/>
          <w:u w:val="single" w:color="auto"/>
          <w:color w:val="auto"/>
        </w:rPr>
        <w:t>2.3(a)</w:t>
      </w:r>
      <w:r>
        <w:rPr>
          <w:rFonts w:ascii="Arial" w:cs="Arial" w:eastAsia="Arial" w:hAnsi="Arial"/>
          <w:sz w:val="17"/>
          <w:szCs w:val="17"/>
          <w:color w:val="auto"/>
        </w:rPr>
        <w:t xml:space="preserve"> for any requested Interest Period with respect to a proposed LIBOR Rate Loan does not adequately and fairly reflect the cost to the Lenders of funding or maintaining such Loan, Agent will forthwith give notice of such determination to the Borrower and each Lender. Thereafter, the obligation of the Lenders to make or maintain LIBOR Rate Loans hereunder shall be suspended until Agent revokes such notice in writing. Upon receipt of such notice, the Borrower may revoke any Notice of Borrowing or Notice of Conversion/Continuation then submitted by it. If the Borrower does not revoke such notice, the Lenders shall make, convert or continue the Loans, as proposed by the Borrower, in the amount specified in the applicable notice submitted by the Borrower, but such Loans shall be made, converted or continued as Base Rate Loans.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Reserves on LIBOR Rate Loans</w:t>
      </w:r>
      <w:r>
        <w:rPr>
          <w:rFonts w:ascii="Arial" w:cs="Arial" w:eastAsia="Arial" w:hAnsi="Arial"/>
          <w:sz w:val="16"/>
          <w:szCs w:val="16"/>
          <w:color w:val="auto"/>
        </w:rPr>
        <w:t>. Borrower shall pay to each Lender, as long as such Lender shall be required under regulations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Reserve Board to maintain reserves with respect to liabilities or assets consisting of or including Eurocurrency funds or deposits (currently known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Eurocurrency liabilities</w:t>
      </w:r>
      <w:r>
        <w:rPr>
          <w:rFonts w:ascii="Arial" w:cs="Arial" w:eastAsia="Arial" w:hAnsi="Arial"/>
          <w:sz w:val="16"/>
          <w:szCs w:val="16"/>
          <w:color w:val="auto"/>
        </w:rPr>
        <w:t>”), additional costs on the unpaid principal amount of each LIBOR Rate Loan equal to actual costs of such reserves allocated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Loan by such Lender (as determined by such Lender in good faith, which determination shall be conclusive absent manifest error), payable on each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received at least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274" w:right="299" w:bottom="1440" w:gutter="0" w:footer="0" w:header="0"/>
        </w:sectPr>
      </w:pPr>
    </w:p>
    <w:bookmarkStart w:id="161" w:name="page162"/>
    <w:bookmarkEnd w:id="16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fifteen (15) days’ prior written notice (with a copy to Agent) of such additional interest from the Lender. If a Lender fails to give notice fifteen (15) days prior to the relevant Interest Payment Date, such additional interest shall be payable fifteen (15) days from receipt of such notice.</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Certificates of Lenders</w:t>
      </w:r>
      <w:r>
        <w:rPr>
          <w:rFonts w:ascii="Arial" w:cs="Arial" w:eastAsia="Arial" w:hAnsi="Arial"/>
          <w:sz w:val="18"/>
          <w:szCs w:val="18"/>
          <w:color w:val="auto"/>
        </w:rPr>
        <w:t xml:space="preserve">. Any Lender claiming reimbursement or compensation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deliver to the Borrower (with a copy to Agent) a certificate setting forth in reasonable detail the amount payable to such Lender hereunder and such certificate shall be conclusive and binding on the Borrower in the absence of manifest error.</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Secured Cash Management Agreements</w:t>
      </w:r>
      <w:r>
        <w:rPr>
          <w:rFonts w:ascii="Arial" w:cs="Arial" w:eastAsia="Arial" w:hAnsi="Arial"/>
          <w:sz w:val="17"/>
          <w:szCs w:val="17"/>
          <w:color w:val="auto"/>
        </w:rPr>
        <w:t xml:space="preserve">. The Borrower and Fifth Third Bank, it its capacity as a Secured Cash Management Bank, hereby notify Agent that the obligations of the Credit Parties under the Cash Management Agreements by and between one or more Credit Parties and Fifth Third Bank as in effect as of the Closing Date constitute Secured Cash Management Obligations. Fifth Third Bank, in its capacity as a Secured Cash Management Bank. hereby acknowledges and agrees the terms of this Agreement applicable to Secured Cash Management Obligations, including the provisions of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10.24</w:t>
      </w:r>
      <w:r>
        <w:rPr>
          <w:rFonts w:ascii="Arial" w:cs="Arial" w:eastAsia="Arial" w:hAnsi="Arial"/>
          <w:sz w:val="17"/>
          <w:szCs w:val="17"/>
          <w:color w:val="auto"/>
        </w:rPr>
        <w:t>, are applicable, shall apply to all obligations under such Cash Management Agreements.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274" w:right="279" w:bottom="1440" w:gutter="0" w:footer="0" w:header="0"/>
        </w:sectPr>
      </w:pPr>
    </w:p>
    <w:bookmarkStart w:id="162" w:name="page163"/>
    <w:bookmarkEnd w:id="162"/>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Poff</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Brian Poff</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Executive Vice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Secretary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FEIN: 42-1014070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6801 Gaylord Parkway, Suite 110</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Frisco, Texas 75064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Brian Poff, 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(847) 794-7775</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150 Third Avenue South, Suite 2800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Nashville, Tennessee 37201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Cynthia Sellers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(615) 742-6293</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wire transfers: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 Box 630900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Cincinnati, OH 45263-0900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63" w:name="page164"/>
    <w:bookmarkEnd w:id="163"/>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HOMECARE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Poff</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Brian Poff</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Executive Vice</w:t>
            </w:r>
          </w:p>
        </w:tc>
      </w:tr>
      <w:tr>
        <w:trPr>
          <w:trHeight w:val="230"/>
        </w:trPr>
        <w:tc>
          <w:tcPr>
            <w:tcW w:w="6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Secretary and Treasurer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FEIN: 20-5340172</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(DELAWARE), INC.</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(IDAHO),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(INDIANA),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(NORTH CAROLINA),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(NEVADA),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ADDUS HEALTHCARE (SOUTH CAROLINA),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PRIORITY HOME HEALTH CARE,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SOUTH SHORE HOME HEALTH SERVICE INC.</w:t>
      </w:r>
    </w:p>
    <w:p>
      <w:pPr>
        <w:spacing w:after="0" w:line="21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Brian Poff</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FEINs:  27-4575703</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26-2242578</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26-3295457</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26-2653854</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20-8245453</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27-2920131</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341594309</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11-2775270</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6801 Gaylord Parkway, Suite 110</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Frisco, Texas 75064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Brian Poff, 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(847) 794-7775</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150 Third Avenue South, Suite 2800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Nashville, Tennessee 37201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Cynthia Sellers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(615) 742-6293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64" w:name="page165"/>
    <w:bookmarkEnd w:id="16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 xml:space="preserve">CAPITAL ONE, NATIONAL ASSOCIATION, </w:t>
      </w:r>
      <w:r>
        <w:rPr>
          <w:rFonts w:ascii="Arial" w:cs="Arial" w:eastAsia="Arial" w:hAnsi="Arial"/>
          <w:sz w:val="17"/>
          <w:szCs w:val="17"/>
          <w:color w:val="auto"/>
        </w:rPr>
        <w:t>as Agent,</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Swing Lender and as a Lender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Hanes Whiteley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 Hanes Whiteley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Its Duly Authorized Signatory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Two Bethesda Metro Center, Suite 600,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Addus Healthcare Account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(301) 664-9855</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Two Bethesda Metro Center, Suite 600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Capital One Healthcare Legal Department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(301) 664-9866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65" w:name="page166"/>
    <w:bookmarkEnd w:id="165"/>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Diane Marshall</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of the West</w:t>
            </w:r>
          </w:p>
        </w:tc>
        <w:tc>
          <w:tcPr>
            <w:tcW w:w="10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Diane Marshall</w:t>
            </w:r>
          </w:p>
        </w:tc>
        <w:tc>
          <w:tcPr>
            <w:tcW w:w="100" w:type="dxa"/>
            <w:vAlign w:val="bottom"/>
            <w:tcBorders>
              <w:bottom w:val="single" w:sz="8" w:color="auto"/>
            </w:tcBorders>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00" w:type="dxa"/>
            <w:vAlign w:val="bottom"/>
            <w:tcBorders>
              <w:bottom w:val="single" w:sz="8" w:color="auto"/>
            </w:tcBorders>
          </w:tcPr>
          <w:p>
            <w:pPr>
              <w:spacing w:after="0"/>
              <w:rPr>
                <w:sz w:val="19"/>
                <w:szCs w:val="19"/>
                <w:color w:val="auto"/>
              </w:rPr>
            </w:pPr>
          </w:p>
        </w:tc>
      </w:tr>
    </w:tbl>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155 N Wacker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155 N Wacker 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66" w:name="page167"/>
    <w:bookmarkEnd w:id="166"/>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Compass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 Harazim</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W. Harazim</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SVP</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8333 Douglas Ave. Second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Dallas, TX 75225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Ld Fc large Middle Market.group@bbva.com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311 South Wacker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2590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67" w:name="page168"/>
    <w:bookmarkEnd w:id="167"/>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FIFTH THIRD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Nathaniel E. 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Nathaniel E. 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222 S. Riverside Plaza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Mail Drop: GRVR32B</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222 S. Riverside Plaza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312-704-4051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312-704-4374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Rebecca.Angevine@53.com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68" w:name="page169"/>
    <w:bookmarkEnd w:id="168"/>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Back</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Justin Back</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Justin 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4 New York Plaza, Floor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4 New York Plaza, Floor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169545</wp:posOffset>
            </wp:positionV>
            <wp:extent cx="28987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69" w:name="page170"/>
    <w:bookmarkEnd w:id="169"/>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Lender</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 Cumming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Ben Cumming</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3333 Peachtree Rd., NE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Atlanta, GA 30326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Addus Healthcare Portfolio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3333 Peachtree Rd., NE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Atlanta, GA 30326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70" w:name="page171"/>
    <w:bookmarkEnd w:id="17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Prasanna Manyem</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000" w:type="dxa"/>
            <w:vAlign w:val="bottom"/>
          </w:tcPr>
          <w:p>
            <w:pPr>
              <w:ind w:left="40"/>
              <w:spacing w:after="0"/>
              <w:rPr>
                <w:sz w:val="20"/>
                <w:szCs w:val="20"/>
                <w:color w:val="auto"/>
              </w:rPr>
            </w:pPr>
            <w:r>
              <w:rPr>
                <w:rFonts w:ascii="Arial" w:cs="Arial" w:eastAsia="Arial" w:hAnsi="Arial"/>
                <w:sz w:val="18"/>
                <w:szCs w:val="18"/>
                <w:color w:val="auto"/>
              </w:rPr>
              <w:t>Citizens Bank N.A.</w:t>
            </w:r>
          </w:p>
        </w:tc>
        <w:tc>
          <w:tcPr>
            <w:tcW w:w="100" w:type="dxa"/>
            <w:vAlign w:val="bottom"/>
          </w:tcPr>
          <w:p>
            <w:pPr>
              <w:spacing w:after="0"/>
              <w:rPr>
                <w:sz w:val="24"/>
                <w:szCs w:val="24"/>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2000" w:type="dxa"/>
            <w:vAlign w:val="bottom"/>
          </w:tcPr>
          <w:p>
            <w:pPr>
              <w:ind w:left="40"/>
              <w:spacing w:after="0"/>
              <w:rPr>
                <w:sz w:val="20"/>
                <w:szCs w:val="20"/>
                <w:color w:val="auto"/>
              </w:rPr>
            </w:pPr>
            <w:r>
              <w:rPr>
                <w:rFonts w:ascii="Arial" w:cs="Arial" w:eastAsia="Arial" w:hAnsi="Arial"/>
                <w:sz w:val="18"/>
                <w:szCs w:val="18"/>
                <w:color w:val="auto"/>
              </w:rPr>
              <w:t>Prasanna Manyem</w:t>
            </w:r>
          </w:p>
        </w:tc>
        <w:tc>
          <w:tcPr>
            <w:tcW w:w="1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200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600 Washington Blvd.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Mail Stop: CS117E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Stamford, CT 06901</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Citizens Bank N.A.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600 Washington Blvd.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Stamford, CT 06901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71" w:name="page172"/>
    <w:bookmarkEnd w:id="17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Woodforest National Bank</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Sean Walker</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SVP</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25231 Grogan’s Mill Rd.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Suite 450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Woodlands, TX 77380</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811 W. 7</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Los Angeles, CA 90017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142875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72" w:name="page173"/>
    <w:bookmarkEnd w:id="17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Ralph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260"/>
          </w:cols>
          <w:pgMar w:left="240" w:top="274" w:right="399" w:bottom="1440" w:gutter="0" w:footer="0" w:header="0"/>
        </w:sectPr>
      </w:pP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CTBC Bank Co., Ltd., New York Branch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Ralph Wu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&amp; General Manager</w:t>
      </w:r>
    </w:p>
    <w:p>
      <w:pPr>
        <w:spacing w:after="0" w:line="200" w:lineRule="exact"/>
        <w:rPr>
          <w:sz w:val="20"/>
          <w:szCs w:val="20"/>
          <w:color w:val="auto"/>
        </w:rPr>
      </w:pPr>
    </w:p>
    <w:p>
      <w:pPr>
        <w:sectPr>
          <w:pgSz w:w="11900" w:h="16838" w:orient="portrait"/>
          <w:cols w:equalWidth="0" w:num="2">
            <w:col w:w="7340" w:space="100"/>
            <w:col w:w="3820"/>
          </w:cols>
          <w:pgMar w:left="240" w:top="274" w:right="39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521 5</w:t>
      </w:r>
      <w:r>
        <w:rPr>
          <w:rFonts w:ascii="Arial" w:cs="Arial" w:eastAsia="Arial" w:hAnsi="Arial"/>
          <w:sz w:val="13"/>
          <w:szCs w:val="13"/>
          <w:color w:val="auto"/>
        </w:rPr>
        <w:t>th</w:t>
      </w:r>
      <w:r>
        <w:rPr>
          <w:rFonts w:ascii="Arial" w:cs="Arial" w:eastAsia="Arial" w:hAnsi="Arial"/>
          <w:sz w:val="16"/>
          <w:szCs w:val="16"/>
          <w:color w:val="auto"/>
        </w:rPr>
        <w:t xml:space="preserve"> Avenue, 11</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10175</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521 5</w:t>
      </w:r>
      <w:r>
        <w:rPr>
          <w:rFonts w:ascii="Arial" w:cs="Arial" w:eastAsia="Arial" w:hAnsi="Arial"/>
          <w:sz w:val="13"/>
          <w:szCs w:val="13"/>
          <w:color w:val="auto"/>
        </w:rPr>
        <w:t>th</w:t>
      </w:r>
      <w:r>
        <w:rPr>
          <w:rFonts w:ascii="Arial" w:cs="Arial" w:eastAsia="Arial" w:hAnsi="Arial"/>
          <w:sz w:val="16"/>
          <w:szCs w:val="16"/>
          <w:color w:val="auto"/>
        </w:rPr>
        <w:t xml:space="preserve"> Avenue, 11</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10175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type w:val="continuous"/>
        </w:sectPr>
      </w:pPr>
    </w:p>
    <w:bookmarkStart w:id="173" w:name="page174"/>
    <w:bookmarkEnd w:id="173"/>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Whitney Bank dba Hancock Bank,</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 Wille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Brian C. Wille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Hancock Whitney Bank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12 Cadillac Drive, Suite 200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Brentwood, TN 37027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228 St. Charles Street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Orleans, LA 70130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142875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420"/>
          </w:cols>
          <w:pgMar w:left="240" w:top="274" w:right="239" w:bottom="1440" w:gutter="0" w:footer="0" w:header="0"/>
        </w:sectPr>
      </w:pPr>
    </w:p>
    <w:bookmarkStart w:id="174" w:name="page175"/>
    <w:bookmarkEnd w:id="174"/>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MUTUAL OF OMAHA BANK, as a Lender</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Hartman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S. Hartman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Laura Linton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2360 Corporate Circle, Suite 410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Henderson, NV 89074</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Attn: Mike Hartman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5675 DTC Blvd., Ste. 250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Greenwood Village, CO 80111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Credit Agreement</w:t>
      </w:r>
    </w:p>
    <w:p>
      <w:pPr>
        <w:sectPr>
          <w:pgSz w:w="11900" w:h="16838" w:orient="portrait"/>
          <w:cols w:equalWidth="0" w:num="1">
            <w:col w:w="11260"/>
          </w:cols>
          <w:pgMar w:left="240" w:top="274" w:right="3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2"/>
        <w:spacing w:after="0"/>
        <w:tabs>
          <w:tab w:leader="none" w:pos="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2017</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R. Dirk Allison</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2017</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Brian Poff</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March 31, 2017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2017</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R. Dirk Allison</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2017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Date: May 9, 2017</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Brian Poff</w:t>
            </w:r>
          </w:p>
        </w:tc>
      </w:tr>
      <w:tr>
        <w:trPr>
          <w:trHeight w:val="202"/>
        </w:trPr>
        <w:tc>
          <w:tcPr>
            <w:tcW w:w="3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50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1."/>
      <w:numFmt w:val="decimal"/>
      <w:start w:val="1"/>
    </w:lvl>
  </w:abstractNum>
  <w:abstractNum w:abstractNumId="3">
    <w:nsid w:val="14FCE74E"/>
    <w:multiLevelType w:val="hybridMultilevel"/>
    <w:lvl w:ilvl="0">
      <w:lvlJc w:val="left"/>
      <w:lvlText w:val="(%1)"/>
      <w:numFmt w:val="decimal"/>
      <w:start w:val="1"/>
    </w:lvl>
  </w:abstractNum>
  <w:abstractNum w:abstractNumId="4">
    <w:nsid w:val="6A3DD3E8"/>
    <w:multiLevelType w:val="hybridMultilevel"/>
    <w:lvl w:ilvl="0">
      <w:lvlJc w:val="left"/>
      <w:lvlText w:val="(%1)"/>
      <w:numFmt w:val="decimal"/>
      <w:start w:val="2"/>
    </w:lvl>
  </w:abstractNum>
  <w:abstractNum w:abstractNumId="5">
    <w:nsid w:val="71C91298"/>
    <w:multiLevelType w:val="hybridMultilevel"/>
    <w:lvl w:ilvl="0">
      <w:lvlJc w:val="left"/>
      <w:lvlText w:val="(%1)"/>
      <w:numFmt w:val="decimal"/>
      <w:start w:val="1"/>
    </w:lvl>
  </w:abstractNum>
  <w:abstractNum w:abstractNumId="6">
    <w:nsid w:val="9DAF632"/>
    <w:multiLevelType w:val="hybridMultilevel"/>
    <w:lvl w:ilvl="0">
      <w:lvlJc w:val="left"/>
      <w:lvlText w:val="%1."/>
      <w:numFmt w:val="decimal"/>
      <w:start w:val="8"/>
    </w:lvl>
  </w:abstractNum>
  <w:abstractNum w:abstractNumId="7">
    <w:nsid w:val="53299938"/>
    <w:multiLevelType w:val="hybridMultilevel"/>
    <w:lvl w:ilvl="0">
      <w:lvlJc w:val="left"/>
      <w:lvlText w:val="(%1)"/>
      <w:numFmt w:val="lowerLetter"/>
      <w:start w:val="1"/>
    </w:lvl>
  </w:abstractNum>
  <w:abstractNum w:abstractNumId="8">
    <w:nsid w:val="1FBFE8E0"/>
    <w:multiLevelType w:val="hybridMultilevel"/>
    <w:lvl w:ilvl="0">
      <w:lvlJc w:val="left"/>
      <w:lvlText w:val="(%1)"/>
      <w:numFmt w:val="decimal"/>
      <w:start w:val="1"/>
    </w:lvl>
  </w:abstractNum>
  <w:abstractNum w:abstractNumId="9">
    <w:nsid w:val="5092CA79"/>
    <w:multiLevelType w:val="hybridMultilevel"/>
    <w:lvl w:ilvl="0">
      <w:lvlJc w:val="left"/>
      <w:lvlText w:val="(%1)"/>
      <w:numFmt w:val="lowerRoman"/>
      <w:start w:val="2"/>
    </w:lvl>
  </w:abstractNum>
  <w:abstractNum w:abstractNumId="10">
    <w:nsid w:val="1D545C4D"/>
    <w:multiLevelType w:val="hybridMultilevel"/>
    <w:lvl w:ilvl="0">
      <w:lvlJc w:val="left"/>
      <w:lvlText w:val="(%1)"/>
      <w:numFmt w:val="lowerRoman"/>
      <w:start w:val="1"/>
    </w:lvl>
  </w:abstractNum>
  <w:abstractNum w:abstractNumId="11">
    <w:nsid w:val="59ADEA3D"/>
    <w:multiLevelType w:val="hybridMultilevel"/>
    <w:lvl w:ilvl="0">
      <w:lvlJc w:val="left"/>
      <w:lvlText w:val="%1"/>
      <w:numFmt w:val="decimal"/>
      <w:start w:val="10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1)"/>
      <w:numFmt w:val="lowerLetter"/>
      <w:start w:val="1"/>
    </w:lvl>
  </w:abstractNum>
  <w:abstractNum w:abstractNumId="16">
    <w:nsid w:val="51088277"/>
    <w:multiLevelType w:val="hybridMultilevel"/>
    <w:lvl w:ilvl="0">
      <w:lvlJc w:val="left"/>
      <w:lvlText w:val="(%1)"/>
      <w:numFmt w:val="upperLetter"/>
      <w:start w:val="1"/>
    </w:lvl>
  </w:abstractNum>
  <w:abstractNum w:abstractNumId="17">
    <w:nsid w:val="1CA0C5FA"/>
    <w:multiLevelType w:val="hybridMultilevel"/>
    <w:lvl w:ilvl="0">
      <w:lvlJc w:val="left"/>
      <w:lvlText w:val="(%1)"/>
      <w:numFmt w:val="decimal"/>
      <w:start w:val="1"/>
    </w:lvl>
  </w:abstractNum>
  <w:abstractNum w:abstractNumId="18">
    <w:nsid w:val="53584BCB"/>
    <w:multiLevelType w:val="hybridMultilevel"/>
    <w:lvl w:ilvl="0">
      <w:lvlJc w:val="left"/>
      <w:lvlText w:val="(%1)"/>
      <w:numFmt w:val="decimal"/>
      <w:start w:val="3"/>
    </w:lvl>
  </w:abstractNum>
  <w:abstractNum w:abstractNumId="19">
    <w:nsid w:val="415E286C"/>
    <w:multiLevelType w:val="hybridMultilevel"/>
    <w:lvl w:ilvl="0">
      <w:lvlJc w:val="left"/>
      <w:lvlText w:val="(%1)"/>
      <w:numFmt w:val="lowerLetter"/>
      <w:start w:val="1"/>
    </w:lvl>
    <w:lvl w:ilvl="1">
      <w:lvlJc w:val="left"/>
      <w:lvlText w:val="(%2)"/>
      <w:numFmt w:val="decimal"/>
      <w:start w:val="1"/>
    </w:lvl>
  </w:abstractNum>
  <w:abstractNum w:abstractNumId="20">
    <w:nsid w:val="7C58FD05"/>
    <w:multiLevelType w:val="hybridMultilevel"/>
    <w:lvl w:ilvl="0">
      <w:lvlJc w:val="left"/>
      <w:lvlText w:val="(%1)"/>
      <w:numFmt w:val="decimal"/>
      <w:start w:val="5"/>
    </w:lvl>
  </w:abstractNum>
  <w:abstractNum w:abstractNumId="21">
    <w:nsid w:val="23D86AAC"/>
    <w:multiLevelType w:val="hybridMultilevel"/>
    <w:lvl w:ilvl="0">
      <w:lvlJc w:val="left"/>
      <w:lvlText w:val="(%1)"/>
      <w:numFmt w:val="lowerLetter"/>
      <w:start w:val="1"/>
    </w:lvl>
  </w:abstractNum>
  <w:abstractNum w:abstractNumId="22">
    <w:nsid w:val="45E6D486"/>
    <w:multiLevelType w:val="hybridMultilevel"/>
    <w:lvl w:ilvl="0">
      <w:lvlJc w:val="left"/>
      <w:lvlText w:val="(%1)"/>
      <w:numFmt w:val="decimal"/>
      <w:start w:val="1"/>
    </w:lvl>
  </w:abstractNum>
  <w:abstractNum w:abstractNumId="23">
    <w:nsid w:val="5C10FE21"/>
    <w:multiLevelType w:val="hybridMultilevel"/>
    <w:lvl w:ilvl="0">
      <w:lvlJc w:val="left"/>
      <w:lvlText w:val="(%1)"/>
      <w:numFmt w:val="lowerLetter"/>
      <w:start w:val="1"/>
    </w:lvl>
  </w:abstractNum>
  <w:abstractNum w:abstractNumId="24">
    <w:nsid w:val="E7FFA2B"/>
    <w:multiLevelType w:val="hybridMultilevel"/>
    <w:lvl w:ilvl="0">
      <w:lvlJc w:val="left"/>
      <w:lvlText w:val="(%1)"/>
      <w:numFmt w:val="lowerLetter"/>
      <w:start w:val="1"/>
    </w:lvl>
  </w:abstractNum>
  <w:abstractNum w:abstractNumId="25">
    <w:nsid w:val="3C5991AA"/>
    <w:multiLevelType w:val="hybridMultilevel"/>
    <w:lvl w:ilvl="0">
      <w:lvlJc w:val="left"/>
      <w:lvlText w:val="(%1)"/>
      <w:numFmt w:val="lowerLetter"/>
      <w:start w:val="1"/>
    </w:lvl>
  </w:abstractNum>
  <w:abstractNum w:abstractNumId="26">
    <w:nsid w:val="4BD8591A"/>
    <w:multiLevelType w:val="hybridMultilevel"/>
    <w:lvl w:ilvl="0">
      <w:lvlJc w:val="left"/>
      <w:lvlText w:val="(%1)"/>
      <w:numFmt w:val="lowerLetter"/>
      <w:start w:val="8"/>
    </w:lvl>
  </w:abstractNum>
  <w:abstractNum w:abstractNumId="27">
    <w:nsid w:val="78DF6A55"/>
    <w:multiLevelType w:val="hybridMultilevel"/>
    <w:lvl w:ilvl="0">
      <w:lvlJc w:val="left"/>
      <w:lvlText w:val="(%1)"/>
      <w:numFmt w:val="decimal"/>
      <w:start w:val="1"/>
    </w:lvl>
  </w:abstractNum>
  <w:abstractNum w:abstractNumId="28">
    <w:nsid w:val="39B7AAA2"/>
    <w:multiLevelType w:val="hybridMultilevel"/>
    <w:lvl w:ilvl="0">
      <w:lvlJc w:val="left"/>
      <w:lvlText w:val="(%1)"/>
      <w:numFmt w:val="lowerLetter"/>
      <w:start w:val="8"/>
    </w:lvl>
  </w:abstractNum>
  <w:abstractNum w:abstractNumId="29">
    <w:nsid w:val="2B0D8DBE"/>
    <w:multiLevelType w:val="hybridMultilevel"/>
    <w:lvl w:ilvl="0">
      <w:lvlJc w:val="left"/>
      <w:lvlText w:val="(%1)"/>
      <w:numFmt w:val="decimal"/>
      <w:start w:val="3"/>
    </w:lvl>
  </w:abstractNum>
  <w:abstractNum w:abstractNumId="30">
    <w:nsid w:val="6C80EC70"/>
    <w:multiLevelType w:val="hybridMultilevel"/>
    <w:lvl w:ilvl="0">
      <w:lvlJc w:val="left"/>
      <w:lvlText w:val="(%1)"/>
      <w:numFmt w:val="decimal"/>
      <w:start w:val="3"/>
    </w:lvl>
  </w:abstractNum>
  <w:abstractNum w:abstractNumId="31">
    <w:nsid w:val="379E21B5"/>
    <w:multiLevelType w:val="hybridMultilevel"/>
    <w:lvl w:ilvl="0">
      <w:lvlJc w:val="left"/>
      <w:lvlText w:val="(%1)"/>
      <w:numFmt w:val="lowerLetter"/>
      <w:start w:val="1"/>
    </w:lvl>
  </w:abstractNum>
  <w:abstractNum w:abstractNumId="32">
    <w:nsid w:val="69E373"/>
    <w:multiLevelType w:val="hybridMultilevel"/>
    <w:lvl w:ilvl="0">
      <w:lvlJc w:val="left"/>
      <w:lvlText w:val="(%1)"/>
      <w:numFmt w:val="lowerLetter"/>
      <w:start w:val="2"/>
    </w:lvl>
  </w:abstractNum>
  <w:abstractNum w:abstractNumId="33">
    <w:nsid w:val="2C27173B"/>
    <w:multiLevelType w:val="hybridMultilevel"/>
    <w:lvl w:ilvl="0">
      <w:lvlJc w:val="left"/>
      <w:lvlText w:val="(%1)"/>
      <w:numFmt w:val="lowerLetter"/>
      <w:start w:val="2"/>
    </w:lvl>
  </w:abstractNum>
  <w:abstractNum w:abstractNumId="34">
    <w:nsid w:val="4C9B0904"/>
    <w:multiLevelType w:val="hybridMultilevel"/>
    <w:lvl w:ilvl="0">
      <w:lvlJc w:val="left"/>
      <w:lvlText w:val="(%1)"/>
      <w:numFmt w:val="lowerRoman"/>
      <w:start w:val="2"/>
    </w:lvl>
  </w:abstractNum>
  <w:abstractNum w:abstractNumId="35">
    <w:nsid w:val="6AA7B75C"/>
    <w:multiLevelType w:val="hybridMultilevel"/>
    <w:lvl w:ilvl="0">
      <w:lvlJc w:val="left"/>
      <w:lvlText w:val="(%1)"/>
      <w:numFmt w:val="lowerLetter"/>
      <w:start w:val="1"/>
    </w:lvl>
    <w:lvl w:ilvl="1">
      <w:lvlJc w:val="left"/>
      <w:lvlText w:val="(%2)"/>
      <w:numFmt w:val="lowerRoman"/>
      <w:start w:val="1"/>
    </w:lvl>
  </w:abstractNum>
  <w:abstractNum w:abstractNumId="36">
    <w:nsid w:val="1DF029D3"/>
    <w:multiLevelType w:val="hybridMultilevel"/>
    <w:lvl w:ilvl="0">
      <w:lvlJc w:val="left"/>
      <w:lvlText w:val="(%1)"/>
      <w:numFmt w:val="lowerLetter"/>
      <w:start w:val="2"/>
    </w:lvl>
  </w:abstractNum>
  <w:abstractNum w:abstractNumId="37">
    <w:nsid w:val="5675FF36"/>
    <w:multiLevelType w:val="hybridMultilevel"/>
    <w:lvl w:ilvl="0">
      <w:lvlJc w:val="left"/>
      <w:lvlText w:val="(%1)"/>
      <w:numFmt w:val="lowerLetter"/>
      <w:start w:val="1"/>
    </w:lvl>
  </w:abstractNum>
  <w:abstractNum w:abstractNumId="38">
    <w:nsid w:val="3DD15094"/>
    <w:multiLevelType w:val="hybridMultilevel"/>
    <w:lvl w:ilvl="0">
      <w:lvlJc w:val="left"/>
      <w:lvlText w:val="(%1)"/>
      <w:numFmt w:val="lowerLetter"/>
      <w:start w:val="25"/>
    </w:lvl>
  </w:abstractNum>
  <w:abstractNum w:abstractNumId="39">
    <w:nsid w:val="3DB012B3"/>
    <w:multiLevelType w:val="hybridMultilevel"/>
    <w:lvl w:ilvl="0">
      <w:lvlJc w:val="left"/>
      <w:lvlText w:val="(%1)"/>
      <w:numFmt w:val="lowerLetter"/>
      <w:start w:val="1"/>
    </w:lvl>
  </w:abstractNum>
  <w:abstractNum w:abstractNumId="40">
    <w:nsid w:val="2708C9AF"/>
    <w:multiLevelType w:val="hybridMultilevel"/>
    <w:lvl w:ilvl="0">
      <w:lvlJc w:val="left"/>
      <w:lvlText w:val="(%1)"/>
      <w:numFmt w:val="lowerLetter"/>
      <w:start w:val="3"/>
    </w:lvl>
  </w:abstractNum>
  <w:abstractNum w:abstractNumId="41">
    <w:nsid w:val="5B25ACE2"/>
    <w:multiLevelType w:val="hybridMultilevel"/>
    <w:lvl w:ilvl="0">
      <w:lvlJc w:val="left"/>
      <w:lvlText w:val="(%1)"/>
      <w:numFmt w:val="lowerLetter"/>
      <w:start w:val="1"/>
    </w:lvl>
  </w:abstractNum>
  <w:abstractNum w:abstractNumId="42">
    <w:nsid w:val="175DFCF0"/>
    <w:multiLevelType w:val="hybridMultilevel"/>
    <w:lvl w:ilvl="0">
      <w:lvlJc w:val="left"/>
      <w:lvlText w:val="(%1)"/>
      <w:numFmt w:val="lowerLetter"/>
      <w:start w:val="2"/>
    </w:lvl>
  </w:abstractNum>
  <w:abstractNum w:abstractNumId="43">
    <w:nsid w:val="4F97E3E4"/>
    <w:multiLevelType w:val="hybridMultilevel"/>
    <w:lvl w:ilvl="0">
      <w:lvlJc w:val="left"/>
      <w:lvlText w:val="(%1)"/>
      <w:numFmt w:val="lowerLetter"/>
      <w:start w:val="2"/>
    </w:lvl>
  </w:abstractNum>
  <w:abstractNum w:abstractNumId="44">
    <w:nsid w:val="53B0A9E"/>
    <w:multiLevelType w:val="hybridMultilevel"/>
    <w:lvl w:ilvl="0">
      <w:lvlJc w:val="left"/>
      <w:lvlText w:val="(%1)"/>
      <w:numFmt w:val="lowerLetter"/>
      <w:start w:val="1"/>
    </w:lvl>
    <w:lvl w:ilvl="1">
      <w:lvlJc w:val="left"/>
      <w:lvlText w:val="(%2)"/>
      <w:numFmt w:val="lowerRoman"/>
      <w:start w:val="1"/>
    </w:lvl>
  </w:abstractNum>
  <w:abstractNum w:abstractNumId="45">
    <w:nsid w:val="34FD6B4F"/>
    <w:multiLevelType w:val="hybridMultilevel"/>
    <w:lvl w:ilvl="0">
      <w:lvlJc w:val="left"/>
      <w:lvlText w:val="(%1)"/>
      <w:numFmt w:val="lowerRoman"/>
      <w:start w:val="3"/>
    </w:lvl>
  </w:abstractNum>
  <w:abstractNum w:abstractNumId="46">
    <w:nsid w:val="5915FF32"/>
    <w:multiLevelType w:val="hybridMultilevel"/>
    <w:lvl w:ilvl="0">
      <w:lvlJc w:val="left"/>
      <w:lvlText w:val="(%1)"/>
      <w:numFmt w:val="lowerLetter"/>
      <w:start w:val="2"/>
    </w:lvl>
    <w:lvl w:ilvl="1">
      <w:lvlJc w:val="left"/>
      <w:lvlText w:val="(%2)"/>
      <w:numFmt w:val="lowerRoman"/>
      <w:start w:val="9"/>
    </w:lvl>
    <w:lvl w:ilvl="2">
      <w:lvlJc w:val="left"/>
      <w:lvlText w:val="(%3)"/>
      <w:numFmt w:val="lowerLetter"/>
      <w:start w:val="9"/>
    </w:lvl>
  </w:abstractNum>
  <w:abstractNum w:abstractNumId="47">
    <w:nsid w:val="56438D15"/>
    <w:multiLevelType w:val="hybridMultilevel"/>
    <w:lvl w:ilvl="0">
      <w:lvlJc w:val="left"/>
      <w:lvlText w:val="(%1)"/>
      <w:numFmt w:val="upperLetter"/>
      <w:start w:val="1"/>
    </w:lvl>
  </w:abstractNum>
  <w:abstractNum w:abstractNumId="48">
    <w:nsid w:val="519E3149"/>
    <w:multiLevelType w:val="hybridMultilevel"/>
    <w:lvl w:ilvl="0">
      <w:lvlJc w:val="left"/>
      <w:lvlText w:val="(%1)"/>
      <w:numFmt w:val="lowerLetter"/>
      <w:start w:val="26"/>
    </w:lvl>
    <w:lvl w:ilvl="1">
      <w:lvlJc w:val="left"/>
      <w:lvlText w:val="(%2)"/>
      <w:numFmt w:val="lowerRoman"/>
      <w:start w:val="2"/>
    </w:lvl>
  </w:abstractNum>
  <w:abstractNum w:abstractNumId="49">
    <w:nsid w:val="2C6E4AFD"/>
    <w:multiLevelType w:val="hybridMultilevel"/>
    <w:lvl w:ilvl="0">
      <w:lvlJc w:val="left"/>
      <w:lvlText w:val="%1"/>
      <w:numFmt w:val="lowerRoman"/>
      <w:start w:val="1"/>
    </w:lvl>
    <w:lvl w:ilvl="1">
      <w:lvlJc w:val="left"/>
      <w:lvlText w:val="(%2)"/>
      <w:numFmt w:val="lowerRoman"/>
      <w:start w:val="5"/>
    </w:lvl>
    <w:lvl w:ilvl="2">
      <w:lvlJc w:val="left"/>
      <w:lvlText w:val="(%3)"/>
      <w:numFmt w:val="lowerRoman"/>
      <w:start w:val="5"/>
    </w:lvl>
    <w:lvl w:ilvl="3">
      <w:lvlJc w:val="left"/>
      <w:lvlText w:val="(%4)"/>
      <w:numFmt w:val="upperLetter"/>
      <w:start w:val="1"/>
    </w:lvl>
  </w:abstractNum>
  <w:abstractNum w:abstractNumId="50">
    <w:nsid w:val="17A1B582"/>
    <w:multiLevelType w:val="hybridMultilevel"/>
    <w:lvl w:ilvl="0">
      <w:lvlJc w:val="left"/>
      <w:lvlText w:val="(%1)"/>
      <w:numFmt w:val="lowerRoman"/>
      <w:start w:val="6"/>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51">
    <w:nsid w:val="4DF72E4E"/>
    <w:multiLevelType w:val="hybridMultilevel"/>
    <w:lvl w:ilvl="0">
      <w:lvlJc w:val="left"/>
      <w:lvlText w:val="(%1)"/>
      <w:numFmt w:val="lowerLetter"/>
      <w:start w:val="4"/>
    </w:lvl>
    <w:lvl w:ilvl="1">
      <w:lvlJc w:val="left"/>
      <w:lvlText w:val="(%2)"/>
      <w:numFmt w:val="lowerRoman"/>
      <w:start w:val="1"/>
    </w:lvl>
  </w:abstractNum>
  <w:abstractNum w:abstractNumId="52">
    <w:nsid w:val="5046B5A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lvl w:ilvl="3">
      <w:lvlJc w:val="left"/>
      <w:lvlText w:val="(%4)"/>
      <w:numFmt w:val="upperLetter"/>
      <w:start w:val="1"/>
    </w:lvl>
  </w:abstractNum>
  <w:abstractNum w:abstractNumId="53">
    <w:nsid w:val="5D888A0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54">
    <w:nsid w:val="2A082C70"/>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55">
    <w:nsid w:val="5EC6AFD4"/>
    <w:multiLevelType w:val="hybridMultilevel"/>
    <w:lvl w:ilvl="0">
      <w:lvlJc w:val="left"/>
      <w:lvlText w:val="(%1)"/>
      <w:numFmt w:val="lowerRoman"/>
      <w:start w:val="2"/>
    </w:lvl>
    <w:lvl w:ilvl="1">
      <w:lvlJc w:val="left"/>
      <w:lvlText w:val="(%2)"/>
      <w:numFmt w:val="upperLetter"/>
      <w:start w:val="1"/>
    </w:lvl>
  </w:abstractNum>
  <w:abstractNum w:abstractNumId="56">
    <w:nsid w:val="19E21BB2"/>
    <w:multiLevelType w:val="hybridMultilevel"/>
    <w:lvl w:ilvl="0">
      <w:lvlJc w:val="left"/>
      <w:lvlText w:val="(%1)"/>
      <w:numFmt w:val="lowerRoman"/>
      <w:start w:val="3"/>
    </w:lvl>
    <w:lvl w:ilvl="1">
      <w:lvlJc w:val="left"/>
      <w:lvlText w:val="(%2)"/>
      <w:numFmt w:val="upperLetter"/>
      <w:start w:val="1"/>
    </w:lvl>
  </w:abstractNum>
  <w:abstractNum w:abstractNumId="57">
    <w:nsid w:val="75E0858A"/>
    <w:multiLevelType w:val="hybridMultilevel"/>
    <w:lvl w:ilvl="0">
      <w:lvlJc w:val="left"/>
      <w:lvlText w:val="(%1)"/>
      <w:numFmt w:val="lowerLetter"/>
      <w:start w:val="1"/>
    </w:lvl>
  </w:abstractNum>
  <w:abstractNum w:abstractNumId="58">
    <w:nsid w:val="57A61A29"/>
    <w:multiLevelType w:val="hybridMultilevel"/>
    <w:lvl w:ilvl="0">
      <w:lvlJc w:val="left"/>
      <w:lvlText w:val="(%1)"/>
      <w:numFmt w:val="lowerLetter"/>
      <w:start w:val="1"/>
    </w:lvl>
  </w:abstractNum>
  <w:abstractNum w:abstractNumId="59">
    <w:nsid w:val="5399C654"/>
    <w:multiLevelType w:val="hybridMultilevel"/>
    <w:lvl w:ilvl="0">
      <w:lvlJc w:val="left"/>
      <w:lvlText w:val="(%1)"/>
      <w:numFmt w:val="lowerLetter"/>
      <w:start w:val="4"/>
    </w:lvl>
  </w:abstractNum>
  <w:abstractNum w:abstractNumId="60">
    <w:nsid w:val="20EE1348"/>
    <w:multiLevelType w:val="hybridMultilevel"/>
    <w:lvl w:ilvl="0">
      <w:lvlJc w:val="left"/>
      <w:lvlText w:val="%1"/>
      <w:numFmt w:val="decimal"/>
      <w:start w:val="1"/>
    </w:lvl>
    <w:lvl w:ilvl="1">
      <w:lvlJc w:val="left"/>
      <w:lvlText w:val="(%2)"/>
      <w:numFmt w:val="lowerLetter"/>
      <w:start w:val="1"/>
    </w:lvl>
  </w:abstractNum>
  <w:abstractNum w:abstractNumId="61">
    <w:nsid w:val="4427069A"/>
    <w:multiLevelType w:val="hybridMultilevel"/>
    <w:lvl w:ilvl="0">
      <w:lvlJc w:val="left"/>
      <w:lvlText w:val="(%1)"/>
      <w:numFmt w:val="decimal"/>
      <w:start w:val="4"/>
    </w:lvl>
    <w:lvl w:ilvl="1">
      <w:lvlJc w:val="left"/>
      <w:lvlText w:val="(%2)"/>
      <w:numFmt w:val="lowerLetter"/>
      <w:start w:val="3"/>
    </w:lvl>
  </w:abstractNum>
  <w:abstractNum w:abstractNumId="62">
    <w:nsid w:val="B37E80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3">
    <w:nsid w:val="2157F6B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64">
    <w:nsid w:val="704E1DD5"/>
    <w:multiLevelType w:val="hybridMultilevel"/>
    <w:lvl w:ilvl="0">
      <w:lvlJc w:val="left"/>
      <w:lvlText w:val="(%1)"/>
      <w:numFmt w:val="lowerLetter"/>
      <w:start w:val="1"/>
    </w:lvl>
  </w:abstractNum>
  <w:abstractNum w:abstractNumId="65">
    <w:nsid w:val="57D2F10E"/>
    <w:multiLevelType w:val="hybridMultilevel"/>
    <w:lvl w:ilvl="0">
      <w:lvlJc w:val="left"/>
      <w:lvlText w:val="(%1)"/>
      <w:numFmt w:val="lowerLetter"/>
      <w:start w:val="2"/>
    </w:lvl>
  </w:abstractNum>
  <w:abstractNum w:abstractNumId="66">
    <w:nsid w:val="BFFAE18"/>
    <w:multiLevelType w:val="hybridMultilevel"/>
    <w:lvl w:ilvl="0">
      <w:lvlJc w:val="left"/>
      <w:lvlText w:val="(%1)"/>
      <w:numFmt w:val="lowerLetter"/>
      <w:start w:val="1"/>
    </w:lvl>
    <w:lvl w:ilvl="1">
      <w:lvlJc w:val="left"/>
      <w:lvlText w:val="(%2)"/>
      <w:numFmt w:val="lowerRoman"/>
      <w:start w:val="1"/>
    </w:lvl>
  </w:abstractNum>
  <w:abstractNum w:abstractNumId="67">
    <w:nsid w:val="E3E47A8"/>
    <w:multiLevelType w:val="hybridMultilevel"/>
    <w:lvl w:ilvl="0">
      <w:lvlJc w:val="left"/>
      <w:lvlText w:val="(%1)"/>
      <w:numFmt w:val="lowerLetter"/>
      <w:start w:val="3"/>
    </w:lvl>
  </w:abstractNum>
  <w:abstractNum w:abstractNumId="68">
    <w:nsid w:val="2E48F044"/>
    <w:multiLevelType w:val="hybridMultilevel"/>
    <w:lvl w:ilvl="0">
      <w:lvlJc w:val="left"/>
      <w:lvlText w:val="(%1)"/>
      <w:numFmt w:val="lowerLetter"/>
      <w:start w:val="1"/>
    </w:lvl>
    <w:lvl w:ilvl="1">
      <w:lvlJc w:val="left"/>
      <w:lvlText w:val="(%2)"/>
      <w:numFmt w:val="lowerRoman"/>
      <w:start w:val="1"/>
    </w:lvl>
  </w:abstractNum>
  <w:abstractNum w:abstractNumId="69">
    <w:nsid w:val="49D0FEAC"/>
    <w:multiLevelType w:val="hybridMultilevel"/>
    <w:lvl w:ilvl="0">
      <w:lvlJc w:val="left"/>
      <w:lvlText w:val="(%1)"/>
      <w:numFmt w:val="lowerLetter"/>
      <w:start w:val="4"/>
    </w:lvl>
  </w:abstractNum>
  <w:abstractNum w:abstractNumId="70">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1">
    <w:nsid w:val="5551B9F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3"/>
    </w:lvl>
  </w:abstractNum>
  <w:abstractNum w:abstractNumId="72">
    <w:nsid w:val="24F6AB8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3">
    <w:nsid w:val="634C574C"/>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74">
    <w:nsid w:val="24E99DD7"/>
    <w:multiLevelType w:val="hybridMultilevel"/>
    <w:lvl w:ilvl="0">
      <w:lvlJc w:val="left"/>
      <w:lvlText w:val="(%1)"/>
      <w:numFmt w:val="lowerLetter"/>
      <w:start w:val="5"/>
    </w:lvl>
  </w:abstractNum>
  <w:abstractNum w:abstractNumId="75">
    <w:nsid w:val="2A31B62D"/>
    <w:multiLevelType w:val="hybridMultilevel"/>
    <w:lvl w:ilvl="0">
      <w:lvlJc w:val="left"/>
      <w:lvlText w:val="(%1)"/>
      <w:numFmt w:val="lowerLetter"/>
      <w:start w:val="1"/>
    </w:lvl>
  </w:abstractNum>
  <w:abstractNum w:abstractNumId="76">
    <w:nsid w:val="1849C29B"/>
    <w:multiLevelType w:val="hybridMultilevel"/>
    <w:lvl w:ilvl="0">
      <w:lvlJc w:val="left"/>
      <w:lvlText w:val="(%1)"/>
      <w:numFmt w:val="lowerLetter"/>
      <w:start w:val="9"/>
    </w:lvl>
    <w:lvl w:ilvl="1">
      <w:lvlJc w:val="left"/>
      <w:lvlText w:val="(%2)"/>
      <w:numFmt w:val="lowerLetter"/>
      <w:start w:val="2"/>
    </w:lvl>
  </w:abstractNum>
  <w:abstractNum w:abstractNumId="77">
    <w:nsid w:val="7DFF9D09"/>
    <w:multiLevelType w:val="hybridMultilevel"/>
    <w:lvl w:ilvl="0">
      <w:lvlJc w:val="left"/>
      <w:lvlText w:val="(%1)"/>
      <w:numFmt w:val="lowerLetter"/>
      <w:start w:val="1"/>
    </w:lvl>
    <w:lvl w:ilvl="1">
      <w:lvlJc w:val="left"/>
      <w:lvlText w:val="(%2)"/>
      <w:numFmt w:val="lowerLetter"/>
      <w:start w:val="9"/>
    </w:lvl>
  </w:abstractNum>
  <w:abstractNum w:abstractNumId="78">
    <w:nsid w:val="754342"/>
    <w:multiLevelType w:val="hybridMultilevel"/>
    <w:lvl w:ilvl="0">
      <w:lvlJc w:val="left"/>
      <w:lvlText w:val="%1"/>
      <w:numFmt w:val="lowerLetter"/>
      <w:start w:val="1"/>
    </w:lvl>
    <w:lvl w:ilvl="1">
      <w:lvlJc w:val="left"/>
      <w:lvlText w:val="(%2)"/>
      <w:numFmt w:val="lowerLetter"/>
      <w:start w:val="35"/>
    </w:lvl>
  </w:abstractNum>
  <w:abstractNum w:abstractNumId="79">
    <w:nsid w:val="69E7F3E5"/>
    <w:multiLevelType w:val="hybridMultilevel"/>
    <w:lvl w:ilvl="0">
      <w:lvlJc w:val="left"/>
      <w:lvlText w:val="(%1)"/>
      <w:numFmt w:val="lowerLetter"/>
      <w:start w:val="5"/>
    </w:lvl>
    <w:lvl w:ilvl="1">
      <w:lvlJc w:val="left"/>
      <w:lvlText w:val="(%2)"/>
      <w:numFmt w:val="lowerLetter"/>
      <w:start w:val="9"/>
    </w:lvl>
  </w:abstractNum>
  <w:abstractNum w:abstractNumId="80">
    <w:nsid w:val="2A6DE806"/>
    <w:multiLevelType w:val="hybridMultilevel"/>
    <w:lvl w:ilvl="0">
      <w:lvlJc w:val="left"/>
      <w:lvlText w:val="(%1)"/>
      <w:numFmt w:val="lowerRoman"/>
      <w:start w:val="2"/>
    </w:lvl>
  </w:abstractNum>
  <w:abstractNum w:abstractNumId="81">
    <w:nsid w:val="1816F8C4"/>
    <w:multiLevelType w:val="hybridMultilevel"/>
    <w:lvl w:ilvl="0">
      <w:lvlJc w:val="left"/>
      <w:lvlText w:val="%1"/>
      <w:numFmt w:val="upperLetter"/>
      <w:start w:val="1"/>
    </w:lvl>
    <w:lvl w:ilvl="1">
      <w:lvlJc w:val="left"/>
      <w:lvlText w:val="(%2)"/>
      <w:numFmt w:val="lowerRoman"/>
      <w:start w:val="4"/>
    </w:lvl>
  </w:abstractNum>
  <w:abstractNum w:abstractNumId="82">
    <w:nsid w:val="37DF2233"/>
    <w:multiLevelType w:val="hybridMultilevel"/>
    <w:lvl w:ilvl="0">
      <w:lvlJc w:val="left"/>
      <w:lvlText w:val="(%1)"/>
      <w:numFmt w:val="upperLetter"/>
      <w:start w:val="2"/>
    </w:lvl>
    <w:lvl w:ilvl="1">
      <w:lvlJc w:val="left"/>
      <w:lvlText w:val="(%2)"/>
      <w:numFmt w:val="lowerRoman"/>
      <w:start w:val="6"/>
    </w:lvl>
  </w:abstractNum>
  <w:abstractNum w:abstractNumId="83">
    <w:nsid w:val="7AB49DAF"/>
    <w:multiLevelType w:val="hybridMultilevel"/>
    <w:lvl w:ilvl="0">
      <w:lvlJc w:val="left"/>
      <w:lvlText w:val="(%1)"/>
      <w:numFmt w:val="lowerLetter"/>
      <w:start w:val="6"/>
    </w:lvl>
  </w:abstractNum>
  <w:abstractNum w:abstractNumId="84">
    <w:nsid w:val="759F82CD"/>
    <w:multiLevelType w:val="hybridMultilevel"/>
    <w:lvl w:ilvl="0">
      <w:lvlJc w:val="left"/>
      <w:lvlText w:val="%1"/>
      <w:numFmt w:val="lowerLetter"/>
      <w:start w:val="1"/>
    </w:lvl>
    <w:lvl w:ilvl="1">
      <w:lvlJc w:val="left"/>
      <w:lvlText w:val="(%2)"/>
      <w:numFmt w:val="lowerLetter"/>
      <w:start w:val="1"/>
    </w:lvl>
  </w:abstractNum>
  <w:abstractNum w:abstractNumId="85">
    <w:nsid w:val="61E74EA3"/>
    <w:multiLevelType w:val="hybridMultilevel"/>
    <w:lvl w:ilvl="0">
      <w:lvlJc w:val="left"/>
      <w:lvlText w:val="(%1)"/>
      <w:numFmt w:val="lowerLetter"/>
      <w:start w:val="35"/>
    </w:lvl>
    <w:lvl w:ilvl="1">
      <w:lvlJc w:val="left"/>
      <w:lvlText w:val="(%2)"/>
      <w:numFmt w:val="lowerLetter"/>
      <w:start w:val="3"/>
    </w:lvl>
  </w:abstractNum>
  <w:abstractNum w:abstractNumId="86">
    <w:nsid w:val="597B4D84"/>
    <w:multiLevelType w:val="hybridMultilevel"/>
    <w:lvl w:ilvl="0">
      <w:lvlJc w:val="left"/>
      <w:lvlText w:val="(%1)"/>
      <w:numFmt w:val="lowerLetter"/>
      <w:start w:val="6"/>
    </w:lvl>
  </w:abstractNum>
  <w:abstractNum w:abstractNumId="87">
    <w:nsid w:val="F819E7F"/>
    <w:multiLevelType w:val="hybridMultilevel"/>
    <w:lvl w:ilvl="0">
      <w:lvlJc w:val="left"/>
      <w:lvlText w:val="(%1)"/>
      <w:numFmt w:val="lowerLetter"/>
      <w:start w:val="1"/>
    </w:lvl>
  </w:abstractNum>
  <w:abstractNum w:abstractNumId="88">
    <w:nsid w:val="57C7D42D"/>
    <w:multiLevelType w:val="hybridMultilevel"/>
    <w:lvl w:ilvl="0">
      <w:lvlJc w:val="left"/>
      <w:lvlText w:val="%1"/>
      <w:numFmt w:val="upperLetter"/>
      <w:start w:val="1"/>
    </w:lvl>
    <w:lvl w:ilvl="1">
      <w:lvlJc w:val="left"/>
      <w:lvlText w:val="(%2)"/>
      <w:numFmt w:val="lowerLetter"/>
      <w:start w:val="1"/>
    </w:lvl>
  </w:abstractNum>
  <w:abstractNum w:abstractNumId="89">
    <w:nsid w:val="312167AD"/>
    <w:multiLevelType w:val="hybridMultilevel"/>
    <w:lvl w:ilvl="0">
      <w:lvlJc w:val="left"/>
      <w:lvlText w:val="(%1)"/>
      <w:numFmt w:val="upperLetter"/>
      <w:start w:val="1"/>
    </w:lvl>
    <w:lvl w:ilvl="1">
      <w:lvlJc w:val="left"/>
      <w:lvlText w:val="(%2)"/>
      <w:numFmt w:val="lowerLetter"/>
      <w:start w:val="2"/>
    </w:lvl>
  </w:abstractNum>
  <w:abstractNum w:abstractNumId="90">
    <w:nsid w:val="631B64D4"/>
    <w:multiLevelType w:val="hybridMultilevel"/>
    <w:lvl w:ilvl="0">
      <w:lvlJc w:val="left"/>
      <w:lvlText w:val="(%1)"/>
      <w:numFmt w:val="lowerRoman"/>
      <w:start w:val="1"/>
    </w:lvl>
  </w:abstractNum>
  <w:abstractNum w:abstractNumId="91">
    <w:nsid w:val="78B5E776"/>
    <w:multiLevelType w:val="hybridMultilevel"/>
    <w:lvl w:ilvl="0">
      <w:lvlJc w:val="left"/>
      <w:lvlText w:val="(%1)"/>
      <w:numFmt w:val="lowerRoman"/>
      <w:start w:val="1"/>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1"/>
    </w:lvl>
    <w:lvl w:ilvl="1">
      <w:lvlJc w:val="left"/>
      <w:lvlText w:val="(%2)"/>
      <w:numFmt w:val="lowerLetter"/>
      <w:start w:val="24"/>
    </w:lvl>
  </w:abstractNum>
  <w:abstractNum w:abstractNumId="94">
    <w:nsid w:val="1A0DDE32"/>
    <w:multiLevelType w:val="hybridMultilevel"/>
    <w:lvl w:ilvl="0">
      <w:lvlJc w:val="left"/>
      <w:lvlText w:val="(%1)"/>
      <w:numFmt w:val="lowerLetter"/>
      <w:start w:val="3"/>
    </w:lvl>
  </w:abstractNum>
  <w:abstractNum w:abstractNumId="95">
    <w:nsid w:val="65968C1C"/>
    <w:multiLevelType w:val="hybridMultilevel"/>
    <w:lvl w:ilvl="0">
      <w:lvlJc w:val="left"/>
      <w:lvlText w:val="(%1)"/>
      <w:numFmt w:val="decimal"/>
      <w:start w:val="5"/>
    </w:lvl>
  </w:abstractNum>
  <w:abstractNum w:abstractNumId="96">
    <w:nsid w:val="46263DEC"/>
    <w:multiLevelType w:val="hybridMultilevel"/>
    <w:lvl w:ilvl="0">
      <w:lvlJc w:val="left"/>
      <w:lvlText w:val="(%1)"/>
      <w:numFmt w:val="lowerLetter"/>
      <w:start w:val="1"/>
    </w:lvl>
  </w:abstractNum>
  <w:abstractNum w:abstractNumId="97">
    <w:nsid w:val="260D8C4A"/>
    <w:multiLevelType w:val="hybridMultilevel"/>
    <w:lvl w:ilvl="0">
      <w:lvlJc w:val="left"/>
      <w:lvlText w:val="(%1)"/>
      <w:numFmt w:val="lowerLetter"/>
      <w:start w:val="6"/>
    </w:lvl>
  </w:abstractNum>
  <w:abstractNum w:abstractNumId="98">
    <w:nsid w:val="73D4D3C4"/>
    <w:multiLevelType w:val="hybridMultilevel"/>
    <w:lvl w:ilvl="0">
      <w:lvlJc w:val="left"/>
      <w:lvlText w:val="(%1)"/>
      <w:numFmt w:val="lowerLetter"/>
      <w:start w:val="10"/>
    </w:lvl>
  </w:abstractNum>
  <w:abstractNum w:abstractNumId="99">
    <w:nsid w:val="746F2E30"/>
    <w:multiLevelType w:val="hybridMultilevel"/>
    <w:lvl w:ilvl="0">
      <w:lvlJc w:val="left"/>
      <w:lvlText w:val="(%1)"/>
      <w:numFmt w:val="lowerLetter"/>
      <w:start w:val="1"/>
    </w:lvl>
  </w:abstractNum>
  <w:abstractNum w:abstractNumId="100">
    <w:nsid w:val="6FDE8AF6"/>
    <w:multiLevelType w:val="hybridMultilevel"/>
    <w:lvl w:ilvl="0">
      <w:lvlJc w:val="left"/>
      <w:lvlText w:val="(%1)"/>
      <w:numFmt w:val="lowerLetter"/>
      <w:start w:val="1"/>
    </w:lvl>
  </w:abstractNum>
  <w:abstractNum w:abstractNumId="101">
    <w:nsid w:val="3FC32E20"/>
    <w:multiLevelType w:val="hybridMultilevel"/>
    <w:lvl w:ilvl="0">
      <w:lvlJc w:val="left"/>
      <w:lvlText w:val="(%1)"/>
      <w:numFmt w:val="lowerLetter"/>
      <w:start w:val="1"/>
    </w:lvl>
  </w:abstractNum>
  <w:abstractNum w:abstractNumId="102">
    <w:nsid w:val="49C0E823"/>
    <w:multiLevelType w:val="hybridMultilevel"/>
    <w:lvl w:ilvl="0">
      <w:lvlJc w:val="left"/>
      <w:lvlText w:val="(%1)"/>
      <w:numFmt w:val="lowerLetter"/>
      <w:start w:val="3"/>
    </w:lvl>
  </w:abstractNum>
  <w:abstractNum w:abstractNumId="103">
    <w:nsid w:val="14D53685"/>
    <w:multiLevelType w:val="hybridMultilevel"/>
    <w:lvl w:ilvl="0">
      <w:lvlJc w:val="left"/>
      <w:lvlText w:val="%1"/>
      <w:numFmt w:val="lowerLetter"/>
      <w:start w:val="1"/>
    </w:lvl>
    <w:lvl w:ilvl="1">
      <w:lvlJc w:val="left"/>
      <w:lvlText w:val="(%2)"/>
      <w:numFmt w:val="lowerLetter"/>
      <w:start w:val="1"/>
    </w:lvl>
  </w:abstractNum>
  <w:abstractNum w:abstractNumId="104">
    <w:nsid w:val="230F856C"/>
    <w:multiLevelType w:val="hybridMultilevel"/>
    <w:lvl w:ilvl="0">
      <w:lvlJc w:val="left"/>
      <w:lvlText w:val="(%1)"/>
      <w:numFmt w:val="lowerLetter"/>
      <w:start w:val="25"/>
    </w:lvl>
    <w:lvl w:ilvl="1">
      <w:lvlJc w:val="left"/>
      <w:lvlText w:val="(%2)"/>
      <w:numFmt w:val="lowerLetter"/>
      <w:start w:val="3"/>
    </w:lvl>
  </w:abstractNum>
  <w:abstractNum w:abstractNumId="105">
    <w:nsid w:val="6EAA85FB"/>
    <w:multiLevelType w:val="hybridMultilevel"/>
    <w:lvl w:ilvl="0">
      <w:lvlJc w:val="left"/>
      <w:lvlText w:val="%1"/>
      <w:numFmt w:val="lowerLetter"/>
      <w:start w:val="1"/>
    </w:lvl>
    <w:lvl w:ilvl="1">
      <w:lvlJc w:val="left"/>
      <w:lvlText w:val="(%2)"/>
      <w:numFmt w:val="lowerLetter"/>
      <w:start w:val="5"/>
    </w:lvl>
  </w:abstractNum>
  <w:abstractNum w:abstractNumId="106">
    <w:nsid w:val="3F06ECB2"/>
    <w:multiLevelType w:val="hybridMultilevel"/>
    <w:lvl w:ilvl="0">
      <w:lvlJc w:val="left"/>
      <w:lvlText w:val="(%1)"/>
      <w:numFmt w:val="lowerLetter"/>
      <w:start w:val="35"/>
    </w:lvl>
    <w:lvl w:ilvl="1">
      <w:lvlJc w:val="left"/>
      <w:lvlText w:val="(%2)"/>
      <w:numFmt w:val="lowerLetter"/>
      <w:start w:val="7"/>
    </w:lvl>
  </w:abstractNum>
  <w:abstractNum w:abstractNumId="107">
    <w:nsid w:val="3B594807"/>
    <w:multiLevelType w:val="hybridMultilevel"/>
    <w:lvl w:ilvl="0">
      <w:lvlJc w:val="left"/>
      <w:lvlText w:val="(%1)"/>
      <w:numFmt w:val="lowerLetter"/>
      <w:start w:val="1"/>
    </w:lvl>
  </w:abstractNum>
  <w:abstractNum w:abstractNumId="108">
    <w:nsid w:val="6CAA2304"/>
    <w:multiLevelType w:val="hybridMultilevel"/>
    <w:lvl w:ilvl="0">
      <w:lvlJc w:val="left"/>
      <w:lvlText w:val="(%1)"/>
      <w:numFmt w:val="lowerRoman"/>
      <w:start w:val="1"/>
    </w:lvl>
  </w:abstractNum>
  <w:abstractNum w:abstractNumId="109">
    <w:nsid w:val="3F7C2FF4"/>
    <w:multiLevelType w:val="hybridMultilevel"/>
    <w:lvl w:ilvl="0">
      <w:lvlJc w:val="left"/>
      <w:lvlText w:val="(%1)"/>
      <w:numFmt w:val="lowerLetter"/>
      <w:start w:val="1"/>
    </w:lvl>
  </w:abstractNum>
  <w:abstractNum w:abstractNumId="110">
    <w:nsid w:val="25413BEC"/>
    <w:multiLevelType w:val="hybridMultilevel"/>
    <w:lvl w:ilvl="0">
      <w:lvlJc w:val="left"/>
      <w:lvlText w:val="%1"/>
      <w:numFmt w:val="lowerLetter"/>
      <w:start w:val="1"/>
    </w:lvl>
    <w:lvl w:ilvl="1">
      <w:lvlJc w:val="left"/>
      <w:lvlText w:val="(%2)"/>
      <w:numFmt w:val="lowerLetter"/>
      <w:start w:val="1"/>
    </w:lvl>
  </w:abstractNum>
  <w:abstractNum w:abstractNumId="111">
    <w:nsid w:val="17180B0B"/>
    <w:multiLevelType w:val="hybridMultilevel"/>
    <w:lvl w:ilvl="0">
      <w:lvlJc w:val="left"/>
      <w:lvlText w:val="(%1)"/>
      <w:numFmt w:val="lowerLetter"/>
      <w:start w:val="9"/>
    </w:lvl>
    <w:lvl w:ilvl="1">
      <w:lvlJc w:val="left"/>
      <w:lvlText w:val="(%2)"/>
      <w:numFmt w:val="lowerLetter"/>
      <w:start w:val="3"/>
    </w:lvl>
  </w:abstractNum>
  <w:abstractNum w:abstractNumId="112">
    <w:nsid w:val="579328B9"/>
    <w:multiLevelType w:val="hybridMultilevel"/>
    <w:lvl w:ilvl="0">
      <w:lvlJc w:val="left"/>
      <w:lvlText w:val="(%1)"/>
      <w:numFmt w:val="decimal"/>
      <w:start w:val="60"/>
    </w:lvl>
    <w:lvl w:ilvl="1">
      <w:lvlJc w:val="left"/>
      <w:lvlText w:val="(%2)"/>
      <w:numFmt w:val="lowerLetter"/>
      <w:start w:val="5"/>
    </w:lvl>
  </w:abstractNum>
  <w:abstractNum w:abstractNumId="113">
    <w:nsid w:val="5D205E20"/>
    <w:multiLevelType w:val="hybridMultilevel"/>
    <w:lvl w:ilvl="0">
      <w:lvlJc w:val="left"/>
      <w:lvlText w:val="(%1)"/>
      <w:numFmt w:val="lowerLetter"/>
      <w:start w:val="1"/>
    </w:lvl>
  </w:abstractNum>
  <w:abstractNum w:abstractNumId="114">
    <w:nsid w:val="11CCA8BA"/>
    <w:multiLevelType w:val="hybridMultilevel"/>
    <w:lvl w:ilvl="0">
      <w:lvlJc w:val="left"/>
      <w:lvlText w:val="(%1)"/>
      <w:numFmt w:val="lowerRoman"/>
      <w:start w:val="1"/>
    </w:lvl>
  </w:abstractNum>
  <w:abstractNum w:abstractNumId="115">
    <w:nsid w:val="4D32AB86"/>
    <w:multiLevelType w:val="hybridMultilevel"/>
    <w:lvl w:ilvl="0">
      <w:lvlJc w:val="left"/>
      <w:lvlText w:val="(%1)"/>
      <w:numFmt w:val="lowerLetter"/>
      <w:start w:val="1"/>
    </w:lvl>
  </w:abstractNum>
  <w:abstractNum w:abstractNumId="116">
    <w:nsid w:val="3F07ACC3"/>
    <w:multiLevelType w:val="hybridMultilevel"/>
    <w:lvl w:ilvl="0">
      <w:lvlJc w:val="left"/>
      <w:lvlText w:val="(%1)"/>
      <w:numFmt w:val="lowerLetter"/>
      <w:start w:val="1"/>
    </w:lvl>
  </w:abstractNum>
  <w:abstractNum w:abstractNumId="117">
    <w:nsid w:val="6B47F63E"/>
    <w:multiLevelType w:val="hybridMultilevel"/>
    <w:lvl w:ilvl="0">
      <w:lvlJc w:val="left"/>
      <w:lvlText w:val="%1"/>
      <w:numFmt w:val="lowerLetter"/>
      <w:start w:val="1"/>
    </w:lvl>
    <w:lvl w:ilvl="1">
      <w:lvlJc w:val="left"/>
      <w:lvlText w:val="(%2)"/>
      <w:numFmt w:val="lowerLetter"/>
      <w:start w:val="6"/>
    </w:lvl>
  </w:abstractNum>
  <w:abstractNum w:abstractNumId="118">
    <w:nsid w:val="5CB44A05"/>
    <w:multiLevelType w:val="hybridMultilevel"/>
    <w:lvl w:ilvl="0">
      <w:lvlJc w:val="left"/>
      <w:lvlText w:val="(%1)"/>
      <w:numFmt w:val="lowerLetter"/>
      <w:start w:val="9"/>
    </w:lvl>
    <w:lvl w:ilvl="1">
      <w:lvlJc w:val="left"/>
      <w:lvlText w:val="(%2)"/>
      <w:numFmt w:val="lowerLetter"/>
      <w:start w:val="9"/>
    </w:lvl>
  </w:abstractNum>
  <w:abstractNum w:abstractNumId="119">
    <w:nsid w:val="16CF80F1"/>
    <w:multiLevelType w:val="hybridMultilevel"/>
    <w:lvl w:ilvl="0">
      <w:lvlJc w:val="left"/>
      <w:lvlText w:val="(%1)"/>
      <w:numFmt w:val="lowerLetter"/>
      <w:start w:val="18"/>
    </w:lvl>
  </w:abstractNum>
  <w:abstractNum w:abstractNumId="120">
    <w:nsid w:val="1C695DEC"/>
    <w:multiLevelType w:val="hybridMultilevel"/>
    <w:lvl w:ilvl="0">
      <w:lvlJc w:val="left"/>
      <w:lvlText w:val="%1"/>
      <w:numFmt w:val="upperLetter"/>
      <w:start w:val="1"/>
    </w:lvl>
    <w:lvl w:ilvl="1">
      <w:lvlJc w:val="left"/>
      <w:lvlText w:val="(%2)"/>
      <w:numFmt w:val="lowerLetter"/>
      <w:start w:val="1"/>
    </w:lvl>
  </w:abstractNum>
  <w:abstractNum w:abstractNumId="121">
    <w:nsid w:val="3FCFAED9"/>
    <w:multiLevelType w:val="hybridMultilevel"/>
    <w:lvl w:ilvl="0">
      <w:lvlJc w:val="left"/>
      <w:lvlText w:val="(%1)"/>
      <w:numFmt w:val="upperLetter"/>
      <w:start w:val="1"/>
    </w:lvl>
    <w:lvl w:ilvl="1">
      <w:lvlJc w:val="left"/>
      <w:lvlText w:val="(%2)"/>
      <w:numFmt w:val="lowerLetter"/>
      <w:start w:val="8"/>
    </w:lvl>
  </w:abstractNum>
  <w:abstractNum w:abstractNumId="122">
    <w:nsid w:val="F856867"/>
    <w:multiLevelType w:val="hybridMultilevel"/>
    <w:lvl w:ilvl="0">
      <w:lvlJc w:val="left"/>
      <w:lvlText w:val="%1"/>
      <w:numFmt w:val="lowerRoman"/>
      <w:start w:val="1"/>
    </w:lvl>
    <w:lvl w:ilvl="1">
      <w:lvlJc w:val="left"/>
      <w:lvlText w:val="(%2)"/>
      <w:numFmt w:val="lowerLetter"/>
      <w:start w:val="11"/>
    </w:lvl>
  </w:abstractNum>
  <w:abstractNum w:abstractNumId="123">
    <w:nsid w:val="11B1CC33"/>
    <w:multiLevelType w:val="hybridMultilevel"/>
    <w:lvl w:ilvl="0">
      <w:lvlJc w:val="left"/>
      <w:lvlText w:val="(%1)"/>
      <w:numFmt w:val="lowerRoman"/>
      <w:start w:val="4"/>
    </w:lvl>
    <w:lvl w:ilvl="1">
      <w:lvlJc w:val="left"/>
      <w:lvlText w:val="(%2)"/>
      <w:numFmt w:val="lowerLetter"/>
      <w:start w:val="13"/>
    </w:lvl>
  </w:abstractNum>
  <w:abstractNum w:abstractNumId="124">
    <w:nsid w:val="2E22FBB7"/>
    <w:multiLevelType w:val="hybridMultilevel"/>
    <w:lvl w:ilvl="0">
      <w:lvlJc w:val="left"/>
      <w:lvlText w:val="(%1)"/>
      <w:numFmt w:val="lowerLetter"/>
      <w:start w:val="1"/>
    </w:lvl>
  </w:abstractNum>
  <w:abstractNum w:abstractNumId="125">
    <w:nsid w:val="29934699"/>
    <w:multiLevelType w:val="hybridMultilevel"/>
    <w:lvl w:ilvl="0">
      <w:lvlJc w:val="left"/>
      <w:lvlText w:val="(%1)"/>
      <w:numFmt w:val="lowerLetter"/>
      <w:start w:val="13"/>
    </w:lvl>
  </w:abstractNum>
  <w:abstractNum w:abstractNumId="126">
    <w:nsid w:val="77485850"/>
    <w:multiLevelType w:val="hybridMultilevel"/>
    <w:lvl w:ilvl="0">
      <w:lvlJc w:val="left"/>
      <w:lvlText w:val="%1"/>
      <w:numFmt w:val="lowerLetter"/>
      <w:start w:val="1"/>
    </w:lvl>
    <w:lvl w:ilvl="1">
      <w:lvlJc w:val="left"/>
      <w:lvlText w:val="(%2)"/>
      <w:numFmt w:val="lowerLetter"/>
      <w:start w:val="1"/>
    </w:lvl>
  </w:abstractNum>
  <w:abstractNum w:abstractNumId="127">
    <w:nsid w:val="744939A3"/>
    <w:multiLevelType w:val="hybridMultilevel"/>
    <w:lvl w:ilvl="0">
      <w:lvlJc w:val="left"/>
      <w:lvlText w:val="(%1)"/>
      <w:numFmt w:val="lowerLetter"/>
      <w:start w:val="9"/>
    </w:lvl>
    <w:lvl w:ilvl="1">
      <w:lvlJc w:val="left"/>
      <w:lvlText w:val="(%2)"/>
      <w:numFmt w:val="lowerLetter"/>
      <w:start w:val="8"/>
    </w:lvl>
  </w:abstractNum>
  <w:abstractNum w:abstractNumId="128">
    <w:nsid w:val="4FA0D2E3"/>
    <w:multiLevelType w:val="hybridMultilevel"/>
    <w:lvl w:ilvl="0">
      <w:lvlJc w:val="left"/>
      <w:lvlText w:val="(%1)"/>
      <w:numFmt w:val="lowerLetter"/>
      <w:start w:val="12"/>
    </w:lvl>
  </w:abstractNum>
  <w:abstractNum w:abstractNumId="129">
    <w:nsid w:val="6B1D2C14"/>
    <w:multiLevelType w:val="hybridMultilevel"/>
    <w:lvl w:ilvl="0">
      <w:lvlJc w:val="left"/>
      <w:lvlText w:val="(%1)"/>
      <w:numFmt w:val="lowerLetter"/>
      <w:start w:val="1"/>
    </w:lvl>
  </w:abstractNum>
  <w:abstractNum w:abstractNumId="130">
    <w:nsid w:val="68B867D3"/>
    <w:multiLevelType w:val="hybridMultilevel"/>
    <w:lvl w:ilvl="0">
      <w:lvlJc w:val="left"/>
      <w:lvlText w:val="(%1)"/>
      <w:numFmt w:val="lowerLetter"/>
      <w:start w:val="1"/>
    </w:lvl>
    <w:lvl w:ilvl="1">
      <w:lvlJc w:val="left"/>
      <w:lvlText w:val="(%2)"/>
      <w:numFmt w:val="lowerRoman"/>
      <w:start w:val="1"/>
    </w:lvl>
  </w:abstractNum>
  <w:abstractNum w:abstractNumId="131">
    <w:nsid w:val="3F7F5DD9"/>
    <w:multiLevelType w:val="hybridMultilevel"/>
    <w:lvl w:ilvl="0">
      <w:lvlJc w:val="left"/>
      <w:lvlText w:val="(%1)"/>
      <w:numFmt w:val="lowerLetter"/>
      <w:start w:val="1"/>
    </w:lvl>
    <w:lvl w:ilvl="1">
      <w:lvlJc w:val="left"/>
      <w:lvlText w:val="(%2)"/>
      <w:numFmt w:val="lowerRoman"/>
      <w:start w:val="1"/>
    </w:lvl>
  </w:abstractNum>
  <w:abstractNum w:abstractNumId="132">
    <w:nsid w:val="2AE05A34"/>
    <w:multiLevelType w:val="hybridMultilevel"/>
    <w:lvl w:ilvl="0">
      <w:lvlJc w:val="left"/>
      <w:lvlText w:val="(%1)"/>
      <w:numFmt w:val="lowerLetter"/>
      <w:start w:val="1"/>
    </w:lvl>
  </w:abstractNum>
  <w:abstractNum w:abstractNumId="133">
    <w:nsid w:val="32794FF7"/>
    <w:multiLevelType w:val="hybridMultilevel"/>
    <w:lvl w:ilvl="0">
      <w:lvlJc w:val="left"/>
      <w:lvlText w:val="%1"/>
      <w:numFmt w:val="lowerLetter"/>
      <w:start w:val="1"/>
    </w:lvl>
    <w:lvl w:ilvl="1">
      <w:lvlJc w:val="left"/>
      <w:lvlText w:val="(%2)"/>
      <w:numFmt w:val="lowerLetter"/>
      <w:start w:val="3"/>
    </w:lvl>
  </w:abstractNum>
  <w:abstractNum w:abstractNumId="134">
    <w:nsid w:val="5454945E"/>
    <w:multiLevelType w:val="hybridMultilevel"/>
    <w:lvl w:ilvl="0">
      <w:lvlJc w:val="left"/>
      <w:lvlText w:val="(%1)"/>
      <w:numFmt w:val="lowerLetter"/>
      <w:start w:val="61"/>
    </w:lvl>
    <w:lvl w:ilvl="1">
      <w:lvlJc w:val="left"/>
      <w:lvlText w:val="(%2)"/>
      <w:numFmt w:val="lowerLetter"/>
      <w:start w:val="7"/>
    </w:lvl>
  </w:abstractNum>
  <w:abstractNum w:abstractNumId="135">
    <w:nsid w:val="4DEFDFA0"/>
    <w:multiLevelType w:val="hybridMultilevel"/>
    <w:lvl w:ilvl="0">
      <w:lvlJc w:val="left"/>
      <w:lvlText w:val="(%1)"/>
      <w:numFmt w:val="lowerLetter"/>
      <w:start w:val="9"/>
    </w:lvl>
  </w:abstractNum>
  <w:abstractNum w:abstractNumId="136">
    <w:nsid w:val="2123D5F2"/>
    <w:multiLevelType w:val="hybridMultilevel"/>
    <w:lvl w:ilvl="0">
      <w:lvlJc w:val="left"/>
      <w:lvlText w:val="(%1)"/>
      <w:numFmt w:val="lowerLetter"/>
      <w:start w:val="1"/>
    </w:lvl>
  </w:abstractNum>
  <w:abstractNum w:abstractNumId="137">
    <w:nsid w:val="135B8110"/>
    <w:multiLevelType w:val="hybridMultilevel"/>
    <w:lvl w:ilvl="0">
      <w:lvlJc w:val="left"/>
      <w:lvlText w:val="%1"/>
      <w:numFmt w:val="lowerRoman"/>
      <w:start w:val="1"/>
    </w:lvl>
    <w:lvl w:ilvl="1">
      <w:lvlJc w:val="left"/>
      <w:lvlText w:val="(%2)"/>
      <w:numFmt w:val="lowerLetter"/>
      <w:start w:val="1"/>
    </w:lvl>
  </w:abstractNum>
  <w:abstractNum w:abstractNumId="138">
    <w:nsid w:val="94927A8"/>
    <w:multiLevelType w:val="hybridMultilevel"/>
    <w:lvl w:ilvl="0">
      <w:lvlJc w:val="left"/>
      <w:lvlText w:val="(%1)"/>
      <w:numFmt w:val="lowerRoman"/>
      <w:start w:val="6"/>
    </w:lvl>
    <w:lvl w:ilvl="1">
      <w:lvlJc w:val="left"/>
      <w:lvlText w:val="%2"/>
      <w:numFmt w:val="lowerLetter"/>
      <w:start w:val="1"/>
    </w:lvl>
  </w:abstractNum>
  <w:abstractNum w:abstractNumId="139">
    <w:nsid w:val="DCDF8F6"/>
    <w:multiLevelType w:val="hybridMultilevel"/>
    <w:lvl w:ilvl="0">
      <w:lvlJc w:val="left"/>
      <w:lvlText w:val="%1"/>
      <w:numFmt w:val="lowerLetter"/>
      <w:start w:val="1"/>
    </w:lvl>
    <w:lvl w:ilvl="1">
      <w:lvlJc w:val="left"/>
      <w:lvlText w:val="(%2)"/>
      <w:numFmt w:val="lowerLetter"/>
      <w:start w:val="3"/>
    </w:lvl>
  </w:abstractNum>
  <w:abstractNum w:abstractNumId="140">
    <w:nsid w:val="52D7B105"/>
    <w:multiLevelType w:val="hybridMultilevel"/>
    <w:lvl w:ilvl="0">
      <w:lvlJc w:val="left"/>
      <w:lvlText w:val="(%1)"/>
      <w:numFmt w:val="lowerLetter"/>
      <w:start w:val="35"/>
    </w:lvl>
    <w:lvl w:ilvl="1">
      <w:lvlJc w:val="left"/>
      <w:lvlText w:val="%2"/>
      <w:numFmt w:val="lowerLetter"/>
      <w:start w:val="1"/>
    </w:lvl>
  </w:abstractNum>
  <w:abstractNum w:abstractNumId="141">
    <w:nsid w:val="2E8A6394"/>
    <w:multiLevelType w:val="hybridMultilevel"/>
    <w:lvl w:ilvl="0">
      <w:lvlJc w:val="left"/>
      <w:lvlText w:val="%1"/>
      <w:numFmt w:val="lowerLetter"/>
      <w:start w:val="1"/>
    </w:lvl>
    <w:lvl w:ilvl="1">
      <w:lvlJc w:val="left"/>
      <w:lvlText w:val="(%2)"/>
      <w:numFmt w:val="lowerLetter"/>
      <w:start w:val="1"/>
    </w:lvl>
  </w:abstractNum>
  <w:abstractNum w:abstractNumId="142">
    <w:nsid w:val="24E60401"/>
    <w:multiLevelType w:val="hybridMultilevel"/>
    <w:lvl w:ilvl="0">
      <w:lvlJc w:val="left"/>
      <w:lvlText w:val="(%1)"/>
      <w:numFmt w:val="lowerLetter"/>
      <w:start w:val="9"/>
    </w:lvl>
    <w:lvl w:ilvl="1">
      <w:lvlJc w:val="left"/>
      <w:lvlText w:val="(%2)"/>
      <w:numFmt w:val="lowerLetter"/>
      <w:start w:val="3"/>
    </w:lvl>
  </w:abstractNum>
  <w:abstractNum w:abstractNumId="143">
    <w:nsid w:val="2A6AD9BE"/>
    <w:multiLevelType w:val="hybridMultilevel"/>
    <w:lvl w:ilvl="0">
      <w:lvlJc w:val="left"/>
      <w:lvlText w:val="(%1)"/>
      <w:numFmt w:val="lowerLetter"/>
      <w:start w:val="1"/>
    </w:lvl>
    <w:lvl w:ilvl="1">
      <w:lvlJc w:val="left"/>
      <w:lvlText w:val="(%2)"/>
      <w:numFmt w:val="lowerRoman"/>
      <w:start w:val="1"/>
    </w:lvl>
  </w:abstractNum>
  <w:abstractNum w:abstractNumId="144">
    <w:nsid w:val="BAAC1B4"/>
    <w:multiLevelType w:val="hybridMultilevel"/>
    <w:lvl w:ilvl="0">
      <w:lvlJc w:val="left"/>
      <w:lvlText w:val="(%1)"/>
      <w:numFmt w:val="lowerRoman"/>
      <w:start w:val="5"/>
    </w:lvl>
  </w:abstractNum>
  <w:abstractNum w:abstractNumId="145">
    <w:nsid w:val="36B2ACBC"/>
    <w:multiLevelType w:val="hybridMultilevel"/>
    <w:lvl w:ilvl="0">
      <w:lvlJc w:val="left"/>
      <w:lvlText w:val="(%1)"/>
      <w:numFmt w:val="lowerLetter"/>
      <w:start w:val="1"/>
    </w:lvl>
  </w:abstractNum>
  <w:abstractNum w:abstractNumId="146">
    <w:nsid w:val="779D8544"/>
    <w:multiLevelType w:val="hybridMultilevel"/>
    <w:lvl w:ilvl="0">
      <w:lvlJc w:val="left"/>
      <w:lvlText w:val="(%1)"/>
      <w:numFmt w:val="lowerLetter"/>
      <w:start w:val="2"/>
    </w:lvl>
  </w:abstractNum>
  <w:abstractNum w:abstractNumId="147">
    <w:nsid w:val="4AB26E78"/>
    <w:multiLevelType w:val="hybridMultilevel"/>
    <w:lvl w:ilvl="0">
      <w:lvlJc w:val="left"/>
      <w:lvlText w:val="%1"/>
      <w:numFmt w:val="lowerLetter"/>
      <w:start w:val="1"/>
    </w:lvl>
    <w:lvl w:ilvl="1">
      <w:lvlJc w:val="left"/>
      <w:lvlText w:val="(%2)"/>
      <w:numFmt w:val="lowerLetter"/>
      <w:start w:val="1"/>
    </w:lvl>
  </w:abstractNum>
  <w:abstractNum w:abstractNumId="148">
    <w:nsid w:val="21FAA2FA"/>
    <w:multiLevelType w:val="hybridMultilevel"/>
    <w:lvl w:ilvl="0">
      <w:lvlJc w:val="left"/>
      <w:lvlText w:val="(%1)"/>
      <w:numFmt w:val="lowerLetter"/>
      <w:start w:val="35"/>
    </w:lvl>
    <w:lvl w:ilvl="1">
      <w:lvlJc w:val="left"/>
      <w:lvlText w:val="%2"/>
      <w:numFmt w:val="lowerLetter"/>
      <w:start w:val="1"/>
    </w:lvl>
  </w:abstractNum>
  <w:abstractNum w:abstractNumId="149">
    <w:nsid w:val="5451CF49"/>
    <w:multiLevelType w:val="hybridMultilevel"/>
    <w:lvl w:ilvl="0">
      <w:lvlJc w:val="left"/>
      <w:lvlText w:val="(%1)"/>
      <w:numFmt w:val="lowerLetter"/>
      <w:start w:val="3"/>
    </w:lvl>
  </w:abstractNum>
  <w:abstractNum w:abstractNumId="150">
    <w:nsid w:val="6181EF69"/>
    <w:multiLevelType w:val="hybridMultilevel"/>
    <w:lvl w:ilvl="0">
      <w:lvlJc w:val="left"/>
      <w:lvlText w:val="%1"/>
      <w:numFmt w:val="lowerLetter"/>
      <w:start w:val="1"/>
    </w:lvl>
    <w:lvl w:ilvl="1">
      <w:lvlJc w:val="left"/>
      <w:lvlText w:val="(%2)"/>
      <w:numFmt w:val="lowerLetter"/>
      <w:start w:val="1"/>
    </w:lvl>
  </w:abstractNum>
  <w:abstractNum w:abstractNumId="151">
    <w:nsid w:val="3E6400E6"/>
    <w:multiLevelType w:val="hybridMultilevel"/>
    <w:lvl w:ilvl="0">
      <w:lvlJc w:val="left"/>
      <w:lvlText w:val="(%1)"/>
      <w:numFmt w:val="lowerLetter"/>
      <w:start w:val="35"/>
    </w:lvl>
    <w:lvl w:ilvl="1">
      <w:lvlJc w:val="left"/>
      <w:lvlText w:val="(%2)"/>
      <w:numFmt w:val="lowerLetter"/>
      <w:start w:val="2"/>
    </w:lvl>
  </w:abstractNum>
  <w:abstractNum w:abstractNumId="152">
    <w:nsid w:val="14217E23"/>
    <w:multiLevelType w:val="hybridMultilevel"/>
    <w:lvl w:ilvl="0">
      <w:lvlJc w:val="left"/>
      <w:lvlText w:val="(%1)"/>
      <w:numFmt w:val="lowerLetter"/>
      <w:start w:val="1"/>
    </w:lvl>
  </w:abstractNum>
  <w:abstractNum w:abstractNumId="153">
    <w:nsid w:val="710757D0"/>
    <w:multiLevelType w:val="hybridMultilevel"/>
    <w:lvl w:ilvl="0">
      <w:lvlJc w:val="left"/>
      <w:lvlText w:val="(%1)"/>
      <w:numFmt w:val="lowerLetter"/>
      <w:start w:val="3"/>
    </w:lvl>
  </w:abstractNum>
  <w:abstractNum w:abstractNumId="154">
    <w:nsid w:val="5015CD1A"/>
    <w:multiLevelType w:val="hybridMultilevel"/>
    <w:lvl w:ilvl="0">
      <w:lvlJc w:val="left"/>
      <w:lvlText w:val="(%1)"/>
      <w:numFmt w:val="lowerLetter"/>
      <w:start w:val="1"/>
    </w:lvl>
  </w:abstractNum>
  <w:abstractNum w:abstractNumId="155">
    <w:nsid w:val="424479DA"/>
    <w:multiLevelType w:val="hybridMultilevel"/>
    <w:lvl w:ilvl="0">
      <w:lvlJc w:val="left"/>
      <w:lvlText w:val="(%1)"/>
      <w:numFmt w:val="lowerLetter"/>
      <w:start w:val="1"/>
    </w:lvl>
    <w:lvl w:ilvl="1">
      <w:lvlJc w:val="left"/>
      <w:lvlText w:val="(%2)"/>
      <w:numFmt w:val="lowerRoman"/>
      <w:start w:val="1"/>
    </w:lvl>
  </w:abstractNum>
  <w:abstractNum w:abstractNumId="156">
    <w:nsid w:val="1A9A9E69"/>
    <w:multiLevelType w:val="hybridMultilevel"/>
    <w:lvl w:ilvl="0">
      <w:lvlJc w:val="left"/>
      <w:lvlText w:val="(%1)"/>
      <w:numFmt w:val="lowerRoman"/>
      <w:start w:val="3"/>
    </w:lvl>
  </w:abstractNum>
  <w:abstractNum w:abstractNumId="157">
    <w:nsid w:val="475E256A"/>
    <w:multiLevelType w:val="hybridMultilevel"/>
    <w:lvl w:ilvl="0">
      <w:lvlJc w:val="left"/>
      <w:lvlText w:val="(%1)"/>
      <w:numFmt w:val="lowerLetter"/>
      <w:start w:val="2"/>
    </w:lvl>
  </w:abstractNum>
  <w:abstractNum w:abstractNumId="158">
    <w:nsid w:val="368DB37E"/>
    <w:multiLevelType w:val="hybridMultilevel"/>
    <w:lvl w:ilvl="0">
      <w:lvlJc w:val="left"/>
      <w:lvlText w:val="(%1)"/>
      <w:numFmt w:val="lowerLetter"/>
      <w:start w:val="3"/>
    </w:lvl>
  </w:abstractNum>
  <w:abstractNum w:abstractNumId="159">
    <w:nsid w:val="6A3B714C"/>
    <w:multiLevelType w:val="hybridMultilevel"/>
    <w:lvl w:ilvl="0">
      <w:lvlJc w:val="left"/>
      <w:lvlText w:val="%1"/>
      <w:numFmt w:val="upperLetter"/>
      <w:start w:val="1"/>
    </w:lvl>
    <w:lvl w:ilvl="1">
      <w:lvlJc w:val="left"/>
      <w:lvlText w:val="(%2)"/>
      <w:numFmt w:val="lowerRoman"/>
      <w:start w:val="1"/>
    </w:lvl>
  </w:abstractNum>
  <w:abstractNum w:abstractNumId="160">
    <w:nsid w:val="327B517E"/>
    <w:multiLevelType w:val="hybridMultilevel"/>
    <w:lvl w:ilvl="0">
      <w:lvlJc w:val="left"/>
      <w:lvlText w:val="(%1)"/>
      <w:numFmt w:val="upperLetter"/>
      <w:start w:val="1"/>
    </w:lvl>
    <w:lvl w:ilvl="1">
      <w:lvlJc w:val="left"/>
      <w:lvlText w:val="(%2)"/>
      <w:numFmt w:val="lowerRoman"/>
      <w:start w:val="3"/>
    </w:lvl>
  </w:abstractNum>
  <w:abstractNum w:abstractNumId="161">
    <w:nsid w:val="1F461B51"/>
    <w:multiLevelType w:val="hybridMultilevel"/>
    <w:lvl w:ilvl="0">
      <w:lvlJc w:val="left"/>
      <w:lvlText w:val="(%1)"/>
      <w:numFmt w:val="lowerRoman"/>
      <w:start w:val="4"/>
    </w:lvl>
  </w:abstractNum>
  <w:abstractNum w:abstractNumId="162">
    <w:nsid w:val="29BACF25"/>
    <w:multiLevelType w:val="hybridMultilevel"/>
    <w:lvl w:ilvl="0">
      <w:lvlJc w:val="left"/>
      <w:lvlText w:val="(%1)"/>
      <w:numFmt w:val="lowerRoman"/>
      <w:start w:val="7"/>
    </w:lvl>
  </w:abstractNum>
  <w:abstractNum w:abstractNumId="163">
    <w:nsid w:val="5D5BABB3"/>
    <w:multiLevelType w:val="hybridMultilevel"/>
    <w:lvl w:ilvl="0">
      <w:lvlJc w:val="left"/>
      <w:lvlText w:val="(%1)"/>
      <w:numFmt w:val="lowerLetter"/>
      <w:start w:val="7"/>
    </w:lvl>
  </w:abstractNum>
  <w:abstractNum w:abstractNumId="164">
    <w:nsid w:val="51BF6B48"/>
    <w:multiLevelType w:val="hybridMultilevel"/>
    <w:lvl w:ilvl="0">
      <w:lvlJc w:val="left"/>
      <w:lvlText w:val="(%1)"/>
      <w:numFmt w:val="lowerLetter"/>
      <w:start w:val="1"/>
    </w:lvl>
  </w:abstractNum>
  <w:abstractNum w:abstractNumId="165">
    <w:nsid w:val="7E0F6384"/>
    <w:multiLevelType w:val="hybridMultilevel"/>
    <w:lvl w:ilvl="0">
      <w:lvlJc w:val="left"/>
      <w:lvlText w:val="(%1)"/>
      <w:numFmt w:val="lowerLetter"/>
      <w:start w:val="2"/>
    </w:lvl>
    <w:lvl w:ilvl="1">
      <w:lvlJc w:val="left"/>
      <w:lvlText w:val="(%2)"/>
      <w:numFmt w:val="lowerRoman"/>
      <w:start w:val="1"/>
    </w:lvl>
  </w:abstractNum>
  <w:abstractNum w:abstractNumId="166">
    <w:nsid w:val="2B4B8B53"/>
    <w:multiLevelType w:val="hybridMultilevel"/>
    <w:lvl w:ilvl="0">
      <w:lvlJc w:val="left"/>
      <w:lvlText w:val="(%1)"/>
      <w:numFmt w:val="lowerLetter"/>
      <w:start w:val="1"/>
    </w:lvl>
  </w:abstractNum>
  <w:abstractNum w:abstractNumId="167">
    <w:nsid w:val="72E3413A"/>
    <w:multiLevelType w:val="hybridMultilevel"/>
    <w:lvl w:ilvl="0">
      <w:lvlJc w:val="left"/>
      <w:lvlText w:val="(%1)"/>
      <w:numFmt w:val="lowerLetter"/>
      <w:start w:val="3"/>
    </w:lvl>
  </w:abstractNum>
  <w:abstractNum w:abstractNumId="168">
    <w:nsid w:val="116AE494"/>
    <w:multiLevelType w:val="hybridMultilevel"/>
    <w:lvl w:ilvl="0">
      <w:lvlJc w:val="left"/>
      <w:lvlText w:val="(%1)"/>
      <w:numFmt w:val="lowerLetter"/>
      <w:start w:val="2"/>
    </w:lvl>
  </w:abstractNum>
  <w:abstractNum w:abstractNumId="169">
    <w:nsid w:val="3494B2FB"/>
    <w:multiLevelType w:val="hybridMultilevel"/>
    <w:lvl w:ilvl="0">
      <w:lvlJc w:val="left"/>
      <w:lvlText w:val="(%1)"/>
      <w:numFmt w:val="lowerRoman"/>
      <w:start w:val="4"/>
    </w:lvl>
  </w:abstractNum>
  <w:abstractNum w:abstractNumId="170">
    <w:nsid w:val="B13A31"/>
    <w:multiLevelType w:val="hybridMultilevel"/>
    <w:lvl w:ilvl="0">
      <w:lvlJc w:val="left"/>
      <w:lvlText w:val="(%1)"/>
      <w:numFmt w:val="lowerRoman"/>
      <w:start w:val="1"/>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lowerLetter"/>
      <w:start w:val="1"/>
    </w:lvl>
    <w:lvl w:ilvl="1">
      <w:lvlJc w:val="left"/>
      <w:lvlText w:val="(%2)"/>
      <w:numFmt w:val="lowerRoman"/>
      <w:start w:val="1"/>
    </w:lvl>
  </w:abstractNum>
  <w:abstractNum w:abstractNumId="173">
    <w:nsid w:val="25973E32"/>
    <w:multiLevelType w:val="hybridMultilevel"/>
    <w:lvl w:ilvl="0">
      <w:lvlJc w:val="left"/>
      <w:lvlText w:val="(%1)"/>
      <w:numFmt w:val="upperLetter"/>
      <w:start w:val="1"/>
    </w:lvl>
  </w:abstractNum>
  <w:abstractNum w:abstractNumId="174">
    <w:nsid w:val="EAD6F57"/>
    <w:multiLevelType w:val="hybridMultilevel"/>
    <w:lvl w:ilvl="0">
      <w:lvlJc w:val="left"/>
      <w:lvlText w:val="%1"/>
      <w:numFmt w:val="lowerLetter"/>
      <w:start w:val="1"/>
    </w:lvl>
    <w:lvl w:ilvl="1">
      <w:lvlJc w:val="left"/>
      <w:lvlText w:val="(%2)"/>
      <w:numFmt w:val="lowerLetter"/>
      <w:start w:val="3"/>
    </w:lvl>
  </w:abstractNum>
  <w:abstractNum w:abstractNumId="175">
    <w:nsid w:val="6EC9D844"/>
    <w:multiLevelType w:val="hybridMultilevel"/>
    <w:lvl w:ilvl="0">
      <w:lvlJc w:val="left"/>
      <w:lvlText w:val="(%1)"/>
      <w:numFmt w:val="lowerLetter"/>
      <w:start w:val="2"/>
    </w:lvl>
    <w:lvl w:ilvl="1">
      <w:lvlJc w:val="left"/>
      <w:lvlText w:val="(%2)"/>
      <w:numFmt w:val="lowerLetter"/>
      <w:start w:val="6"/>
    </w:lvl>
  </w:abstractNum>
  <w:abstractNum w:abstractNumId="176">
    <w:nsid w:val="5C49EAEE"/>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177">
    <w:nsid w:val="64AF49B"/>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9"/>
    </w:lvl>
  </w:abstractNum>
  <w:abstractNum w:abstractNumId="178">
    <w:nsid w:val="397C46BC"/>
    <w:multiLevelType w:val="hybridMultilevel"/>
    <w:lvl w:ilvl="0">
      <w:lvlJc w:val="left"/>
      <w:lvlText w:val="%1"/>
      <w:numFmt w:val="lowerRoman"/>
      <w:start w:val="1"/>
    </w:lvl>
    <w:lvl w:ilvl="1">
      <w:lvlJc w:val="left"/>
      <w:lvlText w:val="(%2)"/>
      <w:numFmt w:val="lowerRoman"/>
      <w:start w:val="2"/>
    </w:lvl>
  </w:abstractNum>
  <w:abstractNum w:abstractNumId="179">
    <w:nsid w:val="7E448DE9"/>
    <w:multiLevelType w:val="hybridMultilevel"/>
    <w:lvl w:ilvl="0">
      <w:lvlJc w:val="left"/>
      <w:lvlText w:val="(%1)"/>
      <w:numFmt w:val="lowerRoman"/>
      <w:start w:val="10"/>
    </w:lvl>
    <w:lvl w:ilvl="1">
      <w:lvlJc w:val="left"/>
      <w:lvlText w:val="%2"/>
      <w:numFmt w:val="lowerRoman"/>
      <w:start w:val="1"/>
    </w:lvl>
  </w:abstractNum>
  <w:abstractNum w:abstractNumId="180">
    <w:nsid w:val="5A9CC3E5"/>
    <w:multiLevelType w:val="hybridMultilevel"/>
    <w:lvl w:ilvl="0">
      <w:lvlJc w:val="left"/>
      <w:lvlText w:val="(%1)"/>
      <w:numFmt w:val="lowerLetter"/>
      <w:start w:val="8"/>
    </w:lvl>
  </w:abstractNum>
  <w:abstractNum w:abstractNumId="181">
    <w:nsid w:val="1AFE3625"/>
    <w:multiLevelType w:val="hybridMultilevel"/>
    <w:lvl w:ilvl="0">
      <w:lvlJc w:val="left"/>
      <w:lvlText w:val="(%1)"/>
      <w:numFmt w:val="lowerLetter"/>
      <w:start w:val="1"/>
    </w:lvl>
    <w:lvl w:ilvl="1">
      <w:lvlJc w:val="left"/>
      <w:lvlText w:val="(%2)"/>
      <w:numFmt w:val="lowerRoman"/>
      <w:start w:val="1"/>
    </w:lvl>
  </w:abstractNum>
  <w:abstractNum w:abstractNumId="182">
    <w:nsid w:val="3CA88ECF"/>
    <w:multiLevelType w:val="hybridMultilevel"/>
    <w:lvl w:ilvl="0">
      <w:lvlJc w:val="left"/>
      <w:lvlText w:val="%1"/>
      <w:numFmt w:val="lowerLetter"/>
      <w:start w:val="1"/>
    </w:lvl>
    <w:lvl w:ilvl="1">
      <w:lvlJc w:val="left"/>
      <w:lvlText w:val="(%2)"/>
      <w:numFmt w:val="lowerLetter"/>
      <w:start w:val="61"/>
    </w:lvl>
  </w:abstractNum>
  <w:abstractNum w:abstractNumId="183">
    <w:nsid w:val="6EBE4208"/>
    <w:multiLevelType w:val="hybridMultilevel"/>
    <w:lvl w:ilvl="0">
      <w:lvlJc w:val="left"/>
      <w:lvlText w:val="(%1)"/>
      <w:numFmt w:val="lowerLetter"/>
      <w:start w:val="2"/>
    </w:lvl>
    <w:lvl w:ilvl="1">
      <w:lvlJc w:val="left"/>
      <w:lvlText w:val="%2"/>
      <w:numFmt w:val="lowerLetter"/>
      <w:start w:val="1"/>
    </w:lvl>
  </w:abstractNum>
  <w:abstractNum w:abstractNumId="184">
    <w:nsid w:val="C058DF5"/>
    <w:multiLevelType w:val="hybridMultilevel"/>
    <w:lvl w:ilvl="0">
      <w:lvlJc w:val="left"/>
      <w:lvlText w:val="(%1)"/>
      <w:numFmt w:val="lowerLetter"/>
      <w:start w:val="1"/>
    </w:lvl>
  </w:abstractNum>
  <w:abstractNum w:abstractNumId="185">
    <w:nsid w:val="CBE5BE9"/>
    <w:multiLevelType w:val="hybridMultilevel"/>
    <w:lvl w:ilvl="0">
      <w:lvlJc w:val="left"/>
      <w:lvlText w:val="(%1)"/>
      <w:numFmt w:val="lowerLetter"/>
      <w:start w:val="1"/>
    </w:lvl>
  </w:abstractNum>
  <w:abstractNum w:abstractNumId="186">
    <w:nsid w:val="3102BBE2"/>
    <w:multiLevelType w:val="hybridMultilevel"/>
    <w:lvl w:ilvl="0">
      <w:lvlJc w:val="left"/>
      <w:lvlText w:val="%1"/>
      <w:numFmt w:val="lowerLetter"/>
      <w:start w:val="1"/>
    </w:lvl>
    <w:lvl w:ilvl="1">
      <w:lvlJc w:val="left"/>
      <w:lvlText w:val="(%2)"/>
      <w:numFmt w:val="lowerLetter"/>
      <w:start w:val="1"/>
    </w:lvl>
  </w:abstractNum>
  <w:abstractNum w:abstractNumId="187">
    <w:nsid w:val="26A02C5E"/>
    <w:multiLevelType w:val="hybridMultilevel"/>
    <w:lvl w:ilvl="0">
      <w:lvlJc w:val="left"/>
      <w:lvlText w:val="(%1)"/>
      <w:numFmt w:val="lowerLetter"/>
      <w:start w:val="9"/>
    </w:lvl>
    <w:lvl w:ilvl="1">
      <w:lvlJc w:val="left"/>
      <w:lvlText w:val="%2"/>
      <w:numFmt w:val="lowerLetter"/>
      <w:start w:val="1"/>
    </w:lvl>
  </w:abstractNum>
  <w:abstractNum w:abstractNumId="188">
    <w:nsid w:val="541C8153"/>
    <w:multiLevelType w:val="hybridMultilevel"/>
    <w:lvl w:ilvl="0">
      <w:lvlJc w:val="left"/>
      <w:lvlText w:val="(%1)"/>
      <w:numFmt w:val="decimal"/>
      <w:start w:val="3"/>
    </w:lvl>
  </w:abstractNum>
  <w:abstractNum w:abstractNumId="189">
    <w:nsid w:val="67906F60"/>
    <w:multiLevelType w:val="hybridMultilevel"/>
    <w:lvl w:ilvl="0">
      <w:lvlJc w:val="left"/>
      <w:lvlText w:val="(%1)"/>
      <w:numFmt w:val="lowerLetter"/>
      <w:start w:val="1"/>
    </w:lvl>
    <w:lvl w:ilvl="1">
      <w:lvlJc w:val="left"/>
      <w:lvlText w:val="(%2)"/>
      <w:numFmt w:val="lowerLetter"/>
      <w:start w:val="9"/>
    </w:lvl>
  </w:abstractNum>
  <w:abstractNum w:abstractNumId="190">
    <w:nsid w:val="10DB9DAA"/>
    <w:multiLevelType w:val="hybridMultilevel"/>
    <w:lvl w:ilvl="0">
      <w:lvlJc w:val="left"/>
      <w:lvlText w:val="(%1)"/>
      <w:numFmt w:val="lowerRoman"/>
      <w:start w:val="2"/>
    </w:lvl>
  </w:abstractNum>
  <w:abstractNum w:abstractNumId="191">
    <w:nsid w:val="697D2D2"/>
    <w:multiLevelType w:val="hybridMultilevel"/>
    <w:lvl w:ilvl="0">
      <w:lvlJc w:val="left"/>
      <w:lvlText w:val="(%1)"/>
      <w:numFmt w:val="lowerLetter"/>
      <w:start w:val="1"/>
    </w:lvl>
  </w:abstractNum>
  <w:abstractNum w:abstractNumId="192">
    <w:nsid w:val="6D68AB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93">
    <w:nsid w:val="3A966CD0"/>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2"/>
    </w:lvl>
  </w:abstractNum>
  <w:abstractNum w:abstractNumId="194">
    <w:nsid w:val="63F37E85"/>
    <w:multiLevelType w:val="hybridMultilevel"/>
    <w:lvl w:ilvl="0">
      <w:lvlJc w:val="left"/>
      <w:lvlText w:val="(%1)"/>
      <w:numFmt w:val="lowerLetter"/>
      <w:start w:val="8"/>
    </w:lvl>
  </w:abstractNum>
  <w:abstractNum w:abstractNumId="195">
    <w:nsid w:val="5895F5FA"/>
    <w:multiLevelType w:val="hybridMultilevel"/>
    <w:lvl w:ilvl="0">
      <w:lvlJc w:val="left"/>
      <w:lvlText w:val="(%1)"/>
      <w:numFmt w:val="lowerLetter"/>
      <w:start w:val="1"/>
    </w:lvl>
  </w:abstractNum>
  <w:abstractNum w:abstractNumId="196">
    <w:nsid w:val="38A5D054"/>
    <w:multiLevelType w:val="hybridMultilevel"/>
    <w:lvl w:ilvl="0">
      <w:lvlJc w:val="left"/>
      <w:lvlText w:val="(%1)"/>
      <w:numFmt w:val="lowerLetter"/>
      <w:start w:val="1"/>
    </w:lvl>
    <w:lvl w:ilvl="1">
      <w:lvlJc w:val="left"/>
      <w:lvlText w:val="(%2)"/>
      <w:numFmt w:val="lowerRoman"/>
      <w:start w:val="1"/>
    </w:lvl>
  </w:abstractNum>
  <w:abstractNum w:abstractNumId="197">
    <w:nsid w:val="F3F09D8"/>
    <w:multiLevelType w:val="hybridMultilevel"/>
    <w:lvl w:ilvl="0">
      <w:lvlJc w:val="left"/>
      <w:lvlText w:val="(%1)"/>
      <w:numFmt w:val="lowerLetter"/>
      <w:start w:val="3"/>
    </w:lvl>
  </w:abstractNum>
  <w:abstractNum w:abstractNumId="198">
    <w:nsid w:val="4B793735"/>
    <w:multiLevelType w:val="hybridMultilevel"/>
    <w:lvl w:ilvl="0">
      <w:lvlJc w:val="left"/>
      <w:lvlText w:val="(%1)"/>
      <w:numFmt w:val="lowerLetter"/>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2019-12-29T05:47:22Z</dcterms:created>
  <dcterms:modified xsi:type="dcterms:W3CDTF">2019-12-29T05:47:22Z</dcterms:modified>
</cp:coreProperties>
</file>