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RAINES MONICA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6303 COWBOYS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Addus HomeCare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ADUS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CCO and Quality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9"/>
        <w:gridCol w:w="917"/>
        <w:gridCol w:w="785"/>
        <w:gridCol w:w="660"/>
        <w:gridCol w:w="300"/>
        <w:gridCol w:w="805"/>
        <w:gridCol w:w="453"/>
        <w:gridCol w:w="851"/>
        <w:gridCol w:w="1167"/>
        <w:gridCol w:w="1003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102.15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13,577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reflects the sale of shares, made pursuant to a previously established 10b5-1 plan, for the purpose of satisfying tax obligations due upon the vesting of restricted stock awards granted by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Adoption date of referenced 10b5-1(c) plan is: 03-13-2025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Poff, Attorney-in-Fact for Monica Raines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4767" TargetMode="External"/><Relationship Id="rId5" Type="http://schemas.openxmlformats.org/officeDocument/2006/relationships/hyperlink" Target="http://www.sec.gov/cgi-bin/browse-edgar?action=getcompany&amp;CIK=0001468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3307</Characters>
  <CharactersWithSpaces>3855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