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55880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79375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8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-289560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64770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57"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20-5340172</w:t>
            </w:r>
          </w:p>
        </w:tc>
      </w:tr>
      <w:tr>
        <w:trPr>
          <w:trHeight w:val="221"/>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91"/>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6303 Cowboys Way, Suite 600</w:t>
            </w:r>
          </w:p>
        </w:tc>
        <w:tc>
          <w:tcPr>
            <w:tcW w:w="3160" w:type="dxa"/>
            <w:vAlign w:val="bottom"/>
          </w:tcPr>
          <w:p>
            <w:pPr>
              <w:spacing w:after="0"/>
              <w:rPr>
                <w:sz w:val="24"/>
                <w:szCs w:val="24"/>
                <w:color w:val="auto"/>
              </w:rPr>
            </w:pPr>
          </w:p>
        </w:tc>
      </w:tr>
      <w:tr>
        <w:trPr>
          <w:trHeight w:val="238"/>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Frisco, TX</w:t>
            </w:r>
          </w:p>
        </w:tc>
        <w:tc>
          <w:tcPr>
            <w:tcW w:w="3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243"/>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ind w:left="5060"/>
        <w:spacing w:after="0"/>
        <w:rPr>
          <w:sz w:val="20"/>
          <w:szCs w:val="20"/>
          <w:color w:val="auto"/>
        </w:rPr>
      </w:pPr>
      <w:r>
        <w:rPr>
          <w:rFonts w:ascii="Times New Roman" w:cs="Times New Roman" w:eastAsia="Times New Roman" w:hAnsi="Times New Roman"/>
          <w:sz w:val="18"/>
          <w:szCs w:val="18"/>
          <w:b w:val="1"/>
          <w:bCs w:val="1"/>
          <w:color w:val="auto"/>
        </w:rPr>
        <w:t>(469) 535-8200</w:t>
      </w:r>
    </w:p>
    <w:p>
      <w:pPr>
        <w:spacing w:after="0" w:line="2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40" w:type="dxa"/>
            <w:vAlign w:val="bottom"/>
          </w:tcPr>
          <w:p>
            <w:pPr>
              <w:spacing w:after="0"/>
              <w:rPr>
                <w:sz w:val="18"/>
                <w:szCs w:val="18"/>
                <w:color w:val="auto"/>
              </w:rPr>
            </w:pPr>
          </w:p>
        </w:tc>
      </w:tr>
      <w:tr>
        <w:trPr>
          <w:trHeight w:val="171"/>
        </w:trPr>
        <w:tc>
          <w:tcPr>
            <w:tcW w:w="37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22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6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ADUS</w:t>
            </w: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3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83" w:lineRule="exact"/>
        <w:rPr>
          <w:sz w:val="24"/>
          <w:szCs w:val="24"/>
          <w:color w:val="auto"/>
        </w:rPr>
      </w:pPr>
    </w:p>
    <w:p>
      <w:pPr>
        <w:jc w:val="both"/>
        <w:ind w:firstLine="509"/>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2024, Addus HomeCare Corporation had 16,370,336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060" w:type="dxa"/>
            <w:vAlign w:val="bottom"/>
          </w:tcPr>
          <w:p>
            <w:pPr>
              <w:spacing w:after="0"/>
              <w:rPr>
                <w:sz w:val="17"/>
                <w:szCs w:val="17"/>
                <w:color w:val="auto"/>
              </w:rPr>
            </w:pPr>
          </w:p>
        </w:tc>
      </w:tr>
      <w:tr>
        <w:trPr>
          <w:trHeight w:val="695"/>
        </w:trPr>
        <w:tc>
          <w:tcPr>
            <w:tcW w:w="1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7"/>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ADDUS HOMECARE CORPORATION</w:t>
            </w:r>
          </w:p>
        </w:tc>
        <w:tc>
          <w:tcPr>
            <w:tcW w:w="206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20" w:type="dxa"/>
            <w:vAlign w:val="bottom"/>
            <w:gridSpan w:val="6"/>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06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20" w:type="dxa"/>
            <w:vAlign w:val="bottom"/>
            <w:gridSpan w:val="6"/>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6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2024 and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For the Three Months Ended March 31, 2024 and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780" w:type="dxa"/>
            <w:vAlign w:val="bottom"/>
            <w:tcBorders>
              <w:left w:val="single" w:sz="8" w:color="0000FF"/>
            </w:tcBorders>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6420" w:type="dxa"/>
            <w:vAlign w:val="bottom"/>
            <w:gridSpan w:val="11"/>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663"/>
        </w:trPr>
        <w:tc>
          <w:tcPr>
            <w:tcW w:w="520" w:type="dxa"/>
            <w:vAlign w:val="bottom"/>
            <w:gridSpan w:val="2"/>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5500" w:type="dxa"/>
            <w:vAlign w:val="bottom"/>
            <w:gridSpan w:val="10"/>
          </w:tcPr>
          <w:p>
            <w:pPr>
              <w:jc w:val="center"/>
              <w:ind w:left="2339"/>
              <w:spacing w:after="0"/>
              <w:rPr>
                <w:sz w:val="20"/>
                <w:szCs w:val="20"/>
                <w:color w:val="auto"/>
              </w:rPr>
            </w:pPr>
            <w:r>
              <w:rPr>
                <w:rFonts w:ascii="Times New Roman" w:cs="Times New Roman" w:eastAsia="Times New Roman" w:hAnsi="Times New Roman"/>
                <w:sz w:val="16"/>
                <w:szCs w:val="16"/>
                <w:color w:val="auto"/>
                <w:w w:val="99"/>
              </w:rPr>
              <w:t>2</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69"/>
        </w:trPr>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76,719</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64,791</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104,727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115,499</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10,401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19,714</w:t>
            </w: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191,847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200,004</w:t>
            </w:r>
          </w:p>
        </w:tc>
      </w:t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23,872</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24,011</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663,391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662,995</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90,191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91,983</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44,699</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45,433</w:t>
            </w: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798,281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800,411</w:t>
            </w:r>
          </w:p>
        </w:tc>
      </w:tr>
      <w:tr>
        <w:trPr>
          <w:trHeight w:val="27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1,014,000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1,024,426</w:t>
            </w:r>
          </w:p>
        </w:tc>
      </w:tr>
      <w:tr>
        <w:trPr>
          <w:trHeight w:val="225"/>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4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22,022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26,183</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44,022</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56,551</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33,236</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11,307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11,339</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5,765</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11,920</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12,043</w:t>
            </w: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141,591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145,117</w:t>
            </w:r>
          </w:p>
        </w:tc>
      </w:t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 net of debt issuance costs</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99,347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124,132</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39,044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39,711</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8,875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8,772</w:t>
            </w: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147,266</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172,615</w:t>
            </w: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288,857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317,732</w:t>
            </w:r>
          </w:p>
        </w:tc>
      </w:t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stock—$.001 par value; 40,000 authorized and 16,370 and 16,227 shares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1"/>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406,465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403,846</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318,662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302,832</w:t>
            </w: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725,143</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706,694</w:t>
            </w: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1,014,000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1,024,426</w:t>
            </w:r>
          </w:p>
        </w:tc>
      </w:tr>
      <w:tr>
        <w:trPr>
          <w:trHeight w:val="20"/>
        </w:trPr>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-4757420</wp:posOffset>
            </wp:positionV>
            <wp:extent cx="111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-3814445</wp:posOffset>
            </wp:positionV>
            <wp:extent cx="111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-3488055</wp:posOffset>
            </wp:positionV>
            <wp:extent cx="111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-3471545</wp:posOffset>
            </wp:positionV>
            <wp:extent cx="111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-2228215</wp:posOffset>
            </wp:positionV>
            <wp:extent cx="111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-1276350</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111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11240"/>
          </w:cols>
          <w:pgMar w:left="320" w:top="76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96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280,746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192,569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173,184</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59,807</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income per share</w:t>
            </w:r>
          </w:p>
        </w:tc>
        <w:tc>
          <w:tcPr>
            <w:tcW w:w="96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income per share</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-2373630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-2047875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-1731010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-1087755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2120" w:type="dxa"/>
            <w:vAlign w:val="bottom"/>
            <w:gridSpan w:val="3"/>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040" w:type="dxa"/>
            <w:vAlign w:val="bottom"/>
            <w:gridSpan w:val="2"/>
            <w:shd w:val="clear" w:color="auto" w:fill="CFF0FC"/>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403,846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302,832</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240" w:type="dxa"/>
            <w:vAlign w:val="bottom"/>
          </w:tcPr>
          <w:p>
            <w:pPr>
              <w:spacing w:after="0"/>
              <w:rPr>
                <w:sz w:val="20"/>
                <w:szCs w:val="20"/>
                <w:color w:val="auto"/>
              </w:rPr>
            </w:pPr>
          </w:p>
        </w:tc>
        <w:tc>
          <w:tcPr>
            <w:tcW w:w="8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406,465</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318,662</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2120" w:type="dxa"/>
            <w:vAlign w:val="bottom"/>
            <w:gridSpan w:val="3"/>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40" w:type="dxa"/>
            <w:vAlign w:val="bottom"/>
            <w:gridSpan w:val="2"/>
            <w:shd w:val="clear" w:color="auto" w:fill="CFF0FC"/>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393,208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240,316</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4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252,991</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-2691130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-2691130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-2691130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-2691130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-1927860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-1927860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-1927860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-1927860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-951230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-951230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-951230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-951230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20"/>
                <w:szCs w:val="20"/>
                <w:color w:val="auto"/>
              </w:rPr>
            </w:pPr>
          </w:p>
        </w:tc>
      </w:tr>
      <w:tr>
        <w:trPr>
          <w:trHeight w:val="215"/>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activities, net of acquisitions: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under the credit facility</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(2,345 )</w:t>
            </w: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(4,332 )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(494 )</w:t>
            </w:r>
          </w:p>
        </w:tc>
      </w:tr>
      <w:tr>
        <w:trPr>
          <w:trHeight w:val="239"/>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payroll</w:t>
            </w:r>
          </w:p>
        </w:tc>
        <w:tc>
          <w:tcPr>
            <w:tcW w:w="10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(12,529 )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(10,901 )</w:t>
            </w:r>
          </w:p>
        </w:tc>
      </w:tr>
      <w:tr>
        <w:trPr>
          <w:trHeight w:val="243"/>
        </w:trPr>
        <w:tc>
          <w:tcPr>
            <w:tcW w:w="76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18,799</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0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(965 )</w:t>
            </w:r>
          </w:p>
        </w:tc>
      </w:tr>
      <w:tr>
        <w:trPr>
          <w:trHeight w:val="24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(1,350 )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(777 )</w:t>
            </w:r>
          </w:p>
        </w:tc>
      </w:tr>
      <w:tr>
        <w:trPr>
          <w:trHeight w:val="20"/>
        </w:trPr>
        <w:tc>
          <w:tcPr>
            <w:tcW w:w="7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(1,742 )</w:t>
            </w:r>
          </w:p>
        </w:tc>
      </w:t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revolver — credit facility</w:t>
            </w:r>
          </w:p>
        </w:tc>
        <w:tc>
          <w:tcPr>
            <w:tcW w:w="10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(23,500 )</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(23,475 )</w:t>
            </w: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(6,418 )</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79,961</w:t>
            </w:r>
          </w:p>
        </w:tc>
        <w:tc>
          <w:tcPr>
            <w:tcW w:w="100" w:type="dxa"/>
            <w:vAlign w:val="bottom"/>
          </w:tcPr>
          <w:p>
            <w:pPr>
              <w:spacing w:after="0"/>
              <w:rPr>
                <w:sz w:val="20"/>
                <w:szCs w:val="20"/>
                <w:color w:val="auto"/>
              </w:rPr>
            </w:pPr>
          </w:p>
        </w:tc>
      </w:tr>
      <w:tr>
        <w:trPr>
          <w:trHeight w:val="27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73,543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FF0FC"/>
          </w:tcPr>
          <w:p>
            <w:pPr>
              <w:spacing w:after="0"/>
              <w:rPr>
                <w:sz w:val="21"/>
                <w:szCs w:val="21"/>
                <w:color w:val="auto"/>
              </w:rPr>
            </w:pPr>
          </w:p>
        </w:tc>
      </w:tr>
      <w:tr>
        <w:trPr>
          <w:trHeight w:val="23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-2393950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-1759585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-1759585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-1125220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-1125220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-482600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-465455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Consolidation, and Presentation of Financial Statements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2023 has been derived from the Company’s audited financial statements for the year ended December 31, 2023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2023 included in our Annual Report on Form 10-K, which includes information and disclosures not included herein.</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Weighted Average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common shares:</w:t>
      </w:r>
    </w:p>
    <w:p>
      <w:pPr>
        <w:spacing w:after="0" w:line="19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9"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2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for basic per share calculation</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shd w:val="clear" w:color="auto" w:fill="CFF0FC"/>
          </w:tcPr>
          <w:p>
            <w:pPr>
              <w:spacing w:after="0"/>
              <w:rPr>
                <w:sz w:val="20"/>
                <w:szCs w:val="20"/>
                <w:color w:val="auto"/>
              </w:rPr>
            </w:pPr>
          </w:p>
        </w:tc>
      </w:tr>
      <w:tr>
        <w:trPr>
          <w:trHeight w:val="23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shares: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r>
      <w:tr>
        <w:trPr>
          <w:trHeight w:val="27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weighted average shares for diluted per share calculation</w:t>
            </w:r>
          </w:p>
        </w:tc>
        <w:tc>
          <w:tcPr>
            <w:tcW w:w="108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r>
      <w:tr>
        <w:trPr>
          <w:trHeight w:val="234"/>
        </w:trPr>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-482600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-465455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ASU No. 2021-08, </w:t>
      </w:r>
      <w:r>
        <w:rPr>
          <w:rFonts w:ascii="Times New Roman" w:cs="Times New Roman" w:eastAsia="Times New Roman" w:hAnsi="Times New Roman"/>
          <w:sz w:val="18"/>
          <w:szCs w:val="18"/>
          <w:i w:val="1"/>
          <w:iCs w:val="1"/>
          <w:color w:val="auto"/>
        </w:rPr>
        <w:t>Accounting for Contract Assets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Contracts with Customers (Topic 805)</w:t>
      </w:r>
      <w:r>
        <w:rPr>
          <w:rFonts w:ascii="Times New Roman" w:cs="Times New Roman" w:eastAsia="Times New Roman" w:hAnsi="Times New Roman"/>
          <w:sz w:val="18"/>
          <w:szCs w:val="18"/>
          <w:color w:val="auto"/>
        </w:rPr>
        <w:t>. This ASU requires an acquirer in a business combination to recognize and measure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contract liabilities (deferred revenue) from acquired contracts using the revenue recognition guidance in Topic 606. At the acquisition date, the acquirer applies the revenue model as if it had originated the acquired contracts. The ASU was adopted prospectively on January 1, 2023. The additional disclosures required did not have a material impact on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Annual disclosures are required for fiscal years beginning after December 15, 2023 and interim disclosures are required for periods within fiscal years beginning after December 15, 2024. Retrospective application is required, and early adoption is permitted. These requirements will result in expanded disclosures.</w:t>
      </w:r>
    </w:p>
    <w:p>
      <w:pPr>
        <w:spacing w:after="0" w:line="185"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 to Income Tax Disclosures</w:t>
      </w:r>
      <w:r>
        <w:rPr>
          <w:rFonts w:ascii="Times New Roman" w:cs="Times New Roman" w:eastAsia="Times New Roman" w:hAnsi="Times New Roman"/>
          <w:sz w:val="17"/>
          <w:szCs w:val="17"/>
          <w:color w:val="auto"/>
        </w:rPr>
        <w:t>,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prospectively or retrospectively, and allows for early adoption. These requirements are not expected to have an impact on the Company's financial statements and will expand income tax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on the Company’s Unaudited Condensed Consolidated Balance Sheets for operating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960" w:type="dxa"/>
            <w:vAlign w:val="bottom"/>
            <w:tcBorders>
              <w:top w:val="single" w:sz="8" w:color="auto"/>
              <w:bottom w:val="single" w:sz="8" w:color="auto"/>
            </w:tcBorders>
            <w:gridSpan w:val="3"/>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44,699</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00" w:type="dxa"/>
            <w:vAlign w:val="bottom"/>
            <w:shd w:val="clear" w:color="auto" w:fill="CFF0FC"/>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 (in accrued expenses)</w:t>
            </w:r>
          </w:p>
        </w:tc>
        <w:tc>
          <w:tcPr>
            <w:tcW w:w="2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shd w:val="clear" w:color="auto" w:fill="CFF0FC"/>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100" w:type="dxa"/>
            <w:vAlign w:val="bottom"/>
          </w:tcPr>
          <w:p>
            <w:pPr>
              <w:spacing w:after="0"/>
              <w:rPr>
                <w:sz w:val="21"/>
                <w:szCs w:val="21"/>
                <w:color w:val="auto"/>
              </w:rPr>
            </w:pPr>
          </w:p>
        </w:tc>
      </w:tr>
      <w:tr>
        <w:trPr>
          <w:trHeight w:val="272"/>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51,050</w:t>
            </w:r>
          </w:p>
        </w:tc>
        <w:tc>
          <w:tcPr>
            <w:tcW w:w="100" w:type="dxa"/>
            <w:vAlign w:val="bottom"/>
            <w:shd w:val="clear" w:color="auto" w:fill="CFF0FC"/>
          </w:tcPr>
          <w:p>
            <w:pPr>
              <w:spacing w:after="0"/>
              <w:rPr>
                <w:sz w:val="23"/>
                <w:szCs w:val="23"/>
                <w:color w:val="auto"/>
              </w:rPr>
            </w:pPr>
          </w:p>
        </w:tc>
      </w:tr>
      <w:tr>
        <w:trPr>
          <w:trHeight w:val="613"/>
        </w:trPr>
        <w:tc>
          <w:tcPr>
            <w:tcW w:w="492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1493"/>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6"/>
        </w:trPr>
        <w:tc>
          <w:tcPr>
            <w:tcW w:w="49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-916940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-899795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Components of lease costs were reported in general and administrative expenses in the Company’s Unaudited Condensed Consolidated Statements of Income as follows:</w:t>
      </w:r>
    </w:p>
    <w:p>
      <w:pPr>
        <w:spacing w:after="0" w:line="155"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30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40" w:type="dxa"/>
            <w:vAlign w:val="bottom"/>
            <w:gridSpan w:val="3"/>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340" w:type="dxa"/>
            <w:vAlign w:val="bottom"/>
            <w:gridSpan w:val="4"/>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sublease income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(598 )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 net</w:t>
            </w:r>
          </w:p>
        </w:tc>
        <w:tc>
          <w:tcPr>
            <w:tcW w:w="140" w:type="dxa"/>
            <w:vAlign w:val="bottom"/>
            <w:tcBorders>
              <w:bottom w:val="single" w:sz="8" w:color="CFF0FC"/>
            </w:tcBorders>
            <w:gridSpan w:val="2"/>
            <w:shd w:val="clear" w:color="auto" w:fill="CFF0FC"/>
          </w:tcPr>
          <w:p>
            <w:pPr>
              <w:spacing w:after="0"/>
              <w:rPr>
                <w:sz w:val="23"/>
                <w:szCs w:val="23"/>
                <w:color w:val="auto"/>
              </w:rPr>
            </w:pPr>
          </w:p>
        </w:tc>
        <w:tc>
          <w:tcPr>
            <w:tcW w:w="1300" w:type="dxa"/>
            <w:vAlign w:val="bottom"/>
            <w:tcBorders>
              <w:top w:val="single" w:sz="8" w:color="auto"/>
              <w:bottom w:val="single" w:sz="8" w:color="auto"/>
            </w:tcBorders>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gridSpan w:val="3"/>
            <w:shd w:val="clear" w:color="auto" w:fill="CFF0FC"/>
          </w:tcPr>
          <w:p>
            <w:pPr>
              <w:spacing w:after="0"/>
              <w:rPr>
                <w:sz w:val="23"/>
                <w:szCs w:val="23"/>
                <w:color w:val="auto"/>
              </w:rPr>
            </w:pPr>
          </w:p>
        </w:tc>
        <w:tc>
          <w:tcPr>
            <w:tcW w:w="1200" w:type="dxa"/>
            <w:vAlign w:val="bottom"/>
            <w:tcBorders>
              <w:top w:val="single" w:sz="8" w:color="auto"/>
              <w:bottom w:val="single" w:sz="8" w:color="auto"/>
            </w:tcBorders>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were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6.11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7"/>
              </w:rPr>
              <w:t>5.64 %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0" w:type="dxa"/>
            <w:vAlign w:val="bottom"/>
          </w:tcPr>
          <w:p>
            <w:pPr>
              <w:spacing w:after="0"/>
              <w:rPr>
                <w:sz w:val="1"/>
                <w:szCs w:val="1"/>
                <w:color w:val="auto"/>
              </w:rPr>
            </w:pPr>
          </w:p>
        </w:tc>
      </w:tr>
      <w:tr>
        <w:trPr>
          <w:trHeight w:val="594"/>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Remaining operating lease payments as of March 31, 2024 were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the 12-month period ended March 31,</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(9,949 )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6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flows information</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1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10"/>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0"/>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40" w:type="dxa"/>
            <w:vAlign w:val="bottom"/>
            <w:gridSpan w:val="3"/>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gridSpan w:val="3"/>
            <w:shd w:val="clear" w:color="auto" w:fill="CFF0FC"/>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40" w:type="dxa"/>
            <w:vAlign w:val="bottom"/>
            <w:gridSpan w:val="4"/>
            <w:shd w:val="clear" w:color="auto" w:fill="CFF0FC"/>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-5468620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-5451475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-5468620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-5451475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-4311015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goodwill and related adjustments is provided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Home</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432,799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153,276</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acquisition</w:t>
            </w: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Goodwill as of March 31,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432,745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153,676</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76,970</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663,391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9, 2024, the Company completed its acquisition of the operations of Upstate Home Care Solutions (“Upstate”) for $0.4 million. With the purchase of Upstate, the Company expanded its personal care services segment in South Carolina. In connection with the Upstate acquisition, the Company recognized goodwill in its personal care segment of $0.4 million during the three months ended March 31, 2024.</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 years. Customer and referral relationships are amortized systematically over the periods of expected economic benefit, which range from five to ten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accumulated amortization of each identifiable intangible asset category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1280" w:type="dxa"/>
            <w:vAlign w:val="bottom"/>
            <w:gridSpan w:val="3"/>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2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4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6"/>
                <w:szCs w:val="16"/>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Customer and referral</w:t>
            </w:r>
          </w:p>
        </w:tc>
        <w:tc>
          <w:tcPr>
            <w:tcW w:w="11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3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5-10 years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(39,907 )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(39,566 )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1-20 years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(24,608 )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(23,857 )</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3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 years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(5,805 )</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(5,601 )</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Licenses</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6-10 years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(9,511 )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(9,015 )</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Licenses</w:t>
            </w:r>
          </w:p>
        </w:tc>
        <w:tc>
          <w:tcPr>
            <w:tcW w:w="130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(79,831 )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(78,039 )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-187960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right="520" w:firstLine="509"/>
        <w:spacing w:after="0" w:line="297" w:lineRule="auto"/>
        <w:rPr>
          <w:sz w:val="20"/>
          <w:szCs w:val="20"/>
          <w:color w:val="auto"/>
        </w:rPr>
      </w:pPr>
      <w:r>
        <w:rPr>
          <w:rFonts w:ascii="Times New Roman" w:cs="Times New Roman" w:eastAsia="Times New Roman" w:hAnsi="Times New Roman"/>
          <w:sz w:val="18"/>
          <w:szCs w:val="18"/>
          <w:color w:val="auto"/>
        </w:rPr>
        <w:t>Amortization expense related to the intangible assets was $1.8 million and $1.7 million for the three months ended March 31, 2024 and 2023, respectively. The weighted average remaining useful lives of identifiable intangible assets as of March 31, 2024 was 10.14 years.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Details of Certain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payroll</w:t>
            </w:r>
          </w:p>
        </w:tc>
        <w:tc>
          <w:tcPr>
            <w:tcW w:w="3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licensing fees</w:t>
            </w:r>
          </w:p>
        </w:tc>
        <w:tc>
          <w:tcPr>
            <w:tcW w:w="2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60" w:type="dxa"/>
            <w:vAlign w:val="bottom"/>
            <w:vMerge w:val="restart"/>
          </w:tcPr>
          <w:p>
            <w:pPr>
              <w:jc w:val="right"/>
              <w:ind w:right="1693"/>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47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4"/>
        </w:trPr>
        <w:tc>
          <w:tcPr>
            <w:tcW w:w="7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r>
      <w:tr>
        <w:trPr>
          <w:trHeight w:val="228"/>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health benefits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Payor advances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other taxes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38,772</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1260" w:hanging="503"/>
        <w:spacing w:after="0" w:line="281" w:lineRule="auto"/>
        <w:tabs>
          <w:tab w:leader="none" w:pos="12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276"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Actions to Mitigate COVID-19’s Impact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acute phase of the COVID-19 pandemic has faded, but the future course of COVID-19 remains uncertain. We will continue to closely monitor the impact of COVID-19 on all aspects of our business, including the impacts to our employees, patients and suppliers.</w:t>
      </w:r>
    </w:p>
    <w:p>
      <w:pPr>
        <w:spacing w:after="0" w:line="54"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In recognition of the significant threat to the liquidity of financial markets posed by the COVID-19 pandemic, the Federal Reserve and Congress took dramatic actions to provide liquidity to businesses and the banking system in the United States, including relief for healthcare providers in the Coronavirus Aid, Relief, and Economic Stability Act (“CARES Act”), which was expanded by the Paycheck Protection Program and Health Care Enhancement (“PPPHCE”) Act, and the Consolidated Appropriations Act, 2021 (“CAA”), as well as the American Rescue Plan Act of 2021 (“ARPA”).</w:t>
      </w: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received additional state funding provided by the ARPA in an aggregate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amount of $10.2 million. The Company did not record revenue and related costs of service revenue during the three months ended March 31, 2024, because revenue recognition criteria were not met. Instead, the Company deferred recognition of the entire $10.2 million, which was received from states with specific spending plans and reporting requirements. Of the total state funding received by the Company pursuant to the ARPA through March 31, 2024, the Company utilized $2.4 million during the three months ended March 31, 2024, primarily for caregivers and adding support to recruiting and retention efforts, included as a reduction of cost of service revenues in the Company’s Unaudited Condensed Consolidated Statements of Income. As of March 31, 2024, the deferred portion of ARPA funding of $13.5 million is included within Government stimulus advances on the Company’s Unaudited Condensed Consolidated Balance Sheets.</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Medicare Sequester</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CARES Act and related legislation also include other provisions offering financial relief, including, for example, temporarily suspending the Medicare sequester, which would have otherwise reduced payments to Medicare providers by 2% as required by the Budget Control Act of 2011. The sequestration adjustment resumed with a 1% reduction beginning April 1, 2022, and a 2% reduction beginning July 1, 2022. These sequestration cuts have been extended through April 2032.</w:t>
      </w:r>
    </w:p>
    <w:p>
      <w:pPr>
        <w:sectPr>
          <w:pgSz w:w="11900" w:h="16838" w:orient="portrait"/>
          <w:cols w:equalWidth="0" w:num="1">
            <w:col w:w="11240"/>
          </w:cols>
          <w:pgMar w:left="320" w:top="765"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7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loan under the credit facility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126,353</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220" w:type="dxa"/>
            <w:vAlign w:val="bottom"/>
          </w:tcPr>
          <w:p>
            <w:pPr>
              <w:spacing w:after="0"/>
              <w:rPr>
                <w:sz w:val="21"/>
                <w:szCs w:val="21"/>
                <w:color w:val="auto"/>
              </w:rPr>
            </w:pPr>
          </w:p>
        </w:tc>
        <w:tc>
          <w:tcPr>
            <w:tcW w:w="1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(2,006 )</w:t>
            </w:r>
          </w:p>
        </w:tc>
        <w:tc>
          <w:tcPr>
            <w:tcW w:w="14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99,347</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121"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and as further amended by the Third Amendment to Amended and Restated Credit Agreement, dated as of April 26, 2023 (as described below, the “Third Amendment”) (as amended, the “Credit Agreement”, as used throughout this Quarterly Report on Form 10-Q,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w:t>
      </w:r>
    </w:p>
    <w:p>
      <w:pPr>
        <w:spacing w:after="0" w:line="63"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On April 26, 2023, the Company entered into the Third Amendment to replace LIBOR with the Secured Overnight Financing Rate (“SOFR”) as the benchmark reference rate for loans under its credit facility. The Third Amendment did not amend any other terms of the Credit Agreement. The transition to SOFR did not and is not expected to have a material impact on the Company’s results of operations or liquidity.</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plus 0.10%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plus 0.10% (not to be less than zero). Swing loans may not be SOFR loans.</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9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pays a fee ranging from 0.20% to 0.35% based on the applicable senior net leverage ratio times the unused portion of the revolving loan portion of the credit facility.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did not draw on its credit facility and repaid $25.0 million under the revolving credit facility.</w:t>
      </w:r>
    </w:p>
    <w:p>
      <w:pPr>
        <w:spacing w:after="0" w:line="162"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color w:val="auto"/>
        </w:rPr>
        <w:t>At March 31, 2024, the Company had a total of $101.4 million of revolving loans, with an interest rate of 7.18%, outstanding on its credit facility. After giving effect to the amount drawn on its credit facility, approximately $8.0 million of outstanding letters of credit and borrowing limits based on an advance multiple of adjusted EBITDA (as defined in the Credit Agreement), the Company had $486.9 of capacity and $377.5 million available for borrowing under its credit facility. As of December 31, 2023, the Company had a total of $126.4 million of revolving loans, with an interest rate of 7.21%, outstanding on its credit facility.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the Company was in compliance with all financial covenants under the Credit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effective income tax rates were 25.7% and 22.0% for the three months ended March 31, 2024 and 2023, respectively.</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the difference between our federal statutory and effective income tax rates was principally due to the inclusion of state taxes and non-deductible compensation, partially offset by the use of federal employment tax credits and excess tax benefit. For the three months ended March 31, 2024 and 2023, the effective tax rates were inclusive of an excess tax benefit of 0.1% and 1.2%, respectively. The excess tax expense or benefit is a discrete item, related to the vesting of equity shares, which requires the Company to recognize the expense or benefit fully in the period. An excess tax expense results if the Company’s cumulative costs of the award recognized exceed the income tax deduction, whereas an excess tax benefit results if the Company’s cumulative costs of the award recognized are less than the income tax deduction.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5820" w:type="dxa"/>
            <w:vAlign w:val="bottom"/>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Care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Hospice</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Home Health</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86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16,880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280,746</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152,536</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11,066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88,177</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33,421</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86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12,485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173,184</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78,415</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100" w:type="dxa"/>
            <w:vAlign w:val="bottom"/>
          </w:tcPr>
          <w:p>
            <w:pPr>
              <w:spacing w:after="0"/>
              <w:rPr>
                <w:sz w:val="21"/>
                <w:szCs w:val="21"/>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-1344930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-1327785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-1344930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-1327785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-1344930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-1327785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reconciliation: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Items not allocated at segment level: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4"/>
                <w:szCs w:val="14"/>
                <w:color w:val="auto"/>
              </w:rPr>
            </w:pPr>
          </w:p>
        </w:tc>
      </w:tr>
      <w:tr>
        <w:trPr>
          <w:trHeight w:val="169"/>
        </w:trPr>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46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54,756</w:t>
            </w:r>
          </w:p>
        </w:tc>
        <w:tc>
          <w:tcPr>
            <w:tcW w:w="2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60" w:type="dxa"/>
            <w:vAlign w:val="bottom"/>
          </w:tcPr>
          <w:p>
            <w:pPr>
              <w:spacing w:after="0"/>
              <w:rPr>
                <w:sz w:val="24"/>
                <w:szCs w:val="24"/>
                <w:color w:val="auto"/>
              </w:rPr>
            </w:pPr>
          </w:p>
        </w:tc>
      </w:tr>
      <w:tr>
        <w:trPr>
          <w:trHeight w:val="729"/>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6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6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(423 )</w:t>
            </w:r>
          </w:p>
        </w:tc>
        <w:tc>
          <w:tcPr>
            <w:tcW w:w="6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50"/>
        </w:trPr>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60" w:type="dxa"/>
            <w:vAlign w:val="bottom"/>
          </w:tcPr>
          <w:p>
            <w:pPr>
              <w:spacing w:after="0"/>
              <w:rPr>
                <w:sz w:val="21"/>
                <w:szCs w:val="21"/>
                <w:color w:val="auto"/>
              </w:rPr>
            </w:pPr>
          </w:p>
        </w:tc>
      </w:tr>
      <w:tr>
        <w:trPr>
          <w:trHeight w:val="239"/>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280" w:type="dxa"/>
            <w:vAlign w:val="bottom"/>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60" w:type="dxa"/>
            <w:vAlign w:val="bottom"/>
          </w:tcPr>
          <w:p>
            <w:pPr>
              <w:spacing w:after="0"/>
              <w:rPr>
                <w:sz w:val="20"/>
                <w:szCs w:val="20"/>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-1422400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-1113790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-805180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-496570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-179705</wp:posOffset>
            </wp:positionV>
            <wp:extent cx="713232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Payors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revenue by payor type was as follows: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80" w:type="dxa"/>
            <w:vAlign w:val="bottom"/>
            <w:gridSpan w:val="2"/>
          </w:tcPr>
          <w:p>
            <w:pPr>
              <w:jc w:val="right"/>
              <w:ind w:right="5248"/>
              <w:spacing w:after="0"/>
              <w:rPr>
                <w:sz w:val="20"/>
                <w:szCs w:val="20"/>
                <w:color w:val="auto"/>
              </w:rPr>
            </w:pPr>
            <w:r>
              <w:rPr>
                <w:rFonts w:ascii="Times New Roman" w:cs="Times New Roman" w:eastAsia="Times New Roman" w:hAnsi="Times New Roman"/>
                <w:sz w:val="18"/>
                <w:szCs w:val="18"/>
                <w:b w:val="1"/>
                <w:bCs w:val="1"/>
                <w:i w:val="1"/>
                <w:iCs w:val="1"/>
                <w:color w:val="auto"/>
                <w:w w:val="99"/>
              </w:rPr>
              <w:t>Personal Care Segment</w:t>
            </w:r>
          </w:p>
        </w:tc>
        <w:tc>
          <w:tcPr>
            <w:tcW w:w="3960" w:type="dxa"/>
            <w:vAlign w:val="bottom"/>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564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960" w:type="dxa"/>
            <w:vAlign w:val="bottom"/>
            <w:tcBorders>
              <w:top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p>
      <w:pPr>
        <w:sectPr>
          <w:pgSz w:w="11900" w:h="16838" w:orient="portrait"/>
          <w:cols w:equalWidth="0" w:num="1">
            <w:col w:w="11240"/>
          </w:cols>
          <w:pgMar w:left="320" w:top="765" w:right="339" w:bottom="1440" w:gutter="0" w:footer="0" w:header="0"/>
        </w:sectPr>
      </w:pPr>
    </w:p>
    <w:tbl>
      <w:tblPr>
        <w:tblLayout w:type="fixed"/>
        <w:tblInd w:w="5660" w:type="dxa"/>
        <w:tblCellMar>
          <w:top w:w="0" w:type="dxa"/>
          <w:left w:w="0" w:type="dxa"/>
          <w:bottom w:w="0" w:type="dxa"/>
          <w:right w:w="0" w:type="dxa"/>
        </w:tblCellMar>
      </w:tblPr>
      <w:tr>
        <w:trPr>
          <w:trHeight w:val="131"/>
        </w:trPr>
        <w:tc>
          <w:tcPr>
            <w:tcW w:w="1300" w:type="dxa"/>
            <w:vAlign w:val="bottom"/>
            <w:tcBorders>
              <w:top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300" w:type="dxa"/>
            <w:vAlign w:val="bottom"/>
            <w:tcBorders>
              <w:top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240" w:space="260"/>
            <w:col w:w="27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local and other governmental programs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51.8 %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$95,320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pay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660" w:type="dxa"/>
            <w:vAlign w:val="bottom"/>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60" w:type="dxa"/>
            <w:vAlign w:val="bottom"/>
          </w:tcPr>
          <w:p>
            <w:pPr>
              <w:spacing w:after="0"/>
              <w:rPr>
                <w:sz w:val="11"/>
                <w:szCs w:val="11"/>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90.7 %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60" w:type="dxa"/>
            <w:vAlign w:val="bottom"/>
          </w:tcPr>
          <w:p>
            <w:pPr>
              <w:spacing w:after="0"/>
              <w:rPr>
                <w:sz w:val="11"/>
                <w:szCs w:val="11"/>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home health segment net service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-3291205</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-3291205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-3291205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-3291205</wp:posOffset>
            </wp:positionV>
            <wp:extent cx="1200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-1499870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-1482090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-1499870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-1482090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-1499870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-1482090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-1499870</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-1482090</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-187960</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derives a significant amount of its revenue from its operations in Illinois, New Mexico, New York and Ohio. The percentages of segment revenue for each of these significant states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80" w:type="dxa"/>
            <w:vAlign w:val="bottom"/>
          </w:tcPr>
          <w:p>
            <w:pPr>
              <w:spacing w:after="0"/>
              <w:rPr>
                <w:sz w:val="11"/>
                <w:szCs w:val="11"/>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5640" w:type="dxa"/>
            <w:vAlign w:val="bottom"/>
          </w:tcPr>
          <w:p>
            <w:pPr>
              <w:spacing w:after="0"/>
              <w:rPr>
                <w:sz w:val="16"/>
                <w:szCs w:val="16"/>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1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51.8 %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3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4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New York</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17" w:lineRule="exact"/>
        <w:rPr>
          <w:sz w:val="20"/>
          <w:szCs w:val="20"/>
          <w:color w:val="auto"/>
        </w:rPr>
      </w:pPr>
    </w:p>
    <w:p>
      <w:pPr>
        <w:ind w:left="760" w:right="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New York initiated a new Request For Offer (“RFO”) process to competitively procure Consumer Directed Personal Assistance Program (“CDPAP”) fiscal intermediaries. The Company was not one of the entities selected to enter into contracts as a Lead Fiscal Intermediary through the initial RFO process. However, the New York legislature intervened in 2022, authorizing fiscal intermediary applicants who satisfied certain criteria to continue operating in all counties contained in their RFO application. Although the Company was permitted to continue its CDPAP fiscal intermediary operations, the Company decided in November 2022 to suspend materially all of its new fee-for-service patient admissions through County Social Service Departments in the CDPAP. On June 6, 2023, the New York State Department of Health (“NYSDOH”) notified the Company that it had received a contract award. Under this contract, the Company is providing services to all current payors and has resumed new fee-for-service patient admissions through County Social Service Departments in the CDPAP. The CDPAP continues to be a focus for changes by New York governmental authorities. For example, the New York fiscal year 2025 budget will replace the CDPAP fiscal intermediaries with a single statewide fiscal intermediary with a stated deadline of April 1, 2025. The statewide fiscal intermediary, which will be selected by the NYSDOH, will be able to subcontract with several entities to facilitate the delivery of fiscal intermediary services. All service providers seeking to offer services under CDPAP will be required to contract with the statewide fiscal intermediary or its contractors in order to offer services. The Company does not currently believe it is likely to be selected as the single statewide fiscal intermediary and it is not possible at this time to assess the likelihood of becoming a subcontractor or the financial terms of any such arrangement. At this time, it is difficult to predict the details of the implementation of these modifications and their final timeline and, thus, their impact on the Company’s business and operations. However, we expect this could have a negative impact on our New York CDPAP business, though it would not be material to our business as a whole.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4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60" w:type="dxa"/>
            <w:vAlign w:val="bottom"/>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home health segment net service 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-2459355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and accounts receivable are derived from services performed for federal, state and local governmental agencies. The personal care segment derives a significant amount of its net service revenues in Illinois, which represented 38.3% and 39.1% of our net service revenues for the three months ended March 31, 2024 and 2023, respectively. The Illinois Department on Aging, the largest payor program for the Company’s Illinois personal care operations, accounted for 20.8% and 21.5% of the Company’s net service revenues for the three months ended March 31, 2024 and 2023, respectively.</w:t>
      </w:r>
    </w:p>
    <w:p>
      <w:pPr>
        <w:spacing w:after="0" w:line="183"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18.0% and 20.7% of the Company’s net accounts receivable at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5"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including significant global inflation and elevated interest rates, legislative developments, trade disruptions and the potential adverse effects of current geopolitical conditions; business disruptions due to natural disasters, acts of terrorism, pandemics, riots, civil insurrection or social unrest, looting, protests, strikes or street demonstrations; changes in operational and reimbursement processes and payment structures at the state or federal levels; changes in Medicaid, Medicare, other government program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eligibility standards and limits on services imposed by state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2023, filed with the SEC on February 27, 2024.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35.8% and 36.6% of our net service revenues during the three months ended March 31, 2024 and 2023, respectively.</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certain consolidated financial results is provided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77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 by segment:</w:t>
            </w:r>
          </w:p>
        </w:tc>
        <w:tc>
          <w:tcPr>
            <w:tcW w:w="9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940" w:type="dxa"/>
            <w:vAlign w:val="bottom"/>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9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Hospice</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health</w:t>
            </w:r>
          </w:p>
        </w:tc>
        <w:tc>
          <w:tcPr>
            <w:tcW w:w="9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service revenue</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280,746</w:t>
            </w: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-490855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provided our services in 22 states through 214 offices. We served approximately 57,000 and 55,000 discrete individuals, respectively, during the three months ended March 31, 2024 and 2023. Our personal care segment also includes staffing services, with clients including assisted living facilities, nursing homes and hospice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 or that present other strategic opportunities.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January 1, 2023, we completed the acquisition of CareStaff for approximately $1.0 million, with funding provided by available cash. With the purchase of CareStaff, the Company expanded its personal care services in Florida.</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August 1, 2023, we completed the acquisition of Tennessee Quality Care for approximately $111.2 million, with funding primarily provided by drawing on the Company’s revolving credit facility. The purchase price is subject to the completion of working capital and related adjustments. With the purchase of Tennessee Quality Care, the Company expanded its services within its hospice and home health segment to Tennessee.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 March 9, 2024, we completed our acquisition of the operations of Upstate for $0.4 million, with funding provided by available cash. With the purchase of Upstate, the Company expanded its personal care services segment in South Carolina.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the labor market continues to be tight and unemployment remains at low levels, the competition for new caregivers, including skilled healthcare staff, and support staff continues to be significant. In addition, the United States economy continues to experience significant inflationary pressures and a competitive labor market. To the extent that we continue to experience a shortage of caregivers, it may hinder our ability to fully meet the continuing demand for both our non-clinical and clinical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Payor and Significant States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 by payor and significant states by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80" w:type="dxa"/>
            <w:vAlign w:val="bottom"/>
          </w:tcPr>
          <w:p>
            <w:pPr>
              <w:spacing w:after="0"/>
              <w:rPr>
                <w:sz w:val="11"/>
                <w:szCs w:val="11"/>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2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6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2"/>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local and other governmental programs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pay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New York </w:t>
            </w:r>
            <w:r>
              <w:rPr>
                <w:rFonts w:ascii="Times New Roman" w:cs="Times New Roman" w:eastAsia="Times New Roman" w:hAnsi="Times New Roman"/>
                <w:sz w:val="24"/>
                <w:szCs w:val="24"/>
                <w:color w:val="auto"/>
                <w:vertAlign w:val="superscript"/>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-830580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-814070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-830580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-814070</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-830580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-814070</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-830580</wp:posOffset>
            </wp:positionV>
            <wp:extent cx="11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-814070</wp:posOffset>
            </wp:positionV>
            <wp:extent cx="1117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-187960</wp:posOffset>
            </wp:positionV>
            <wp:extent cx="1117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720" w:hanging="383"/>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In 2019, New York initiated a new RFO process to competitively procure CDPAP fiscal intermediaries. The Company was not one of the entities </w:t>
      </w:r>
      <w:r>
        <w:rPr>
          <w:rFonts w:ascii="Times New Roman" w:cs="Times New Roman" w:eastAsia="Times New Roman" w:hAnsi="Times New Roman"/>
          <w:sz w:val="17"/>
          <w:szCs w:val="17"/>
          <w:color w:val="auto"/>
        </w:rPr>
        <w:t>selected</w:t>
      </w:r>
      <w:r>
        <w:rPr>
          <w:rFonts w:ascii="Times New Roman" w:cs="Times New Roman" w:eastAsia="Times New Roman" w:hAnsi="Times New Roman"/>
          <w:sz w:val="16"/>
          <w:szCs w:val="16"/>
          <w:color w:val="auto"/>
        </w:rPr>
        <w:t xml:space="preserve"> to enter into contracts as a Lead Fiscal Intermediary through the initial RFO process. However, the New York legislature intervened in 2022, authorizing fiscal intermediary applicants who satisfied certain criteria to continue operating in all counties contained in their RFO application. Although the Company was permitted to continue its CDPAP fiscal intermediary operations, the Company decided in November 2022 to suspend materially all of its new fee-for-service patient admissions through County Social Service Departments in the CDPAP. On June 6, 2023, the NYSDOH notified the Company that it had received a contract award. Under this contract, the Company is providing services to all current payors and has resumed new fee-for-service patient admissions through County Social Service Departments in the CDPAP. The CDPAP continues to be a focus for changes by New York governmental authorities. For example, the New York fiscal year 2025 budget will replace the CDPAP fiscal intermediaries with a single statewide fiscal intermediary with a stated deadline of April 1, 2025. The statewide fiscal intermediary, which will be selected by the NYSDOH, will be able to subcontract with several entities to facilitate the delivery of fiscal intermediary services. All service providers seeking to offer services under CDPAP will be required to contract with the statewide fiscal intermediary or its contractors in order to offer services. The Company does not currently believe it is likely to be selected as the single statewide fiscal intermediary and it is not possible at this time to assess the likelihood of becoming a subcontractor or the financial terms of any such arrangement. At this time, it is difficult to predict the details of the implementation of these modifications and their final timeline and, thus, their impact on the Company’s business and operations. However, we expect this could have a negative impact on our New York CDPAP business, though it would not be material to our business as a whole.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80" w:type="dxa"/>
            <w:vAlign w:val="bottom"/>
          </w:tcPr>
          <w:p>
            <w:pPr>
              <w:spacing w:after="0"/>
              <w:rPr>
                <w:sz w:val="11"/>
                <w:szCs w:val="11"/>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90.7 %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90.8 %</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-831215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-813435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-831215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-813435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-831215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-813435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-831215</wp:posOffset>
            </wp:positionV>
            <wp:extent cx="1117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-813435</wp:posOffset>
            </wp:positionV>
            <wp:extent cx="1117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-187960</wp:posOffset>
            </wp:positionV>
            <wp:extent cx="1117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Medicare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home health segment net service revenues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Tennessee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home health segment net service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80" w:type="dxa"/>
            <w:vAlign w:val="bottom"/>
          </w:tcPr>
          <w:p>
            <w:pPr>
              <w:spacing w:after="0"/>
              <w:rPr>
                <w:sz w:val="11"/>
                <w:szCs w:val="11"/>
                <w:color w:val="auto"/>
              </w:rPr>
            </w:pPr>
          </w:p>
        </w:tc>
        <w:tc>
          <w:tcPr>
            <w:tcW w:w="14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gridSpan w:val="3"/>
            <w:vMerge w:val="continue"/>
          </w:tcPr>
          <w:p>
            <w:pPr>
              <w:spacing w:after="0"/>
              <w:rPr>
                <w:sz w:val="12"/>
                <w:szCs w:val="12"/>
                <w:color w:val="auto"/>
              </w:rPr>
            </w:pPr>
          </w:p>
        </w:tc>
        <w:tc>
          <w:tcPr>
            <w:tcW w:w="13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spacing w:after="0"/>
              <w:rPr>
                <w:sz w:val="21"/>
                <w:szCs w:val="21"/>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-1148080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-496570</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-830580</wp:posOffset>
            </wp:positionV>
            <wp:extent cx="713232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-179070</wp:posOffset>
            </wp:positionV>
            <wp:extent cx="713232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765" w:right="339" w:bottom="1440" w:gutter="0" w:footer="0" w:header="0"/>
          <w:type w:val="continuous"/>
        </w:sectPr>
      </w:pP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in Illinois, which represented 38.3% and 39.1% of our net service revenues for the three months ended March 31, 2024 and 2023, respectively.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 significant amount of our net service revenues are derived from one payor, the Illinois Department on Aging, the largest payor program for our Illinois personal care operations, which accounted for 20.8% and 21.5% of our net service revenues for the three months ended March 31,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Rates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November 26, 2019, the City of Chicago voted to approve additional increases in the Chicago minimum wage to $14 per hour beginning July 1, 2020 and to $15 per hour beginning July 1, 2021. In each subsequent year, the City is required to raise the wage based on increases in the Consumer Price Index (“CPI”) subject to a cap and other requirements. On July 1, 2023, the rate was adjusted to $15.80 based on the increase in the CPI.</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Illinois fiscal year 2023 budget included an increase of hourly rates for in-home care services to $25.66, to be effective January 1, 2023. This increase offsets the $0.40 increase in Chicago minimum wage that occurred on July 1, 2022. In addition, CMS approved a waiver amendment proposal submitted by the Illinois Department of Healthcare and Family Services with regard to its Persons who are Elderly program, further increasing in-home care rates to $26.92, effective March 1, 2023.</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Illinois fiscal year 2024 budget passed in June 2023 included an increase in hourly rates for in-home care services to $28.07, which took effect on January 1, 2024 and required a minimum wage rate of $17.00 per hour.</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business will benefit from the rate increases noted above as planned for 2024, but there is no assurance that there will be additional offsetting rate increases in Illinois for fiscal years beyond fiscal year 2024, and our financial performance will be adversely impacted for any periods in which an additional offsetting reimbursement rate increase is not in effect.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Changes in Medicare and Medicaid Reimbursement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Hospice</w:t>
      </w:r>
    </w:p>
    <w:p>
      <w:pPr>
        <w:spacing w:after="0" w:line="119" w:lineRule="exact"/>
        <w:rPr>
          <w:sz w:val="20"/>
          <w:szCs w:val="20"/>
          <w:color w:val="auto"/>
        </w:rPr>
      </w:pPr>
    </w:p>
    <w:p>
      <w:pPr>
        <w:ind w:left="260" w:right="20" w:firstLine="509"/>
        <w:spacing w:after="0" w:line="261" w:lineRule="auto"/>
        <w:rPr>
          <w:sz w:val="20"/>
          <w:szCs w:val="20"/>
          <w:color w:val="auto"/>
        </w:rPr>
      </w:pPr>
      <w:r>
        <w:rPr>
          <w:rFonts w:ascii="Times New Roman" w:cs="Times New Roman" w:eastAsia="Times New Roman" w:hAnsi="Times New Roman"/>
          <w:sz w:val="18"/>
          <w:szCs w:val="18"/>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2023, CMS increased hospice payment rates by 3.1%. This reflects a 3.3% market basket increase and a negative 0.2 percentage point productivity adjustment. Hospices that do not satisfy quality reporting requirements will be subject to a 4-percentage point reduction to the market basket update.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$33,494.01 for federal fiscal year 2024. If a hospice’s Medicare payments exceed its inpatient or aggregate caps, it must repay Medicare the excess amount.</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Home Health</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CMS updates the HHPPS payment rates each calendar year. For calendar year 2024, CMS estimates that Medicare payments to home health agencies will increase by 0.8%. This is based on a home health payment update percentage of 3.0, which reflects a 3.3% market basket update reduced by a productivity adjustment of negative 0.3 percentage points, and an estimated 2.6%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CMS began implementing a nationwide expansion of the Home Health Value-Based Purchasing (“HHVBP”) Model in 2022. Under the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was the first performance year under the expanded HHVBP Model, which will affect payments in calendar year 2025.</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currently applies to home health agencies in certain states, including Illinois, Ohio, Oklahoma, North Carolina, Florida and Texas.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This program has not had a material impact on our results of operations or financial position.</w:t>
      </w:r>
    </w:p>
    <w:p>
      <w:pPr>
        <w:spacing w:after="0" w:line="18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The IMPACT Act required the Department of Health and Human Services (“HHS”), together with the Medicare Payment Advisory Commission (“MedPAC”), to consider and propose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in July 2022 presenting a prototype for a unified post-acute care payment model, and MedPAC submitted a report to Congress in June 2023 evaluating a prototype design. Although both CMS and MedPAC concluded that designing a unified payment system is feasible, CMS noted that universal implementation of a unified payment system would require congressional action and MedPAC cautioned that implementation would be complex. Due to the agency resources required to implement a unified model, MedPAC noted that CMS may consider smaller-scale site-neutral policies to address some of the overlap in patients treated in different settings and highlighted that recent changes to various post-acute care payment systems address some of the concerns underlying the push for a unified model.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Consumer Directed Personal Assistance Program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CDPAP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CDPAP is a self-directed care alternative program that allows eligible individuals who need help with activities of daily living or skilled nursing services to choose their caregivers. We provide support services as a CDPAP fiscal intermediary. The Company recognized approximately $10.4 million and $10.1 million in revenue from the program for the three months ended March 31, 2024 and 2023, respectively.</w:t>
      </w:r>
    </w:p>
    <w:p>
      <w:pPr>
        <w:spacing w:after="0" w:line="17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2019, New York initiated a new RFO process to competitively procure CDPAP fiscal intermediaries. The Company was not one of the entities selected to enter into contracts as a Lead Fiscal Intermediary through the initial RFO process. However, the New York legislature intervened in 2022, authorizing fiscal intermediary applicants who satisfied certain criteria to continue operating in all counties contained in their RFO application. Although the Company was permitted to continue its CDPAP fiscal intermediary operations, the Company decided in November 2022 to suspend materially all of its new fee-for-service patient admissions through County Social Service Departments in the CDPAP. On June 6, 2023, the NYSDOH notified the Company that it had received a contract award. Under this contract, the Company is providing services to all current payors and has resumed new fee-for-service patient admissions through County Social Service Departments in the CDPAP. The CDPAP continues to be a focus for changes by New York governmental authorities. For example, the New York fiscal year 2025 budget, which was signed by the governor on April 20, 2024, will replace the CDPAP fiscal intermediaries with a single statewide fiscal intermediary with a stated deadline of April 1, 2025. The statewide fiscal intermediary, which will be selected by the NYSDOH, will be able to subcontract with several entities to facilitate the delivery of fiscal intermediary services. All service providers seeking to offer services under CDPAP will be required to contract with the statewide fiscal intermediary or its contractors in order to offer services. The Company does not currently believe it is likely to be selected as the single statewide fiscal intermediary and it is not possible at this time to assess the likelihood of becoming a subcontractor or the financial terms of any such arrangement. At this time, it is difficult to predict the details of the implementation of these modifications and their final timeline and, thus, their impact on the Company’s business and operations. However, we expect this could have a negative impact on our New York CDPAP business, though it would not be material to our business as a whole.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Final Rule: “Ensuring Access to Medicaid Services”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April 22, 2024, CMS announced a final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that at least 80% of all Medicaid payments a provider receives for homemaker, home health aide, and personal care services, less certain excluded costs, under certain programs are spent on total compensation (including benefits) for direct care workers furnishing these services, rather than administrative overhead or profit, subject to limited exceptions. States are required to ensure compliance with the 80/20 requirement by mid-2030. The final rule made a number of technical changes to the definitions used in calculating compliance that clarified or narrowed the revenue covered by the calculation and clarified or expanded the payments to workers that are counted in satisfying the requirement, which combined to make compliance less onerous to providers.</w:t>
      </w:r>
    </w:p>
    <w:p>
      <w:pPr>
        <w:spacing w:after="0" w:line="192" w:lineRule="exact"/>
        <w:rPr>
          <w:sz w:val="20"/>
          <w:szCs w:val="20"/>
          <w:color w:val="auto"/>
        </w:rPr>
      </w:pPr>
    </w:p>
    <w:p>
      <w:pPr>
        <w:jc w:val="both"/>
        <w:ind w:right="160" w:firstLine="554"/>
        <w:spacing w:after="0" w:line="289" w:lineRule="auto"/>
        <w:rPr>
          <w:sz w:val="20"/>
          <w:szCs w:val="20"/>
          <w:color w:val="auto"/>
        </w:rPr>
      </w:pPr>
      <w:r>
        <w:rPr>
          <w:rFonts w:ascii="Times New Roman" w:cs="Times New Roman" w:eastAsia="Times New Roman" w:hAnsi="Times New Roman"/>
          <w:sz w:val="17"/>
          <w:szCs w:val="17"/>
          <w:color w:val="auto"/>
        </w:rPr>
        <w:t>The final rule includes several other measures intended to promote transparency and enhance quality and access to services, including a variety of reporting requirements for States. Given the very long implementation period and the likelihood of further changes as a result of litigation, administration changes, further rule-making and state changes in response to the final rule, it is premature to predict the ultimate impact of the final rule on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Statements of Income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Service Revenues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is reported when incurred and principally consists of interest and unused credit line fees on the credit facility.</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25.7% and 22.0% for the three months ended March 31, 2024 and 2023, respectively, compared to our federal statutory rate of 21%. The difference between our federal statutory and effective income tax rates was principally due to the inclusion of state taxes, non-deductible compensation, excess tax expense/benefit and the use of federal employment tax credits.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Three Months Ended March 31, 2024 Compared to Three Months Ended March 31,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unaudited condensed consolidated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6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280,746</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173,184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64,532</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(423 )</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(317 )</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-1302385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-1302385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-1302385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-1302385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-1302385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-1302385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-976630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-976630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-976630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-976630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-976630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-976630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-659765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-659765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-659765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-659765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-659765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-659765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Net service revenues increased by 11.6% to $280.7 million for the three months ended March 31, 2024 compared to $251.6 million for the three months ended March 31, 2023. Revenue increased by $18.0 million in our personal care segment, $6.8 million in our hospice segment and by $4.4 million in our home health segment during the three months ended March 31, 2024, compared to the same period in 2023. The increase in our personal care segment was due to organic growth. The increase in our hospice and home health segment revenue was due to the acquisition of the operations of Tennessee Quality Care on August 1, 2023.</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31.4% for the three months ended March 31, 2024, compared to 31.2% for the same period in 2023 due to growth in our higher margin hospice segment.</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$61.1 million for the three months ended March 31, 2024, as compared to $56.4 million for the three months ended March 31, 2023. The increase in general and administrative expenses was primarily due to the Tennessee Quality Care acquisition that resulted in an increase in administrative employee wage, bonus, tax and benefit costs of $2.1 million and an increase in acquisition expense of $1.5 million. General and administrative expenses, expressed as a percentage of net service revenues, decreased to 21.8% for the three months ended March 31, 2024, from 22.4% for the three months ended March 31, 2023.</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to $2.8 million for the three months ended March 31, 2024 from $2.5 million for the three months ended March 31, 2023. The increase in interest expense was primarily due to increased interest rates under our credit facility for the three months ended March 31, 2024 compared to the three months ended March 31, 2023.</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25.7% and 22.0% for the three months ended March 31, 2024 and 2023, respectively. Our higher effective income tax rate for the three months ended March 31, 2024 was principally due to a lower excess tax benefit as well as a lower benefit from the use of federal employment tax credits. For the three months ended March 31, 2024 and 2023, the excess tax benefit and federal employment tax credits were 3.5% and 6.8%,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and related analysis summarize our operating results and business metrics by segment:</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9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8"/>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152,536</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138,383</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Business Metrics (Actual Numbers,</w:t>
            </w: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Except Billable Hours in Thousands)</w:t>
            </w: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Locations at period end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500" w:type="dxa"/>
            <w:vAlign w:val="bottom"/>
            <w:shd w:val="clear" w:color="auto" w:fill="CFF0FC"/>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Average billable census * </w:t>
            </w:r>
            <w:r>
              <w:rPr>
                <w:rFonts w:ascii="Times New Roman" w:cs="Times New Roman" w:eastAsia="Times New Roman" w:hAnsi="Times New Roman"/>
                <w:sz w:val="24"/>
                <w:szCs w:val="24"/>
                <w:color w:val="auto"/>
                <w:vertAlign w:val="superscript"/>
              </w:rPr>
              <w:t>(1)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Billable hours * </w:t>
            </w:r>
            <w:r>
              <w:rPr>
                <w:rFonts w:ascii="Times New Roman" w:cs="Times New Roman" w:eastAsia="Times New Roman" w:hAnsi="Times New Roman"/>
                <w:sz w:val="24"/>
                <w:szCs w:val="24"/>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Average billable hours per census per month * </w:t>
            </w:r>
            <w:r>
              <w:rPr>
                <w:rFonts w:ascii="Times New Roman" w:cs="Times New Roman" w:eastAsia="Times New Roman" w:hAnsi="Times New Roman"/>
                <w:sz w:val="24"/>
                <w:szCs w:val="24"/>
                <w:color w:val="auto"/>
                <w:vertAlign w:val="superscript"/>
              </w:rPr>
              <w:t>(2)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Billable hours per business day * </w:t>
            </w:r>
            <w:r>
              <w:rPr>
                <w:rFonts w:ascii="Times New Roman" w:cs="Times New Roman" w:eastAsia="Times New Roman" w:hAnsi="Times New Roman"/>
                <w:sz w:val="24"/>
                <w:szCs w:val="24"/>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Revenues per billable hour * </w:t>
            </w:r>
            <w:r>
              <w:rPr>
                <w:rFonts w:ascii="Times New Roman" w:cs="Times New Roman" w:eastAsia="Times New Roman" w:hAnsi="Times New Roman"/>
                <w:sz w:val="24"/>
                <w:szCs w:val="24"/>
                <w:color w:val="auto"/>
                <w:vertAlign w:val="superscript"/>
              </w:rPr>
              <w:t>(2)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Same store growth revenue % * </w:t>
            </w:r>
            <w:r>
              <w:rPr>
                <w:rFonts w:ascii="Times New Roman" w:cs="Times New Roman" w:eastAsia="Times New Roman" w:hAnsi="Times New Roman"/>
                <w:sz w:val="24"/>
                <w:szCs w:val="24"/>
                <w:color w:val="auto"/>
                <w:vertAlign w:val="superscript"/>
              </w:rPr>
              <w:t>(3)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9.3 %</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11.4 %</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-1923415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-1923415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-1923415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-1923415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-1923415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-1923415</wp:posOffset>
            </wp:positionV>
            <wp:extent cx="93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-1606550</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-1606550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-1606550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-1606550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-1606550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-1606550</wp:posOffset>
            </wp:positionV>
            <wp:extent cx="939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95" w:lineRule="exact"/>
        <w:rPr>
          <w:sz w:val="20"/>
          <w:szCs w:val="20"/>
          <w:color w:val="auto"/>
        </w:rPr>
      </w:pPr>
    </w:p>
    <w:p>
      <w:pPr>
        <w:ind w:left="520" w:right="140" w:hanging="512"/>
        <w:spacing w:after="0" w:line="298"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billable census is the number of unique clients receiving a billable service during the year and is the total census divided by months in operation during the period.</w:t>
      </w:r>
    </w:p>
    <w:p>
      <w:pPr>
        <w:spacing w:after="0" w:line="29" w:lineRule="exact"/>
        <w:rPr>
          <w:rFonts w:ascii="Times New Roman" w:cs="Times New Roman" w:eastAsia="Times New Roman" w:hAnsi="Times New Roman"/>
          <w:sz w:val="16"/>
          <w:szCs w:val="16"/>
          <w:color w:val="auto"/>
        </w:rPr>
      </w:pPr>
    </w:p>
    <w:p>
      <w:pPr>
        <w:ind w:left="520" w:right="180" w:hanging="512"/>
        <w:spacing w:after="0" w:line="281"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spacing w:after="0" w:line="42" w:lineRule="exact"/>
        <w:rPr>
          <w:rFonts w:ascii="Times New Roman" w:cs="Times New Roman" w:eastAsia="Times New Roman" w:hAnsi="Times New Roman"/>
          <w:sz w:val="16"/>
          <w:szCs w:val="16"/>
          <w:color w:val="auto"/>
        </w:rPr>
      </w:pPr>
    </w:p>
    <w:p>
      <w:pPr>
        <w:ind w:left="520" w:right="240" w:hanging="512"/>
        <w:spacing w:after="0" w:line="281"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spacing w:after="0" w:line="42" w:lineRule="exact"/>
        <w:rPr>
          <w:sz w:val="20"/>
          <w:szCs w:val="20"/>
          <w:color w:val="auto"/>
        </w:rPr>
      </w:pPr>
    </w:p>
    <w:p>
      <w:pPr>
        <w:ind w:right="100" w:firstLine="8"/>
        <w:spacing w:after="0" w:line="269" w:lineRule="auto"/>
        <w:tabs>
          <w:tab w:leader="none" w:pos="12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from operations in Illinois, which represented 38.3% and 39.1% of our net service revenues for the three months ended March 31, 2024 and 2023, respectively. One payor, the Illinois Department on Aging, accounted for 20.8% and 21.5% of net service revenues for the three months ended March 31, 2024 and 2023, respectively.</w:t>
      </w:r>
    </w:p>
    <w:p>
      <w:pPr>
        <w:sectPr>
          <w:pgSz w:w="11900" w:h="16838" w:orient="portrait"/>
          <w:cols w:equalWidth="0" w:num="1">
            <w:col w:w="11260"/>
          </w:cols>
          <w:pgMar w:left="320" w:top="765" w:right="319" w:bottom="1440" w:gutter="0" w:footer="0" w:header="0"/>
        </w:sectPr>
      </w:pP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service revenues from state, local and other governmental programs accounted for 51.8% and 50.1% of net service revenues for the three months ended March 31, 2024 and 2023, respectively. Managed care organizations accounted for 45.3% and 46.3% of net service revenues for the three months ended March 31, 2024 and 2023, respectively, with commercial insurance, private pay and other payors accounting for the remainder of net service revenues.</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service revenues increased by 9.5% for the three months ended March 31, 2024 compared to the three months ended March 31, 2023. Net service revenues included a 9.5% increase in revenues per billable hour for the three months ended March 31, 2024, mainly attributed to rate increases discussed above, as compared to the three months ended March 31, 2023. Gross profit, expressed as a percentage of net service revenues, decreased marginally to 26.7% for the three months ended March 31, 2024 from 27.2% for the three months ended March 31, 2023. This decrease was primarily due to increases in direct payroll and benefits expenses for the three months ended March 31, 2024.</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personal care segment’s general and administrative expenses primarily consist of administrative employee wages, taxes and benefit costs, rent, information technology and office expenses. General and administrative expenses, expressed as a percentage of net service revenues, was 7.4% and 8.4% for the three months ended March 31,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1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gridSpan w:val="8"/>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100.0 %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24.0 %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Metrics (Actual Numbers)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Locations at period end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00" w:type="dxa"/>
            <w:vAlign w:val="bottom"/>
            <w:shd w:val="clear" w:color="auto" w:fill="CFF0FC"/>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Admissions * </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Average daily census * </w:t>
            </w:r>
            <w:r>
              <w:rPr>
                <w:rFonts w:ascii="Times New Roman" w:cs="Times New Roman" w:eastAsia="Times New Roman" w:hAnsi="Times New Roman"/>
                <w:sz w:val="24"/>
                <w:szCs w:val="24"/>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Average discharge length of stay * </w:t>
            </w:r>
            <w:r>
              <w:rPr>
                <w:rFonts w:ascii="Times New Roman" w:cs="Times New Roman" w:eastAsia="Times New Roman" w:hAnsi="Times New Roman"/>
                <w:sz w:val="24"/>
                <w:szCs w:val="24"/>
                <w:color w:val="auto"/>
                <w:vertAlign w:val="superscript"/>
              </w:rPr>
              <w:t>(3)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Patient days * </w:t>
            </w:r>
            <w:r>
              <w:rPr>
                <w:rFonts w:ascii="Times New Roman" w:cs="Times New Roman" w:eastAsia="Times New Roman" w:hAnsi="Times New Roman"/>
                <w:sz w:val="24"/>
                <w:szCs w:val="24"/>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Revenue per patient day * </w:t>
            </w:r>
            <w:r>
              <w:rPr>
                <w:rFonts w:ascii="Times New Roman" w:cs="Times New Roman" w:eastAsia="Times New Roman" w:hAnsi="Times New Roman"/>
                <w:sz w:val="24"/>
                <w:szCs w:val="24"/>
                <w:color w:val="auto"/>
                <w:vertAlign w:val="superscript"/>
              </w:rPr>
              <w:t>(5)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60"/>
              <w:spacing w:after="0" w:line="248" w:lineRule="exact"/>
              <w:rPr>
                <w:sz w:val="20"/>
                <w:szCs w:val="20"/>
                <w:color w:val="auto"/>
              </w:rPr>
            </w:pPr>
            <w:r>
              <w:rPr>
                <w:rFonts w:ascii="Times New Roman" w:cs="Times New Roman" w:eastAsia="Times New Roman" w:hAnsi="Times New Roman"/>
                <w:sz w:val="18"/>
                <w:szCs w:val="18"/>
                <w:color w:val="auto"/>
              </w:rPr>
              <w:t xml:space="preserve">- Revenue * </w:t>
            </w:r>
            <w:r>
              <w:rPr>
                <w:rFonts w:ascii="Times New Roman" w:cs="Times New Roman" w:eastAsia="Times New Roman" w:hAnsi="Times New Roman"/>
                <w:sz w:val="24"/>
                <w:szCs w:val="24"/>
                <w:color w:val="auto"/>
                <w:vertAlign w:val="superscript"/>
              </w:rPr>
              <w:t>(6)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 Average daily census * </w:t>
            </w:r>
            <w:r>
              <w:rPr>
                <w:rFonts w:ascii="Times New Roman" w:cs="Times New Roman" w:eastAsia="Times New Roman" w:hAnsi="Times New Roman"/>
                <w:sz w:val="24"/>
                <w:szCs w:val="24"/>
                <w:color w:val="auto"/>
                <w:vertAlign w:val="superscript"/>
              </w:rPr>
              <w:t>(6)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-2094865</wp:posOffset>
            </wp:positionV>
            <wp:extent cx="1111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-2094865</wp:posOffset>
            </wp:positionV>
            <wp:extent cx="1117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-2094865</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-2094865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-2094865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-2094865</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-1778000</wp:posOffset>
            </wp:positionV>
            <wp:extent cx="111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-1778000</wp:posOffset>
            </wp:positionV>
            <wp:extent cx="1117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-1778000</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-1778000</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-1778000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-1778000</wp:posOffset>
            </wp:positionV>
            <wp:extent cx="1028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9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referral process and new patients on service during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daily census is total patient days divided by the number of days in the period.</w:t>
      </w:r>
    </w:p>
    <w:p>
      <w:pPr>
        <w:spacing w:after="0" w:line="99" w:lineRule="exact"/>
        <w:rPr>
          <w:rFonts w:ascii="Times New Roman" w:cs="Times New Roman" w:eastAsia="Times New Roman" w:hAnsi="Times New Roman"/>
          <w:sz w:val="16"/>
          <w:szCs w:val="16"/>
          <w:color w:val="auto"/>
        </w:rPr>
      </w:pPr>
    </w:p>
    <w:p>
      <w:pPr>
        <w:ind w:left="520" w:right="280" w:hanging="512"/>
        <w:spacing w:after="0" w:line="298" w:lineRule="auto"/>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length of stay is the average number of days a patient is on service, calculated upon discharge, and is total patient days divided by total discharges in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days is days of service for all patients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per patient day is hospice revenue divided by the number of patient days in the period.</w:t>
      </w:r>
    </w:p>
    <w:p>
      <w:pPr>
        <w:spacing w:after="0" w:line="99" w:lineRule="exact"/>
        <w:rPr>
          <w:rFonts w:ascii="Times New Roman" w:cs="Times New Roman" w:eastAsia="Times New Roman" w:hAnsi="Times New Roman"/>
          <w:sz w:val="16"/>
          <w:szCs w:val="16"/>
          <w:color w:val="auto"/>
        </w:rPr>
      </w:pPr>
    </w:p>
    <w:p>
      <w:pPr>
        <w:ind w:left="520" w:right="80" w:hanging="512"/>
        <w:spacing w:after="0" w:line="281" w:lineRule="auto"/>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22" w:lineRule="exact"/>
        <w:rPr>
          <w:sz w:val="20"/>
          <w:szCs w:val="20"/>
          <w:color w:val="auto"/>
        </w:rPr>
      </w:pPr>
    </w:p>
    <w:p>
      <w:pPr>
        <w:ind w:right="80" w:firstLine="8"/>
        <w:spacing w:after="0" w:line="269" w:lineRule="auto"/>
        <w:tabs>
          <w:tab w:leader="none" w:pos="12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Hospice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Net service revenues from Medicare accounted for 90.7% for both the three months ended March 31, 2024 and 2023, respectively. Net service revenues from managed care organizations accounted for 3.3% and 3.4% for the three months ended March 31, 2024 and 2023, respectively.</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Net service revenues increased by $6.8 million for the three months ended March 31, 2024 compared to the three months ended March 31, 2023, primarily attributed to organic growth and the acquisition of the operations of Tennessee Quality Care on August 1, 2023.</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48.1% and 44.4% for the three months ended March 31, 2024 and 2023, respectively. For the three months ended March 31, 2024, the increase was mainly attributed to a decrease in direct employee wage, tax and benefit costs as a percentage of net service revenues.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hospice segment’s general and administrative expenses primarily consist of administrative employee wage, tax and benefit costs, rent, information technology and office expenses. General and administrative expenses, expressed as a percentage of net service revenues, was 24.1% and 26.5% for the three months ended March 31, 2024 and 2023, respectively. The decrease in general and administrative expenses as a percentage of net service revenues was primarily due to more efficient operations for administrative employees for the three months ended March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2"/>
                <w:szCs w:val="12"/>
                <w:color w:val="auto"/>
              </w:rPr>
            </w:pPr>
          </w:p>
        </w:tc>
        <w:tc>
          <w:tcPr>
            <w:tcW w:w="12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gridSpan w:val="8"/>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8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100.0 %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7.5 %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Metrics (Actual Numbers)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Locations at period end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00" w:type="dxa"/>
            <w:vAlign w:val="bottom"/>
            <w:shd w:val="clear" w:color="auto" w:fill="CFF0FC"/>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New admissions * </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Recertifications * </w:t>
            </w:r>
            <w:r>
              <w:rPr>
                <w:rFonts w:ascii="Times New Roman" w:cs="Times New Roman" w:eastAsia="Times New Roman" w:hAnsi="Times New Roman"/>
                <w:sz w:val="24"/>
                <w:szCs w:val="24"/>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Total volume * </w:t>
            </w:r>
            <w:r>
              <w:rPr>
                <w:rFonts w:ascii="Times New Roman" w:cs="Times New Roman" w:eastAsia="Times New Roman" w:hAnsi="Times New Roman"/>
                <w:sz w:val="24"/>
                <w:szCs w:val="24"/>
                <w:color w:val="auto"/>
                <w:vertAlign w:val="superscript"/>
              </w:rPr>
              <w:t>(3)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Visits * </w:t>
            </w:r>
            <w:r>
              <w:rPr>
                <w:rFonts w:ascii="Times New Roman" w:cs="Times New Roman" w:eastAsia="Times New Roman" w:hAnsi="Times New Roman"/>
                <w:sz w:val="24"/>
                <w:szCs w:val="24"/>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 Revenue * </w:t>
            </w:r>
            <w:r>
              <w:rPr>
                <w:rFonts w:ascii="Times New Roman" w:cs="Times New Roman" w:eastAsia="Times New Roman" w:hAnsi="Times New Roman"/>
                <w:sz w:val="24"/>
                <w:szCs w:val="24"/>
                <w:color w:val="auto"/>
                <w:vertAlign w:val="superscript"/>
              </w:rPr>
              <w:t>(5)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13.8 %</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 Admissions * </w:t>
            </w:r>
            <w:r>
              <w:rPr>
                <w:rFonts w:ascii="Times New Roman" w:cs="Times New Roman" w:eastAsia="Times New Roman" w:hAnsi="Times New Roman"/>
                <w:sz w:val="24"/>
                <w:szCs w:val="24"/>
                <w:color w:val="auto"/>
                <w:vertAlign w:val="superscript"/>
              </w:rPr>
              <w:t>(5)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87"/>
              </w:rPr>
              <w:t>26</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-2794000</wp:posOffset>
            </wp:positionV>
            <wp:extent cx="111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-2794000</wp:posOffset>
            </wp:positionV>
            <wp:extent cx="1117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-2794000</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-2794000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-2794000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-2794000</wp:posOffset>
            </wp:positionV>
            <wp:extent cx="1028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-2476500</wp:posOffset>
            </wp:positionV>
            <wp:extent cx="1111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-2476500</wp:posOffset>
            </wp:positionV>
            <wp:extent cx="1117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-2476500</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-2476500</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-2476500</wp:posOffset>
            </wp:positionV>
            <wp:extent cx="1028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new patients during the period.</w:t>
      </w:r>
    </w:p>
    <w:p>
      <w:pPr>
        <w:spacing w:after="0" w:line="99" w:lineRule="exact"/>
        <w:rPr>
          <w:rFonts w:ascii="Times New Roman" w:cs="Times New Roman" w:eastAsia="Times New Roman" w:hAnsi="Times New Roman"/>
          <w:sz w:val="16"/>
          <w:szCs w:val="16"/>
          <w:color w:val="auto"/>
        </w:rPr>
      </w:pPr>
    </w:p>
    <w:p>
      <w:pPr>
        <w:ind w:left="520" w:right="120" w:hanging="512"/>
        <w:spacing w:after="0" w:line="298" w:lineRule="auto"/>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volume is total admissions and total recertifications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number of services to patients in the period.</w:t>
      </w:r>
    </w:p>
    <w:p>
      <w:pPr>
        <w:spacing w:after="0" w:line="99" w:lineRule="exact"/>
        <w:rPr>
          <w:rFonts w:ascii="Times New Roman" w:cs="Times New Roman" w:eastAsia="Times New Roman" w:hAnsi="Times New Roman"/>
          <w:sz w:val="16"/>
          <w:szCs w:val="16"/>
          <w:color w:val="auto"/>
        </w:rPr>
      </w:pPr>
    </w:p>
    <w:p>
      <w:pPr>
        <w:ind w:left="520" w:right="260" w:hanging="512"/>
        <w:spacing w:after="0" w:line="281" w:lineRule="auto"/>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69" w:lineRule="exact"/>
        <w:rPr>
          <w:sz w:val="20"/>
          <w:szCs w:val="20"/>
          <w:color w:val="auto"/>
        </w:rPr>
      </w:pPr>
    </w:p>
    <w:p>
      <w:pPr>
        <w:ind w:right="80" w:firstLine="8"/>
        <w:spacing w:after="0" w:line="269" w:lineRule="auto"/>
        <w:tabs>
          <w:tab w:leader="none" w:pos="1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home health segment generates net service revenues by providing home health services on a short-term, intermittent or episodic basis to individuals, generally to treat an illness or injury. Net service revenues from Medicare accounted for 69.1% and 74.2%, managed care organizations accounted for 26.1% and 20.3% and other accounted for 4.8% and 5.5% for the three months ended March 31, 2024 and 2023,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service revenues increased by $4.4 million for the three months ended March 31, 2024, compared to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visits increased for the three months ended March 31, 2024, mainly attributed to the acquisition of Tennessee Quality Care on August 1, 2023.</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34.4% and 39.7% for the three months ended March 31, 2024 and 2023, respectively. For the three months ended March 31, 2024, the decrease was primarily due to an increase in cost of services revenues that more than offset the increase in net service revenues compared to the three months ended March 31, 2023. Cost of services revenues for the three months ended March 31, 2024 increased compared to the corresponding period in 2023 due to an increase in direct employee wage, tax and benefit costs.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home health segment’s general and administrative expenses primarily consist of administrative employee wage, tax and benefit costs, rent, information technology and office expenses. General and administrative expenses, expressed as a percentage of net service revenues, was 26.9% and 23.1% for the three months ended March 31, 2024 and 2023, respectively. General and administrative expenses for the three months ended March 31, 2024 increased compared to the corresponding period in 2023, primarily due to an increase in administrative employee wage, tax and benefit costs for the three months ended March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from operations and borrowings under our credit facility. At March 31, 2024 and December 31, 2023, we had cash balances of $76.7 million and $64.8 million, respectively. At March 31, 2024, we had a $600.0 million revolving credit facility and a $125.0 million incremental loan facility, which may be for term loans or an increase to the revolving loan commitments. The maturity of this credit facility is July 30, 2026.</w:t>
      </w:r>
    </w:p>
    <w:p>
      <w:pPr>
        <w:spacing w:after="0" w:line="180" w:lineRule="exact"/>
        <w:rPr>
          <w:sz w:val="20"/>
          <w:szCs w:val="20"/>
          <w:color w:val="auto"/>
        </w:rPr>
      </w:pPr>
    </w:p>
    <w:p>
      <w:pPr>
        <w:ind w:right="60" w:firstLine="509"/>
        <w:spacing w:after="0" w:line="263" w:lineRule="auto"/>
        <w:rPr>
          <w:sz w:val="20"/>
          <w:szCs w:val="20"/>
          <w:color w:val="auto"/>
        </w:rPr>
      </w:pPr>
      <w:r>
        <w:rPr>
          <w:rFonts w:ascii="Times New Roman" w:cs="Times New Roman" w:eastAsia="Times New Roman" w:hAnsi="Times New Roman"/>
          <w:sz w:val="18"/>
          <w:szCs w:val="18"/>
          <w:color w:val="auto"/>
        </w:rPr>
        <w:t>During the three months ended March 31, 2024, we used $0.4 million in cash to fund the Upstate acquisition and repaid $25.0 million under our revolving credit facility. As of March 31, 2024, we had a total of $101.4 million in revolving loans, with an interest rate of 7.18% outstanding on our credit facility and after giving effect to the amount drawn on our credit facility, approximately $8.0 million of outstanding letters of credit and borrowing limits based on an advance multiple of adjusted EBITDA (as defined in the Credit Agreement), we had $486.9 million of capacity and $377.5 million available for borrowing under our credit facility. At December 31, 2023, we had a total of $126.4 million revolving credit loans, with an interest rate of 7.21%, outstanding on our credit facility.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Our credit facility requires us to maintain a total net leverage ratio not exceeding 3.75:1.00. At March 31, 2024,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7 to the Notes to Condensed Consolidated Financial Statements,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additional details of our long-term debt.</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COVID-19 Relief Funding</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Economic conditions in the United States continue to be challenging in various respects. For example, the United States economy continues to experience significant inflationary pressures, elevated interest rates and challenging labor market conditions. Any resulting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 in fiscal year 2023 (which will end June 30, 2024 in most states), and, potentially, future fiscal years. For example, Illinois, New Mexico and New York, our top three personal care markets, previously revised revenue estimates downward for the 2022 fiscal year as the result of earlier negative economic conditions arising from the COVID-19 pandemic. Also, in response to reduced revenues, the state of New York authorized the issuance of short-term bonds and implemented uniform reductions to Medicaid payments, applicable to home health and personal care services (hospice services were exempt).</w:t>
      </w:r>
    </w:p>
    <w:p>
      <w:pPr>
        <w:spacing w:after="0" w:line="2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received additional state funding provided by the ARPA in an aggregate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amount of $10.2 million. The Company did not record revenue and related costs of service revenue during the three months ended March 31, 2024, because revenue recognition criteria were not met. Instead, the Company deferred recognition of the entire $10.2 million, which was received from states with specific spending plans and reporting requirements. Of the total state funding received by the Company pursuant to the ARPA through March 31, 2024, the Company utilized $2.4 million during the three months ended March 31, 2024, primarily for caregivers and adding support to recruiting and retention efforts, included as a reduction of cost of service revenues in the Company’s Unaudited Condensed Consolidated Statements of Income. As of March 31, 2024, the deferred portion of ARPA funding of $13.5 million is included within Government stimulus advances on the Company’s Unaudited Condensed Consolidated Balance Sheets.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Medicare sequester</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April 2032.</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However, 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 Further, we anticipate that the federal deficit will continue to place pressure on government healthcare programs, and it is possible that future deficit reduction legislation will impose additional Medicare spending reductions.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5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83"/>
        </w:trPr>
        <w:tc>
          <w:tcPr>
            <w:tcW w:w="77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20"/>
                <w:szCs w:val="20"/>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(1,750 )</w:t>
            </w:r>
          </w:p>
        </w:tc>
        <w:tc>
          <w:tcPr>
            <w:tcW w:w="6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(1,742 )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(25,000 )</w:t>
            </w:r>
          </w:p>
        </w:tc>
        <w:tc>
          <w:tcPr>
            <w:tcW w:w="6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(23,475 )</w:t>
            </w: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Three Months Ended March 31, 2024 Compared to Three Months Ended March 31, 2023</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represent the inflow of cash from our payors and the outflow of cash for payroll and payroll taxes, operating expenses, interest and taxes. Net cash provided by operating activities was $38.7 million for the three months ended March 31, 2024, compared to net cash used in operating activities of $18.8 million for the same period in 2023. The increase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three months ended March 31, 2024 as compared to the three months ended March 31, 2023. The related receivables due from the Illinois Department on Aging represented 20.8% and 21.5% of the Company’s net accounts receivable at March 31, 2024 and March 31, 2023, respectively.</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primarily consisted of $0.4 million of net cash used for the Upstate acquisition and $1.4 million of cash used for property and equipment purchases, primarily related to our ongoing investments in technology infrastructure fixed assets. Net cash used in investing activities for the three months ended March 31, 2023 primarily consisted of $1.0 million of net cash used for the CareStaff acquisition and $0.7 million of cash used for property and equipment purchases.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primarily consisted of a $25.0 million payment on the revolver portion of our credit facility. Net cash used in financing activities for the three months ended March 31, 2023 primarily consisted of $23.5 million payment on the revolver portion of our credit facility.</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Outstanding Accounts Receivable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accounts receivable as of March 31, 2024 and December 31, 2023 were approximately $106.8 million and $117.8 million, respectively. Outstanding accounts receivable, net of allowance for credit losses, decreased by $10.8 million as of March 31, 2024 as compared to December 31, 2023. Accounts receivable for the Illinois Department on Aging decreased approximately $10.6 million during the quarter ended March 31, 2024.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35 days and 39 days at March 31, 2024 and December 31, 2023, respectively. The DSOs for our largest payor, the Illinois Department on Aging, were 30 days and 50 days at March 31, 2024 and December 31,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we did not have any off-balance sheet guarantees or arrangements with unconsolidated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previously disclosed under the caption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Critical Accounting Policies and Estimates” set forth in Part II, Item 7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period ended December 31, 2023, filed on February 27,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2 to the Notes to Condensed Consolidated Financial Statements (Unaudited) for further discussion.</w:t>
      </w:r>
    </w:p>
    <w:p>
      <w:pPr>
        <w:sectPr>
          <w:pgSz w:w="11900" w:h="16838" w:orient="portrait"/>
          <w:cols w:equalWidth="0" w:num="1">
            <w:col w:w="11240"/>
          </w:cols>
          <w:pgMar w:left="320" w:top="76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March 31, 2024, we had outstanding borrowings of approximately $101.4 million on our credit facility, all of such borrowings were subject to variable interest rates. If the variable rates on this debt were 100 basis points higher than the rate applicable to the borrowing during the three month period ended March 31, 2024, our net income would have decreased by $0.2 million, or $0.01 per diluted share. We do not currently have any derivative or hedging arrangements, or other known exposures, to changes in interest rates.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2024.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effective as of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March 31, 2024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2023, filed on February 27, 2024.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Not applicable. Without limiting the generality of the foregoing, during the quarter ended March 31, 2024, no director or Section 16 officer adopted or terminated any Rule 10b5-1 trading arrangements or non-Rule 10b5-1 trading arrangements, as such terms are defined in Item 408(a) of Regulation S-K.</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740" w:type="dxa"/>
            <w:vAlign w:val="bottom"/>
          </w:tcPr>
          <w:p>
            <w:pPr>
              <w:spacing w:after="0"/>
              <w:rPr>
                <w:sz w:val="24"/>
                <w:szCs w:val="24"/>
                <w:color w:val="auto"/>
              </w:rPr>
            </w:pPr>
          </w:p>
        </w:tc>
        <w:tc>
          <w:tcPr>
            <w:tcW w:w="2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1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45"/>
        </w:trPr>
        <w:tc>
          <w:tcPr>
            <w:tcW w:w="2140" w:type="dxa"/>
            <w:vAlign w:val="bottom"/>
            <w:tcBorders>
              <w:bottom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7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20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Date Filing</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56" w:right="339" w:bottom="1440" w:gutter="0" w:footer="0" w:header="0"/>
        </w:sectPr>
      </w:pPr>
    </w:p>
    <w:p>
      <w:pPr>
        <w:spacing w:after="0" w:line="38" w:lineRule="exact"/>
        <w:rPr>
          <w:sz w:val="20"/>
          <w:szCs w:val="20"/>
          <w:color w:val="auto"/>
        </w:rPr>
      </w:pPr>
    </w:p>
    <w:p>
      <w:pPr>
        <w:ind w:left="960" w:hanging="636"/>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307">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307">
        <w:r>
          <w:rPr>
            <w:rFonts w:ascii="Times New Roman" w:cs="Times New Roman" w:eastAsia="Times New Roman" w:hAnsi="Times New Roman"/>
            <w:sz w:val="18"/>
            <w:szCs w:val="18"/>
            <w:u w:val="single" w:color="auto"/>
            <w:color w:val="0000FF"/>
          </w:rPr>
          <w:t>Amended and Restated Certificate of Incorporation of the Company dated as of</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October 27, 2009.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180975</wp:posOffset>
            </wp:positionH>
            <wp:positionV relativeFrom="paragraph">
              <wp:posOffset>-185420</wp:posOffset>
            </wp:positionV>
            <wp:extent cx="40944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40944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8248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96" w:lineRule="exact"/>
        <w:rPr>
          <w:rFonts w:ascii="Times New Roman" w:cs="Times New Roman" w:eastAsia="Times New Roman" w:hAnsi="Times New Roman"/>
          <w:sz w:val="18"/>
          <w:szCs w:val="18"/>
          <w:u w:val="single" w:color="auto"/>
          <w:color w:val="0000FF"/>
        </w:rPr>
      </w:pPr>
    </w:p>
    <w:p>
      <w:pPr>
        <w:ind w:left="960" w:right="460" w:hanging="658"/>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310">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310">
        <w:r>
          <w:rPr>
            <w:rFonts w:ascii="Times New Roman" w:cs="Times New Roman" w:eastAsia="Times New Roman" w:hAnsi="Times New Roman"/>
            <w:sz w:val="18"/>
            <w:szCs w:val="18"/>
            <w:u w:val="single" w:color="auto"/>
            <w:color w:val="0000FF"/>
          </w:rPr>
          <w:t>Amended and Restated Bylaws of the Company, as amended by the First</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Amendment to the Amended and Restated Bylaws.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194945</wp:posOffset>
            </wp:positionH>
            <wp:positionV relativeFrom="paragraph">
              <wp:posOffset>-185420</wp:posOffset>
            </wp:positionV>
            <wp:extent cx="37776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777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23387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96" w:lineRule="exact"/>
        <w:rPr>
          <w:rFonts w:ascii="Times New Roman" w:cs="Times New Roman" w:eastAsia="Times New Roman" w:hAnsi="Times New Roman"/>
          <w:sz w:val="18"/>
          <w:szCs w:val="18"/>
          <w:u w:val="single" w:color="auto"/>
          <w:color w:val="0000FF"/>
        </w:rPr>
      </w:pPr>
    </w:p>
    <w:p>
      <w:pPr>
        <w:ind w:left="300"/>
        <w:spacing w:after="0"/>
        <w:tabs>
          <w:tab w:leader="none" w:pos="940" w:val="left"/>
        </w:tabs>
        <w:rPr>
          <w:rFonts w:ascii="Times New Roman" w:cs="Times New Roman" w:eastAsia="Times New Roman" w:hAnsi="Times New Roman"/>
          <w:sz w:val="18"/>
          <w:szCs w:val="18"/>
          <w:u w:val="single" w:color="auto"/>
          <w:color w:val="0000FF"/>
        </w:rPr>
      </w:pPr>
      <w:hyperlink r:id="rId313">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313">
        <w:r>
          <w:rPr>
            <w:rFonts w:ascii="Times New Roman" w:cs="Times New Roman" w:eastAsia="Times New Roman" w:hAnsi="Times New Roman"/>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20720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259" w:lineRule="exact"/>
        <w:rPr>
          <w:sz w:val="20"/>
          <w:szCs w:val="20"/>
          <w:color w:val="auto"/>
        </w:rPr>
      </w:pPr>
    </w:p>
    <w:p>
      <w:pPr>
        <w:ind w:left="960" w:right="260" w:hanging="703"/>
        <w:spacing w:after="0" w:line="266"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-313055</wp:posOffset>
            </wp:positionV>
            <wp:extent cx="38557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38557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-175895</wp:posOffset>
            </wp:positionV>
            <wp:extent cx="34874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34874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-38735</wp:posOffset>
            </wp:positionV>
            <wp:extent cx="13328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11/20/2009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70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05/9/2013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59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333-160634</w:t>
            </w: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10/2/2009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139" w:lineRule="exact"/>
        <w:rPr>
          <w:sz w:val="20"/>
          <w:szCs w:val="20"/>
          <w:color w:val="auto"/>
        </w:rPr>
      </w:pPr>
    </w:p>
    <w:p>
      <w:pPr>
        <w:sectPr>
          <w:pgSz w:w="11900" w:h="16838" w:orient="portrait"/>
          <w:cols w:equalWidth="0" w:num="2">
            <w:col w:w="6680" w:space="480"/>
            <w:col w:w="4080"/>
          </w:cols>
          <w:pgMar w:left="320" w:top="756" w:right="33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17"/>
                <w:szCs w:val="17"/>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488"/>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101.INS</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34"/>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486"/>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101.CAL</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86"/>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101.LAB</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486"/>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101.PRE</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86"/>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101.DEF</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252" w:lineRule="exact"/>
        <w:rPr>
          <w:sz w:val="20"/>
          <w:szCs w:val="20"/>
          <w:color w:val="auto"/>
        </w:rPr>
      </w:pPr>
    </w:p>
    <w:p>
      <w:pPr>
        <w:ind w:left="960" w:right="4560" w:hanging="675"/>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i w:val="1"/>
          <w:iCs w:val="1"/>
          <w:color w:val="auto"/>
        </w:rPr>
        <w:t>ADDUS HOMECARE CORPORATION</w:t>
      </w:r>
    </w:p>
    <w:p>
      <w:pPr>
        <w:spacing w:after="0" w:line="333" w:lineRule="exact"/>
        <w:rPr>
          <w:sz w:val="20"/>
          <w:szCs w:val="20"/>
          <w:color w:val="auto"/>
        </w:rPr>
      </w:pPr>
    </w:p>
    <w:p>
      <w:pPr>
        <w:ind w:left="20"/>
        <w:spacing w:after="0"/>
        <w:tabs>
          <w:tab w:leader="none" w:pos="5640" w:val="left"/>
          <w:tab w:leader="none" w:pos="7880" w:val="left"/>
        </w:tabs>
        <w:rPr>
          <w:sz w:val="20"/>
          <w:szCs w:val="20"/>
          <w:color w:val="auto"/>
        </w:rPr>
      </w:pPr>
      <w:r>
        <w:rPr>
          <w:rFonts w:ascii="Times New Roman" w:cs="Times New Roman" w:eastAsia="Times New Roman" w:hAnsi="Times New Roman"/>
          <w:sz w:val="16"/>
          <w:szCs w:val="16"/>
          <w:color w:val="auto"/>
        </w:rPr>
        <w:t>Date: May 7,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32492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3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R. Dirk Allison</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Executive Officer)</w:t>
      </w:r>
    </w:p>
    <w:p>
      <w:pPr>
        <w:spacing w:after="0" w:line="335" w:lineRule="exact"/>
        <w:rPr>
          <w:sz w:val="20"/>
          <w:szCs w:val="20"/>
          <w:color w:val="auto"/>
        </w:rPr>
      </w:pPr>
    </w:p>
    <w:p>
      <w:pPr>
        <w:ind w:left="20"/>
        <w:spacing w:after="0"/>
        <w:tabs>
          <w:tab w:leader="none" w:pos="5640" w:val="left"/>
          <w:tab w:leader="none" w:pos="8080" w:val="left"/>
        </w:tabs>
        <w:rPr>
          <w:sz w:val="20"/>
          <w:szCs w:val="20"/>
          <w:color w:val="auto"/>
        </w:rPr>
      </w:pPr>
      <w:r>
        <w:rPr>
          <w:rFonts w:ascii="Times New Roman" w:cs="Times New Roman" w:eastAsia="Times New Roman" w:hAnsi="Times New Roman"/>
          <w:sz w:val="16"/>
          <w:szCs w:val="16"/>
          <w:color w:val="auto"/>
        </w:rPr>
        <w:t>Date: May 7,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20320</wp:posOffset>
            </wp:positionV>
            <wp:extent cx="32492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30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Brian Poff</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Financial Officer)</w:t>
      </w:r>
    </w:p>
    <w:p>
      <w:pPr>
        <w:spacing w:after="0" w:line="200" w:lineRule="exact"/>
        <w:rPr>
          <w:sz w:val="20"/>
          <w:szCs w:val="20"/>
          <w:color w:val="auto"/>
        </w:rPr>
      </w:pP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17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jc w:val="both"/>
        <w:ind w:right="260" w:firstLine="8"/>
        <w:spacing w:after="0" w:line="312" w:lineRule="auto"/>
        <w:tabs>
          <w:tab w:leader="none" w:pos="50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220" w:firstLine="8"/>
        <w:spacing w:after="0" w:line="282" w:lineRule="auto"/>
        <w:tabs>
          <w:tab w:leader="none" w:pos="5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8"/>
        <w:spacing w:after="0" w:line="266" w:lineRule="auto"/>
        <w:tabs>
          <w:tab w:leader="none" w:pos="5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right="220" w:firstLine="8"/>
        <w:spacing w:after="0" w:line="282" w:lineRule="auto"/>
        <w:tabs>
          <w:tab w:leader="none" w:pos="5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6"/>
          <w:szCs w:val="16"/>
          <w:color w:val="auto"/>
        </w:rPr>
        <w:t>Date: May 7, 2024</w:t>
      </w:r>
      <w:r>
        <w:rPr>
          <w:sz w:val="20"/>
          <w:szCs w:val="20"/>
          <w:color w:val="auto"/>
        </w:rPr>
        <w:tab/>
      </w:r>
      <w:r>
        <w:rPr>
          <w:rFonts w:ascii="Times New Roman" w:cs="Times New Roman" w:eastAsia="Times New Roman" w:hAnsi="Times New Roman"/>
          <w:sz w:val="16"/>
          <w:szCs w:val="16"/>
          <w:color w:val="auto"/>
        </w:rPr>
        <w:t>By:  /s/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R. Dirk Allison</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17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6"/>
          <w:szCs w:val="16"/>
          <w:color w:val="auto"/>
        </w:rPr>
        <w:t>Date: May 7, 2024</w:t>
      </w:r>
      <w:r>
        <w:rPr>
          <w:sz w:val="20"/>
          <w:szCs w:val="20"/>
          <w:color w:val="auto"/>
        </w:rPr>
        <w:tab/>
      </w:r>
      <w:r>
        <w:rPr>
          <w:rFonts w:ascii="Times New Roman" w:cs="Times New Roman" w:eastAsia="Times New Roman" w:hAnsi="Times New Roman"/>
          <w:sz w:val="16"/>
          <w:szCs w:val="16"/>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Brian Poff</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2024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7, 2024</w:t>
            </w:r>
          </w:p>
        </w:tc>
        <w:tc>
          <w:tcPr>
            <w:tcW w:w="7860" w:type="dxa"/>
            <w:vAlign w:val="bottom"/>
            <w:gridSpan w:val="2"/>
          </w:tcPr>
          <w:p>
            <w:pPr>
              <w:ind w:left="214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251"/>
        </w:trPr>
        <w:tc>
          <w:tcPr>
            <w:tcW w:w="33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70"/>
        </w:trPr>
        <w:tc>
          <w:tcPr>
            <w:tcW w:w="33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74"/>
        </w:trPr>
        <w:tc>
          <w:tcPr>
            <w:tcW w:w="33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2024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7, 2024</w:t>
            </w:r>
          </w:p>
        </w:tc>
        <w:tc>
          <w:tcPr>
            <w:tcW w:w="7860" w:type="dxa"/>
            <w:vAlign w:val="bottom"/>
            <w:gridSpan w:val="2"/>
          </w:tcPr>
          <w:p>
            <w:pPr>
              <w:ind w:left="214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251"/>
        </w:trPr>
        <w:tc>
          <w:tcPr>
            <w:tcW w:w="33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Brian Poff</w:t>
            </w:r>
          </w:p>
        </w:tc>
      </w:tr>
      <w:tr>
        <w:trPr>
          <w:trHeight w:val="270"/>
        </w:trPr>
        <w:tc>
          <w:tcPr>
            <w:tcW w:w="33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4"/>
        </w:trPr>
        <w:tc>
          <w:tcPr>
            <w:tcW w:w="33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decimal"/>
      <w:start w:val="1"/>
    </w:lvl>
  </w:abstractNum>
  <w:abstractNum w:abstractNumId="3">
    <w:nsid w:val="216231B"/>
    <w:multiLevelType w:val="hybridMultilevel"/>
    <w:lvl w:ilvl="0">
      <w:lvlJc w:val="left"/>
      <w:lvlText w:val="%1."/>
      <w:numFmt w:val="decimal"/>
      <w:start w:val="6"/>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07" Type="http://schemas.openxmlformats.org/officeDocument/2006/relationships/hyperlink" Target="https://www.sec.gov/Archives/edgar/data/1468328/000119312509238641/dex31.htm" TargetMode="External"/><Relationship Id="rId310" Type="http://schemas.openxmlformats.org/officeDocument/2006/relationships/hyperlink" Target="https://www.sec.gov/Archives/edgar/data/1468328/000119312513211165/d535575dex32.htm" TargetMode="External"/><Relationship Id="rId313" Type="http://schemas.openxmlformats.org/officeDocument/2006/relationships/hyperlink" Target="https://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2024-05-07T16:05:23Z</dcterms:created>
  <dcterms:modified xsi:type="dcterms:W3CDTF">2024-05-07T16:05:23Z</dcterms:modified>
</cp:coreProperties>
</file>