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115570</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144145</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400"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4"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9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001-34504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-285750</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133350</wp:posOffset>
            </wp:positionV>
            <wp:extent cx="925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12" w:lineRule="exact"/>
        <w:rPr>
          <w:sz w:val="24"/>
          <w:szCs w:val="24"/>
          <w:color w:val="auto"/>
        </w:rPr>
      </w:pPr>
    </w:p>
    <w:tbl>
      <w:tblPr>
        <w:tblLayout w:type="fixed"/>
        <w:tblInd w:w="1340" w:type="dxa"/>
        <w:tblCellMar>
          <w:top w:w="0" w:type="dxa"/>
          <w:left w:w="0" w:type="dxa"/>
          <w:bottom w:w="0" w:type="dxa"/>
          <w:right w:w="0" w:type="dxa"/>
        </w:tblCellMar>
      </w:tblPr>
      <w:tr>
        <w:trPr>
          <w:trHeight w:val="216"/>
        </w:trPr>
        <w:tc>
          <w:tcPr>
            <w:tcW w:w="47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20-5340172</w:t>
            </w:r>
          </w:p>
        </w:tc>
      </w:tr>
      <w:tr>
        <w:trPr>
          <w:trHeight w:val="189"/>
        </w:trPr>
        <w:tc>
          <w:tcPr>
            <w:tcW w:w="4720" w:type="dxa"/>
            <w:vAlign w:val="bottom"/>
          </w:tcPr>
          <w:p>
            <w:pPr>
              <w:jc w:val="center"/>
              <w:ind w:right="1630"/>
              <w:spacing w:after="0" w:line="189" w:lineRule="exact"/>
              <w:rPr>
                <w:sz w:val="20"/>
                <w:szCs w:val="20"/>
                <w:color w:val="auto"/>
              </w:rPr>
            </w:pPr>
            <w:r>
              <w:rPr>
                <w:rFonts w:ascii="Arial" w:cs="Arial" w:eastAsia="Arial" w:hAnsi="Arial"/>
                <w:sz w:val="18"/>
                <w:szCs w:val="18"/>
                <w:b w:val="1"/>
                <w:bCs w:val="1"/>
                <w:color w:val="auto"/>
                <w:w w:val="90"/>
              </w:rPr>
              <w:t>(State or other jurisdiction of</w:t>
            </w:r>
          </w:p>
        </w:tc>
        <w:tc>
          <w:tcPr>
            <w:tcW w:w="3160" w:type="dxa"/>
            <w:vAlign w:val="bottom"/>
          </w:tcPr>
          <w:p>
            <w:pPr>
              <w:jc w:val="center"/>
              <w:ind w:left="1650"/>
              <w:spacing w:after="0" w:line="189"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6303 Cowboys Way, Suite 600</w:t>
            </w:r>
          </w:p>
        </w:tc>
        <w:tc>
          <w:tcPr>
            <w:tcW w:w="3160" w:type="dxa"/>
            <w:vAlign w:val="bottom"/>
          </w:tcPr>
          <w:p>
            <w:pPr>
              <w:spacing w:after="0"/>
              <w:rPr>
                <w:sz w:val="24"/>
                <w:szCs w:val="24"/>
                <w:color w:val="auto"/>
              </w:rPr>
            </w:pPr>
          </w:p>
        </w:tc>
      </w:tr>
      <w:tr>
        <w:trPr>
          <w:trHeight w:val="216"/>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4"/>
              </w:rPr>
              <w:t>Frisco, TX</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75034</w:t>
            </w:r>
          </w:p>
        </w:tc>
      </w:tr>
      <w:tr>
        <w:trPr>
          <w:trHeight w:val="223"/>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ind w:left="5060"/>
        <w:spacing w:after="0" w:line="219" w:lineRule="auto"/>
        <w:rPr>
          <w:sz w:val="20"/>
          <w:szCs w:val="20"/>
          <w:color w:val="auto"/>
        </w:rPr>
      </w:pPr>
      <w:r>
        <w:rPr>
          <w:rFonts w:ascii="Arial" w:cs="Arial" w:eastAsia="Arial" w:hAnsi="Arial"/>
          <w:sz w:val="18"/>
          <w:szCs w:val="18"/>
          <w:b w:val="1"/>
          <w:bCs w:val="1"/>
          <w:color w:val="auto"/>
        </w:rPr>
        <w:t>(469) 535-8200</w:t>
      </w:r>
    </w:p>
    <w:p>
      <w:pPr>
        <w:ind w:left="38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52"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20" w:type="dxa"/>
            <w:vAlign w:val="bottom"/>
          </w:tcPr>
          <w:p>
            <w:pPr>
              <w:spacing w:after="0"/>
              <w:rPr>
                <w:sz w:val="17"/>
                <w:szCs w:val="17"/>
                <w:color w:val="auto"/>
              </w:rPr>
            </w:pPr>
          </w:p>
        </w:tc>
        <w:tc>
          <w:tcPr>
            <w:tcW w:w="3980" w:type="dxa"/>
            <w:vAlign w:val="bottom"/>
            <w:gridSpan w:val="2"/>
          </w:tcPr>
          <w:p>
            <w:pPr>
              <w:ind w:left="40"/>
              <w:spacing w:after="0"/>
              <w:rPr>
                <w:sz w:val="20"/>
                <w:szCs w:val="20"/>
                <w:color w:val="auto"/>
              </w:rPr>
            </w:pPr>
            <w:r>
              <w:rPr>
                <w:rFonts w:ascii="Arial" w:cs="Arial" w:eastAsia="Arial" w:hAnsi="Arial"/>
                <w:sz w:val="16"/>
                <w:szCs w:val="16"/>
                <w:color w:val="auto"/>
                <w:w w:val="96"/>
              </w:rPr>
              <w:t>Securities registered pursuant to Section 12(b) of the Act:</w:t>
            </w:r>
          </w:p>
        </w:tc>
        <w:tc>
          <w:tcPr>
            <w:tcW w:w="3540" w:type="dxa"/>
            <w:vAlign w:val="bottom"/>
          </w:tcPr>
          <w:p>
            <w:pPr>
              <w:spacing w:after="0"/>
              <w:rPr>
                <w:sz w:val="17"/>
                <w:szCs w:val="17"/>
                <w:color w:val="auto"/>
              </w:rPr>
            </w:pPr>
          </w:p>
        </w:tc>
      </w:tr>
      <w:tr>
        <w:trPr>
          <w:trHeight w:val="158"/>
        </w:trPr>
        <w:tc>
          <w:tcPr>
            <w:tcW w:w="372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r>
      <w:tr>
        <w:trPr>
          <w:trHeight w:val="196"/>
        </w:trPr>
        <w:tc>
          <w:tcPr>
            <w:tcW w:w="372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Arial" w:cs="Arial" w:eastAsia="Arial" w:hAnsi="Arial"/>
                <w:sz w:val="16"/>
                <w:szCs w:val="16"/>
                <w:color w:val="auto"/>
                <w:w w:val="90"/>
              </w:rPr>
              <w:t>Title of each class</w:t>
            </w:r>
          </w:p>
        </w:tc>
        <w:tc>
          <w:tcPr>
            <w:tcW w:w="37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6"/>
                <w:szCs w:val="16"/>
                <w:color w:val="auto"/>
                <w:w w:val="93"/>
              </w:rPr>
              <w:t>Trading Symbol(s)</w:t>
            </w:r>
          </w:p>
        </w:tc>
        <w:tc>
          <w:tcPr>
            <w:tcW w:w="260" w:type="dxa"/>
            <w:vAlign w:val="bottom"/>
            <w:tcBorders>
              <w:bottom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jc w:val="center"/>
              <w:ind w:right="199"/>
              <w:spacing w:after="0" w:line="176" w:lineRule="exact"/>
              <w:rPr>
                <w:sz w:val="20"/>
                <w:szCs w:val="20"/>
                <w:color w:val="auto"/>
              </w:rPr>
            </w:pPr>
            <w:r>
              <w:rPr>
                <w:rFonts w:ascii="Arial" w:cs="Arial" w:eastAsia="Arial" w:hAnsi="Arial"/>
                <w:sz w:val="16"/>
                <w:szCs w:val="16"/>
                <w:color w:val="auto"/>
                <w:w w:val="90"/>
              </w:rPr>
              <w:t>Name of each exchange on which registered</w:t>
            </w:r>
          </w:p>
        </w:tc>
      </w:tr>
      <w:tr>
        <w:trPr>
          <w:trHeight w:val="179"/>
        </w:trPr>
        <w:tc>
          <w:tcPr>
            <w:tcW w:w="372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1"/>
              </w:rPr>
              <w:t>Common Stock, $0.001 par value</w:t>
            </w:r>
          </w:p>
        </w:tc>
        <w:tc>
          <w:tcPr>
            <w:tcW w:w="37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rPr>
              <w:t>ADUS</w:t>
            </w:r>
          </w:p>
        </w:tc>
        <w:tc>
          <w:tcPr>
            <w:tcW w:w="260" w:type="dxa"/>
            <w:vAlign w:val="bottom"/>
            <w:tcBorders>
              <w:bottom w:val="single" w:sz="8" w:color="auto"/>
            </w:tcBorders>
          </w:tcPr>
          <w:p>
            <w:pPr>
              <w:spacing w:after="0"/>
              <w:rPr>
                <w:sz w:val="15"/>
                <w:szCs w:val="15"/>
                <w:color w:val="auto"/>
              </w:rPr>
            </w:pPr>
          </w:p>
        </w:tc>
        <w:tc>
          <w:tcPr>
            <w:tcW w:w="3540" w:type="dxa"/>
            <w:vAlign w:val="bottom"/>
            <w:tcBorders>
              <w:bottom w:val="single" w:sz="8" w:color="auto"/>
              <w:right w:val="single" w:sz="8" w:color="auto"/>
            </w:tcBorders>
          </w:tcPr>
          <w:p>
            <w:pPr>
              <w:jc w:val="center"/>
              <w:ind w:right="199"/>
              <w:spacing w:after="0" w:line="179" w:lineRule="exact"/>
              <w:rPr>
                <w:sz w:val="20"/>
                <w:szCs w:val="20"/>
                <w:color w:val="auto"/>
              </w:rPr>
            </w:pPr>
            <w:r>
              <w:rPr>
                <w:rFonts w:ascii="Arial" w:cs="Arial" w:eastAsia="Arial" w:hAnsi="Arial"/>
                <w:sz w:val="16"/>
                <w:szCs w:val="16"/>
                <w:color w:val="auto"/>
                <w:w w:val="93"/>
              </w:rPr>
              <w:t>The Nasdaq Global Market</w:t>
            </w:r>
          </w:p>
        </w:tc>
      </w:tr>
    </w:tbl>
    <w:p>
      <w:pPr>
        <w:spacing w:after="0" w:line="242" w:lineRule="exact"/>
        <w:rPr>
          <w:sz w:val="24"/>
          <w:szCs w:val="24"/>
          <w:color w:val="auto"/>
        </w:rPr>
      </w:pPr>
    </w:p>
    <w:p>
      <w:pPr>
        <w:ind w:right="60" w:firstLine="509"/>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509"/>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20" w:firstLine="509"/>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90" w:lineRule="exact"/>
        <w:rPr>
          <w:sz w:val="24"/>
          <w:szCs w:val="24"/>
          <w:color w:val="auto"/>
        </w:rPr>
      </w:pPr>
    </w:p>
    <w:p>
      <w:pPr>
        <w:jc w:val="both"/>
        <w:ind w:firstLine="509"/>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right="1300"/>
        <w:spacing w:after="0" w:line="22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25, 2022, Addus HomeCare Corporation had 16,110,364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80" w:type="dxa"/>
            <w:vAlign w:val="bottom"/>
            <w:gridSpan w:val="19"/>
          </w:tcPr>
          <w:p>
            <w:pPr>
              <w:spacing w:after="0"/>
              <w:rPr>
                <w:sz w:val="20"/>
                <w:szCs w:val="20"/>
                <w:color w:val="auto"/>
              </w:rPr>
            </w:pPr>
            <w:r>
              <w:rPr>
                <w:rFonts w:ascii="Arial" w:cs="Arial" w:eastAsia="Arial" w:hAnsi="Arial"/>
                <w:sz w:val="18"/>
                <w:szCs w:val="18"/>
                <w:b w:val="1"/>
                <w:bCs w:val="1"/>
                <w:color w:val="0563C1"/>
              </w:rPr>
              <w:t>Table of Contents</w:t>
            </w:r>
          </w:p>
        </w:tc>
        <w:tc>
          <w:tcPr>
            <w:tcW w:w="1060" w:type="dxa"/>
            <w:vAlign w:val="bottom"/>
          </w:tcPr>
          <w:p>
            <w:pPr>
              <w:spacing w:after="0"/>
              <w:rPr>
                <w:sz w:val="17"/>
                <w:szCs w:val="17"/>
                <w:color w:val="auto"/>
              </w:rPr>
            </w:pPr>
          </w:p>
        </w:tc>
      </w:tr>
      <w:tr>
        <w:trPr>
          <w:trHeight w:val="439"/>
        </w:trPr>
        <w:tc>
          <w:tcPr>
            <w:tcW w:w="18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8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ADDUS HOMECARE CORPORATION</w:t>
            </w:r>
          </w:p>
        </w:tc>
        <w:tc>
          <w:tcPr>
            <w:tcW w:w="1060" w:type="dxa"/>
            <w:vAlign w:val="bottom"/>
          </w:tcPr>
          <w:p>
            <w:pPr>
              <w:spacing w:after="0"/>
              <w:rPr>
                <w:sz w:val="24"/>
                <w:szCs w:val="24"/>
                <w:color w:val="auto"/>
              </w:rPr>
            </w:pPr>
          </w:p>
        </w:tc>
      </w:tr>
      <w:tr>
        <w:trPr>
          <w:trHeight w:val="364"/>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20" w:type="dxa"/>
            <w:vAlign w:val="bottom"/>
            <w:gridSpan w:val="6"/>
          </w:tcPr>
          <w:p>
            <w:pPr>
              <w:jc w:val="center"/>
              <w:ind w:right="3780"/>
              <w:spacing w:after="0"/>
              <w:rPr>
                <w:sz w:val="20"/>
                <w:szCs w:val="20"/>
                <w:color w:val="auto"/>
              </w:rPr>
            </w:pPr>
            <w:r>
              <w:rPr>
                <w:rFonts w:ascii="Arial" w:cs="Arial" w:eastAsia="Arial" w:hAnsi="Arial"/>
                <w:sz w:val="18"/>
                <w:szCs w:val="18"/>
                <w:b w:val="1"/>
                <w:bCs w:val="1"/>
                <w:color w:val="auto"/>
                <w:w w:val="99"/>
              </w:rPr>
              <w:t>FORM 10-Q</w:t>
            </w:r>
          </w:p>
        </w:tc>
        <w:tc>
          <w:tcPr>
            <w:tcW w:w="106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320" w:type="dxa"/>
            <w:vAlign w:val="bottom"/>
            <w:gridSpan w:val="6"/>
          </w:tcPr>
          <w:p>
            <w:pPr>
              <w:jc w:val="center"/>
              <w:ind w:right="378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10000" w:type="dxa"/>
            <w:vAlign w:val="bottom"/>
            <w:gridSpan w:val="18"/>
          </w:tcPr>
          <w:p>
            <w:pPr>
              <w:spacing w:after="0"/>
              <w:rPr>
                <w:sz w:val="20"/>
                <w:szCs w:val="20"/>
                <w:color w:val="auto"/>
              </w:rPr>
            </w:pPr>
            <w:r>
              <w:rPr>
                <w:rFonts w:ascii="Arial" w:cs="Arial" w:eastAsia="Arial" w:hAnsi="Arial"/>
                <w:sz w:val="18"/>
                <w:szCs w:val="18"/>
                <w:color w:val="0000FF"/>
              </w:rPr>
              <w:t>PART I. FINANCIAL INFORMATION</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1. Financial Statements (Unaudited)</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 as of September 30, 2022 and December 31, 2021</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w w:val="98"/>
              </w:rPr>
              <w:t>Condensed Consolidated Statements of Income For the Three and Nine Months Ended September 30, 2022 and 2021</w:t>
            </w: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w w:val="89"/>
              </w:rPr>
              <w:t>Condensed Consolidated Statement of Stockholders’ Equity For the Three and Nine Months Ended September 30, 2022 and 2021</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2022 and 2021</w:t>
            </w: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780" w:type="dxa"/>
            <w:vAlign w:val="bottom"/>
            <w:tcBorders>
              <w:left w:val="single" w:sz="8" w:color="0000FF"/>
            </w:tcBorders>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4. Controls and Procedures</w:t>
            </w: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520" w:type="dxa"/>
            <w:vAlign w:val="bottom"/>
            <w:tcBorders>
              <w:right w:val="single" w:sz="8" w:color="0000EE"/>
            </w:tcBorders>
            <w:gridSpan w:val="2"/>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25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PART II. OTHER INFORMATION</w:t>
            </w:r>
          </w:p>
        </w:tc>
        <w:tc>
          <w:tcPr>
            <w:tcW w:w="7420" w:type="dxa"/>
            <w:vAlign w:val="bottom"/>
            <w:gridSpan w:val="11"/>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1. Legal Proceedings</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1A. Risk Factors</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3. Defaults Upon Senior Securities</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4. Mine Safety Disclosures</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5. Other Information</w:t>
            </w: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0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60" w:type="dxa"/>
            <w:vAlign w:val="bottom"/>
            <w:gridSpan w:val="17"/>
          </w:tcPr>
          <w:p>
            <w:pPr>
              <w:spacing w:after="0"/>
              <w:rPr>
                <w:sz w:val="20"/>
                <w:szCs w:val="20"/>
                <w:color w:val="auto"/>
              </w:rPr>
            </w:pPr>
            <w:r>
              <w:rPr>
                <w:rFonts w:ascii="Arial" w:cs="Arial" w:eastAsia="Arial" w:hAnsi="Arial"/>
                <w:sz w:val="18"/>
                <w:szCs w:val="18"/>
                <w:color w:val="0000FF"/>
              </w:rPr>
              <w:t>Item 6. Exhibits</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635"/>
        </w:trPr>
        <w:tc>
          <w:tcPr>
            <w:tcW w:w="520" w:type="dxa"/>
            <w:vAlign w:val="bottom"/>
            <w:gridSpan w:val="2"/>
          </w:tcPr>
          <w:p>
            <w:pPr>
              <w:spacing w:after="0"/>
              <w:rPr>
                <w:sz w:val="24"/>
                <w:szCs w:val="24"/>
                <w:color w:val="auto"/>
              </w:rPr>
            </w:pPr>
          </w:p>
        </w:tc>
        <w:tc>
          <w:tcPr>
            <w:tcW w:w="1140" w:type="dxa"/>
            <w:vAlign w:val="bottom"/>
            <w:tcBorders>
              <w:top w:val="single" w:sz="8" w:color="0000FF"/>
            </w:tcBorders>
            <w:gridSpan w:val="3"/>
          </w:tcPr>
          <w:p>
            <w:pPr>
              <w:spacing w:after="0"/>
              <w:rPr>
                <w:sz w:val="24"/>
                <w:szCs w:val="24"/>
                <w:color w:val="auto"/>
              </w:rPr>
            </w:pPr>
          </w:p>
        </w:tc>
        <w:tc>
          <w:tcPr>
            <w:tcW w:w="5800" w:type="dxa"/>
            <w:vAlign w:val="bottom"/>
            <w:gridSpan w:val="10"/>
          </w:tcPr>
          <w:p>
            <w:pPr>
              <w:jc w:val="center"/>
              <w:ind w:left="2039"/>
              <w:spacing w:after="0"/>
              <w:rPr>
                <w:sz w:val="20"/>
                <w:szCs w:val="20"/>
                <w:color w:val="auto"/>
              </w:rPr>
            </w:pPr>
            <w:r>
              <w:rPr>
                <w:rFonts w:ascii="Arial" w:cs="Arial" w:eastAsia="Arial" w:hAnsi="Arial"/>
                <w:sz w:val="16"/>
                <w:szCs w:val="16"/>
                <w:color w:val="auto"/>
                <w:w w:val="89"/>
              </w:rPr>
              <w:t>2</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21"/>
        </w:trPr>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2022 and December 31,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6"/>
              </w:rPr>
              <w:t>September 30, 2022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6"/>
              </w:rPr>
              <w:t>December 31, 2021</w:t>
            </w:r>
          </w:p>
        </w:tc>
      </w:tr>
      <w:tr>
        <w:trPr>
          <w:trHeight w:val="209"/>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105,644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168,895</w:t>
            </w:r>
          </w:p>
        </w:tc>
      </w:tr>
      <w:tr>
        <w:trPr>
          <w:trHeight w:val="216"/>
        </w:trPr>
        <w:tc>
          <w:tcPr>
            <w:tcW w:w="7520" w:type="dxa"/>
            <w:vAlign w:val="bottom"/>
          </w:tcPr>
          <w:p>
            <w:pPr>
              <w:ind w:left="200"/>
              <w:spacing w:after="0"/>
              <w:rPr>
                <w:sz w:val="20"/>
                <w:szCs w:val="20"/>
                <w:color w:val="auto"/>
              </w:rPr>
            </w:pPr>
            <w:r>
              <w:rPr>
                <w:rFonts w:ascii="Arial" w:cs="Arial" w:eastAsia="Arial" w:hAnsi="Arial"/>
                <w:sz w:val="18"/>
                <w:szCs w:val="18"/>
                <w:color w:val="auto"/>
              </w:rPr>
              <w:t>Accounts receivable, net of allowances for credit losses</w:t>
            </w:r>
          </w:p>
        </w:tc>
        <w:tc>
          <w:tcPr>
            <w:tcW w:w="180" w:type="dxa"/>
            <w:vAlign w:val="bottom"/>
          </w:tcPr>
          <w:p>
            <w:pPr>
              <w:spacing w:after="0"/>
              <w:rPr>
                <w:sz w:val="18"/>
                <w:szCs w:val="18"/>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126,253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136,955</w:t>
            </w: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8,245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18,491</w:t>
            </w:r>
          </w:p>
        </w:tc>
      </w:tr>
      <w:tr>
        <w:trPr>
          <w:trHeight w:val="209"/>
        </w:trPr>
        <w:tc>
          <w:tcPr>
            <w:tcW w:w="75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240,142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324,341</w:t>
            </w:r>
          </w:p>
        </w:tc>
      </w:tr>
      <w:tr>
        <w:trPr>
          <w:trHeight w:val="210"/>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17,428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18,483</w:t>
            </w:r>
          </w:p>
        </w:tc>
      </w:tr>
      <w:tr>
        <w:trPr>
          <w:trHeight w:val="216"/>
        </w:trPr>
        <w:tc>
          <w:tcPr>
            <w:tcW w:w="75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575,205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504,392</w:t>
            </w:r>
          </w:p>
        </w:tc>
      </w:tr>
      <w:tr>
        <w:trPr>
          <w:trHeight w:val="216"/>
        </w:trPr>
        <w:tc>
          <w:tcPr>
            <w:tcW w:w="7520" w:type="dxa"/>
            <w:vAlign w:val="bottom"/>
          </w:tcPr>
          <w:p>
            <w:pPr>
              <w:ind w:left="200"/>
              <w:spacing w:after="0"/>
              <w:rPr>
                <w:sz w:val="20"/>
                <w:szCs w:val="20"/>
                <w:color w:val="auto"/>
              </w:rPr>
            </w:pPr>
            <w:r>
              <w:rPr>
                <w:rFonts w:ascii="Arial" w:cs="Arial" w:eastAsia="Arial" w:hAnsi="Arial"/>
                <w:sz w:val="18"/>
                <w:szCs w:val="18"/>
                <w:color w:val="auto"/>
              </w:rPr>
              <w:t>Intangibles, net of accumulated amortization</w:t>
            </w:r>
          </w:p>
        </w:tc>
        <w:tc>
          <w:tcPr>
            <w:tcW w:w="180" w:type="dxa"/>
            <w:vAlign w:val="bottom"/>
          </w:tcPr>
          <w:p>
            <w:pPr>
              <w:spacing w:after="0"/>
              <w:rPr>
                <w:sz w:val="18"/>
                <w:szCs w:val="18"/>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72,655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64,321</w:t>
            </w: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assets, net</w:t>
            </w: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40,503</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36,048</w:t>
            </w: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688,363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604,761</w:t>
            </w:r>
          </w:p>
        </w:tc>
      </w:tr>
      <w:tr>
        <w:trPr>
          <w:trHeight w:val="249"/>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945,933</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947,585</w:t>
            </w:r>
          </w:p>
        </w:tc>
      </w:tr>
      <w:tr>
        <w:trPr>
          <w:trHeight w:val="197"/>
        </w:trPr>
        <w:tc>
          <w:tcPr>
            <w:tcW w:w="75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19,545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19,358</w:t>
            </w:r>
          </w:p>
        </w:tc>
      </w:tr>
      <w:tr>
        <w:trPr>
          <w:trHeight w:val="216"/>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payroll</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35,084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44,083</w:t>
            </w:r>
          </w:p>
        </w:tc>
      </w:tr>
      <w:tr>
        <w:trPr>
          <w:trHeight w:val="216"/>
        </w:trPr>
        <w:tc>
          <w:tcPr>
            <w:tcW w:w="75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39,557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37,077</w:t>
            </w:r>
          </w:p>
        </w:tc>
      </w:tr>
      <w:tr>
        <w:trPr>
          <w:trHeight w:val="216"/>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Government stimulus advances</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21,158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4,173</w:t>
            </w:r>
          </w:p>
        </w:tc>
      </w:tr>
      <w:tr>
        <w:trPr>
          <w:trHeight w:val="216"/>
        </w:trPr>
        <w:tc>
          <w:tcPr>
            <w:tcW w:w="752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Accrued workers' compensation insurance</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12,844</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12,998</w:t>
            </w:r>
          </w:p>
        </w:tc>
      </w:tr>
      <w:tr>
        <w:trPr>
          <w:trHeight w:val="210"/>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128,188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117,689</w:t>
            </w:r>
          </w:p>
        </w:tc>
      </w:tr>
      <w:tr>
        <w:trPr>
          <w:trHeight w:val="209"/>
        </w:trPr>
        <w:tc>
          <w:tcPr>
            <w:tcW w:w="752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debt, net of debt issuance costs</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163,557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220,912</w:t>
            </w:r>
          </w:p>
        </w:tc>
      </w:tr>
      <w:tr>
        <w:trPr>
          <w:trHeight w:val="216"/>
        </w:trPr>
        <w:tc>
          <w:tcPr>
            <w:tcW w:w="752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18"/>
                <w:szCs w:val="18"/>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37,168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32,859</w:t>
            </w: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2,183</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1,781</w:t>
            </w: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202,908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255,552</w:t>
            </w:r>
          </w:p>
        </w:tc>
      </w:tr>
      <w:tr>
        <w:trPr>
          <w:trHeight w:val="210"/>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331,096</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373,241</w:t>
            </w: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62"/>
        </w:trPr>
        <w:tc>
          <w:tcPr>
            <w:tcW w:w="75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stock—$.001 par value; 40,000 authorized and 16,090 and 15,940 shares</w:t>
            </w:r>
          </w:p>
        </w:tc>
        <w:tc>
          <w:tcPr>
            <w:tcW w:w="18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r>
      <w:tr>
        <w:trPr>
          <w:trHeight w:val="243"/>
        </w:trPr>
        <w:tc>
          <w:tcPr>
            <w:tcW w:w="75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issued and outstanding as of September 30, 2022 and December 31, 2021, respectively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r>
      <w:tr>
        <w:trPr>
          <w:trHeight w:val="216"/>
        </w:trPr>
        <w:tc>
          <w:tcPr>
            <w:tcW w:w="75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389,267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380,037</w:t>
            </w:r>
          </w:p>
        </w:tc>
      </w:tr>
      <w:tr>
        <w:trPr>
          <w:trHeight w:val="216"/>
        </w:trPr>
        <w:tc>
          <w:tcPr>
            <w:tcW w:w="7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225,554</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194,291</w:t>
            </w:r>
          </w:p>
        </w:tc>
      </w:tr>
      <w:tr>
        <w:trPr>
          <w:trHeight w:val="210"/>
        </w:trPr>
        <w:tc>
          <w:tcPr>
            <w:tcW w:w="75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614,837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574,344</w:t>
            </w:r>
          </w:p>
        </w:tc>
      </w:tr>
      <w:tr>
        <w:trPr>
          <w:trHeight w:val="250"/>
        </w:trPr>
        <w:tc>
          <w:tcPr>
            <w:tcW w:w="7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945,933</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947,585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-4105275</wp:posOffset>
            </wp:positionV>
            <wp:extent cx="11112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-3265170</wp:posOffset>
            </wp:positionV>
            <wp:extent cx="11112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-2973705</wp:posOffset>
            </wp:positionV>
            <wp:extent cx="11112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-2000885</wp:posOffset>
            </wp:positionV>
            <wp:extent cx="7132320"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0416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-1285240</wp:posOffset>
            </wp:positionV>
            <wp:extent cx="11112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-993775</wp:posOffset>
            </wp:positionV>
            <wp:extent cx="11112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-316865</wp:posOffset>
            </wp:positionV>
            <wp:extent cx="11112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2022 and 2021</w:t>
      </w:r>
    </w:p>
    <w:p>
      <w:pPr>
        <w:jc w:val="center"/>
        <w:spacing w:after="0" w:line="234" w:lineRule="auto"/>
        <w:rPr>
          <w:sz w:val="20"/>
          <w:szCs w:val="20"/>
          <w:color w:val="auto"/>
        </w:rPr>
      </w:pPr>
      <w:r>
        <w:rPr>
          <w:rFonts w:ascii="Arial" w:cs="Arial" w:eastAsia="Arial" w:hAnsi="Arial"/>
          <w:sz w:val="18"/>
          <w:szCs w:val="18"/>
          <w:b w:val="1"/>
          <w:bCs w:val="1"/>
          <w:color w:val="auto"/>
        </w:rPr>
        <w:t>(Amounts and Shares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For the Three Months</w:t>
            </w:r>
          </w:p>
        </w:tc>
        <w:tc>
          <w:tcPr>
            <w:tcW w:w="260" w:type="dxa"/>
            <w:vAlign w:val="bottom"/>
          </w:tcPr>
          <w:p>
            <w:pPr>
              <w:spacing w:after="0"/>
              <w:rPr>
                <w:sz w:val="16"/>
                <w:szCs w:val="16"/>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For the Nine Months</w:t>
            </w:r>
          </w:p>
        </w:tc>
      </w:tr>
      <w:tr>
        <w:trPr>
          <w:trHeight w:val="210"/>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Ended September 30,</w:t>
            </w:r>
          </w:p>
        </w:tc>
        <w:tc>
          <w:tcPr>
            <w:tcW w:w="260" w:type="dxa"/>
            <w:vAlign w:val="bottom"/>
          </w:tcPr>
          <w:p>
            <w:pPr>
              <w:spacing w:after="0"/>
              <w:rPr>
                <w:sz w:val="18"/>
                <w:szCs w:val="18"/>
                <w:color w:val="auto"/>
              </w:rPr>
            </w:pPr>
          </w:p>
        </w:tc>
        <w:tc>
          <w:tcPr>
            <w:tcW w:w="236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rPr>
              <w:t>Ended September 30,</w:t>
            </w:r>
          </w:p>
        </w:tc>
      </w:tr>
      <w:tr>
        <w:trPr>
          <w:trHeight w:val="202"/>
        </w:trPr>
        <w:tc>
          <w:tcPr>
            <w:tcW w:w="58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240,495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216,662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704,070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639,857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Cost of service revenues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165,310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442,804</w:t>
            </w:r>
          </w:p>
        </w:tc>
        <w:tc>
          <w:tcPr>
            <w:tcW w:w="100" w:type="dxa"/>
            <w:vAlign w:val="bottom"/>
          </w:tcPr>
          <w:p>
            <w:pPr>
              <w:spacing w:after="0"/>
              <w:rPr>
                <w:sz w:val="18"/>
                <w:szCs w:val="18"/>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67,046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220,970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197,053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46,280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162,476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139,881</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57,669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173,047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150,475</w:t>
            </w:r>
          </w:p>
        </w:tc>
        <w:tc>
          <w:tcPr>
            <w:tcW w:w="100" w:type="dxa"/>
            <w:vAlign w:val="bottom"/>
          </w:tcPr>
          <w:p>
            <w:pPr>
              <w:spacing w:after="0"/>
              <w:rPr>
                <w:sz w:val="18"/>
                <w:szCs w:val="18"/>
                <w:color w:val="auto"/>
              </w:rPr>
            </w:pPr>
          </w:p>
        </w:tc>
      </w:tr>
      <w:tr>
        <w:trPr>
          <w:trHeight w:val="21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(83 )</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(37 )</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(249 )</w:t>
            </w: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(90 )</w:t>
            </w: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42,576</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Pr>
          <w:p>
            <w:pPr>
              <w:spacing w:after="0"/>
              <w:rPr>
                <w:sz w:val="18"/>
                <w:szCs w:val="18"/>
                <w:color w:val="auto"/>
              </w:rPr>
            </w:pPr>
          </w:p>
        </w:tc>
      </w:tr>
      <w:tr>
        <w:trPr>
          <w:trHeight w:val="250"/>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11,543</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820" w:type="dxa"/>
            <w:vAlign w:val="bottom"/>
          </w:tcPr>
          <w:p>
            <w:pPr>
              <w:ind w:left="20"/>
              <w:spacing w:after="0" w:line="196" w:lineRule="exact"/>
              <w:rPr>
                <w:sz w:val="20"/>
                <w:szCs w:val="20"/>
                <w:color w:val="auto"/>
              </w:rPr>
            </w:pPr>
            <w:r>
              <w:rPr>
                <w:rFonts w:ascii="Arial" w:cs="Arial" w:eastAsia="Arial" w:hAnsi="Arial"/>
                <w:sz w:val="18"/>
                <w:szCs w:val="18"/>
                <w:color w:val="auto"/>
              </w:rPr>
              <w:t>Net income per common share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income per share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Diluted income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0.71</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r>
      <w:tr>
        <w:trPr>
          <w:trHeight w:val="175"/>
        </w:trPr>
        <w:tc>
          <w:tcPr>
            <w:tcW w:w="58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Weighted average number of common shares and potential common</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shares outstanding:</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15,846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15,727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-2116455</wp:posOffset>
            </wp:positionV>
            <wp:extent cx="7747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-2116455</wp:posOffset>
            </wp:positionV>
            <wp:extent cx="6858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-2116455</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-1824990</wp:posOffset>
            </wp:positionV>
            <wp:extent cx="7747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-1824990</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-1824990</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-1542415</wp:posOffset>
            </wp:positionV>
            <wp:extent cx="7747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-1542415</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-1542415</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-967740</wp:posOffset>
            </wp:positionV>
            <wp:extent cx="270891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08910" cy="16256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38"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For the Three and Nine Months Ended September 30, 2022</w:t>
      </w:r>
    </w:p>
    <w:p>
      <w:pPr>
        <w:jc w:val="center"/>
        <w:spacing w:after="0" w:line="234" w:lineRule="auto"/>
        <w:rPr>
          <w:sz w:val="20"/>
          <w:szCs w:val="20"/>
          <w:color w:val="auto"/>
        </w:rPr>
      </w:pPr>
      <w:r>
        <w:rPr>
          <w:rFonts w:ascii="Arial" w:cs="Arial" w:eastAsia="Arial" w:hAnsi="Arial"/>
          <w:sz w:val="18"/>
          <w:szCs w:val="18"/>
          <w:b w:val="1"/>
          <w:bCs w:val="1"/>
          <w:color w:val="auto"/>
        </w:rPr>
        <w:t>(Amounts and Shares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right"/>
        <w:ind w:right="1600"/>
        <w:spacing w:after="0"/>
        <w:rPr>
          <w:sz w:val="20"/>
          <w:szCs w:val="20"/>
          <w:color w:val="auto"/>
        </w:rPr>
      </w:pPr>
      <w:r>
        <w:rPr>
          <w:rFonts w:ascii="Arial" w:cs="Arial" w:eastAsia="Arial" w:hAnsi="Arial"/>
          <w:sz w:val="14"/>
          <w:szCs w:val="14"/>
          <w:b w:val="1"/>
          <w:bCs w:val="1"/>
          <w:color w:val="auto"/>
        </w:rPr>
        <w:t>For the Three Months Ended September 30, 2022</w:t>
      </w:r>
    </w:p>
    <w:p>
      <w:pPr>
        <w:spacing w:after="0" w:line="24" w:lineRule="exact"/>
        <w:rPr>
          <w:sz w:val="20"/>
          <w:szCs w:val="20"/>
          <w:color w:val="auto"/>
        </w:rPr>
      </w:pPr>
    </w:p>
    <w:tbl>
      <w:tblPr>
        <w:tblLayout w:type="fixed"/>
        <w:tblInd w:w="5120" w:type="dxa"/>
        <w:tblCellMar>
          <w:top w:w="0" w:type="dxa"/>
          <w:left w:w="0" w:type="dxa"/>
          <w:bottom w:w="0" w:type="dxa"/>
          <w:right w:w="0" w:type="dxa"/>
        </w:tblCellMar>
      </w:tblPr>
      <w:tr>
        <w:trPr>
          <w:trHeight w:val="133"/>
        </w:trPr>
        <w:tc>
          <w:tcPr>
            <w:tcW w:w="2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ind w:left="560"/>
              <w:spacing w:after="0" w:line="133" w:lineRule="exact"/>
              <w:rPr>
                <w:sz w:val="20"/>
                <w:szCs w:val="20"/>
                <w:color w:val="auto"/>
              </w:rPr>
            </w:pPr>
            <w:r>
              <w:rPr>
                <w:rFonts w:ascii="Arial" w:cs="Arial" w:eastAsia="Arial" w:hAnsi="Arial"/>
                <w:sz w:val="14"/>
                <w:szCs w:val="14"/>
                <w:b w:val="1"/>
                <w:bCs w:val="1"/>
                <w:color w:val="auto"/>
              </w:rPr>
              <w:t>Additional</w:t>
            </w:r>
          </w:p>
        </w:tc>
        <w:tc>
          <w:tcPr>
            <w:tcW w:w="10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left="88"/>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2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Common Stock</w:t>
            </w:r>
          </w:p>
        </w:tc>
        <w:tc>
          <w:tcPr>
            <w:tcW w:w="1500" w:type="dxa"/>
            <w:vAlign w:val="bottom"/>
          </w:tcPr>
          <w:p>
            <w:pPr>
              <w:ind w:left="680"/>
              <w:spacing w:after="0" w:line="158" w:lineRule="exact"/>
              <w:rPr>
                <w:sz w:val="20"/>
                <w:szCs w:val="20"/>
                <w:color w:val="auto"/>
              </w:rPr>
            </w:pPr>
            <w:r>
              <w:rPr>
                <w:rFonts w:ascii="Arial" w:cs="Arial" w:eastAsia="Arial" w:hAnsi="Arial"/>
                <w:sz w:val="14"/>
                <w:szCs w:val="14"/>
                <w:b w:val="1"/>
                <w:bCs w:val="1"/>
                <w:color w:val="auto"/>
              </w:rPr>
              <w:t>Paid-in</w:t>
            </w:r>
          </w:p>
        </w:tc>
        <w:tc>
          <w:tcPr>
            <w:tcW w:w="108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Retained</w:t>
            </w:r>
          </w:p>
        </w:tc>
        <w:tc>
          <w:tcPr>
            <w:tcW w:w="120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0"/>
        </w:trPr>
        <w:tc>
          <w:tcPr>
            <w:tcW w:w="2240" w:type="dxa"/>
            <w:vAlign w:val="bottom"/>
            <w:vMerge w:val="continue"/>
          </w:tcPr>
          <w:p>
            <w:pPr>
              <w:spacing w:after="0"/>
              <w:rPr>
                <w:sz w:val="16"/>
                <w:szCs w:val="16"/>
                <w:color w:val="auto"/>
              </w:rPr>
            </w:pPr>
          </w:p>
        </w:tc>
        <w:tc>
          <w:tcPr>
            <w:tcW w:w="1500" w:type="dxa"/>
            <w:vAlign w:val="bottom"/>
          </w:tcPr>
          <w:p>
            <w:pPr>
              <w:ind w:left="680"/>
              <w:spacing w:after="0"/>
              <w:rPr>
                <w:sz w:val="20"/>
                <w:szCs w:val="20"/>
                <w:color w:val="auto"/>
              </w:rPr>
            </w:pPr>
            <w:r>
              <w:rPr>
                <w:rFonts w:ascii="Arial" w:cs="Arial" w:eastAsia="Arial" w:hAnsi="Arial"/>
                <w:sz w:val="14"/>
                <w:szCs w:val="14"/>
                <w:b w:val="1"/>
                <w:bCs w:val="1"/>
                <w:color w:val="auto"/>
              </w:rPr>
              <w:t>Capital</w:t>
            </w:r>
          </w:p>
        </w:tc>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Earnings</w:t>
            </w:r>
          </w:p>
        </w:tc>
        <w:tc>
          <w:tcPr>
            <w:tcW w:w="120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-635</wp:posOffset>
            </wp:positionV>
            <wp:extent cx="38144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14445" cy="8890"/>
                    </a:xfrm>
                    <a:prstGeom prst="rect">
                      <a:avLst/>
                    </a:prstGeom>
                    <a:noFill/>
                  </pic:spPr>
                </pic:pic>
              </a:graphicData>
            </a:graphic>
          </wp:anchor>
        </w:drawing>
      </w:r>
    </w:p>
    <w:p>
      <w:pPr>
        <w:ind w:left="5440"/>
        <w:spacing w:after="0"/>
        <w:tabs>
          <w:tab w:leader="none" w:pos="670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Amount</w:t>
      </w:r>
    </w:p>
    <w:p>
      <w:pPr>
        <w:sectPr>
          <w:pgSz w:w="11900" w:h="16838" w:orient="portrait"/>
          <w:cols w:equalWidth="0" w:num="1">
            <w:col w:w="11240"/>
          </w:cols>
          <w:pgMar w:left="320" w:top="121" w:right="339" w:bottom="1440" w:gutter="0" w:footer="0" w:header="0"/>
        </w:sectPr>
      </w:pP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July 1, 2022</w:t>
      </w:r>
    </w:p>
    <w:p>
      <w:pPr>
        <w:spacing w:after="0" w:line="23" w:lineRule="exact"/>
        <w:rPr>
          <w:sz w:val="20"/>
          <w:szCs w:val="20"/>
          <w:color w:val="auto"/>
        </w:rPr>
      </w:pPr>
    </w:p>
    <w:p>
      <w:pPr>
        <w:ind w:left="160" w:right="1320" w:hanging="134"/>
        <w:spacing w:after="0" w:line="255" w:lineRule="auto"/>
        <w:rPr>
          <w:sz w:val="20"/>
          <w:szCs w:val="20"/>
          <w:color w:val="auto"/>
        </w:rPr>
      </w:pPr>
      <w:r>
        <w:rPr>
          <w:rFonts w:ascii="Arial" w:cs="Arial" w:eastAsia="Arial" w:hAnsi="Arial"/>
          <w:sz w:val="16"/>
          <w:szCs w:val="16"/>
          <w:color w:val="auto"/>
        </w:rPr>
        <w:t>Issuance of shares of common stock under restricted stock award agreements</w:t>
      </w:r>
    </w:p>
    <w:p>
      <w:pPr>
        <w:spacing w:after="0" w:line="1" w:lineRule="exact"/>
        <w:rPr>
          <w:sz w:val="20"/>
          <w:szCs w:val="20"/>
          <w:color w:val="auto"/>
        </w:rPr>
      </w:pPr>
    </w:p>
    <w:p>
      <w:pPr>
        <w:ind w:left="160" w:right="1220" w:hanging="134"/>
        <w:spacing w:after="0" w:line="264" w:lineRule="auto"/>
        <w:rPr>
          <w:sz w:val="20"/>
          <w:szCs w:val="20"/>
          <w:color w:val="auto"/>
        </w:rPr>
      </w:pPr>
      <w:r>
        <w:rPr>
          <w:rFonts w:ascii="Arial" w:cs="Arial" w:eastAsia="Arial" w:hAnsi="Arial"/>
          <w:sz w:val="16"/>
          <w:szCs w:val="16"/>
          <w:color w:val="auto"/>
        </w:rPr>
        <w:t>Forfeiture of shares of common stock under restricted stock award agreements</w:t>
      </w:r>
    </w:p>
    <w:p>
      <w:pPr>
        <w:ind w:left="2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Shares issued for exercise of stock options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16,081</w:t>
            </w:r>
          </w:p>
        </w:tc>
        <w:tc>
          <w:tcPr>
            <w:tcW w:w="2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385,750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214,011</w:t>
            </w:r>
          </w:p>
        </w:tc>
        <w:tc>
          <w:tcPr>
            <w:tcW w:w="220" w:type="dxa"/>
            <w:vAlign w:val="bottom"/>
            <w:gridSpan w:val="2"/>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599,777</w:t>
            </w:r>
          </w:p>
        </w:tc>
      </w:tr>
      <w:tr>
        <w:trPr>
          <w:trHeight w:val="398"/>
        </w:trPr>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1"/>
        </w:trPr>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30"/>
        </w:trPr>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405"/>
        </w:trPr>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11,543</w:t>
            </w:r>
          </w:p>
        </w:tc>
      </w:tr>
      <w:tr>
        <w:trPr>
          <w:trHeight w:val="210"/>
        </w:trPr>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16,090</w:t>
            </w:r>
          </w:p>
        </w:tc>
        <w:tc>
          <w:tcPr>
            <w:tcW w:w="240" w:type="dxa"/>
            <w:vAlign w:val="bottom"/>
          </w:tcPr>
          <w:p>
            <w:pPr>
              <w:spacing w:after="0"/>
              <w:rPr>
                <w:sz w:val="18"/>
                <w:szCs w:val="18"/>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389,267</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225,554</w:t>
            </w:r>
          </w:p>
        </w:tc>
        <w:tc>
          <w:tcPr>
            <w:tcW w:w="120" w:type="dxa"/>
            <w:vAlign w:val="bottom"/>
          </w:tcPr>
          <w:p>
            <w:pPr>
              <w:spacing w:after="0"/>
              <w:rPr>
                <w:sz w:val="18"/>
                <w:szCs w:val="18"/>
                <w:color w:val="auto"/>
              </w:rPr>
            </w:pPr>
          </w:p>
        </w:tc>
        <w:tc>
          <w:tcPr>
            <w:tcW w:w="38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614,837</w:t>
            </w: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-1362075</wp:posOffset>
            </wp:positionV>
            <wp:extent cx="7132320" cy="659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65976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-565150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-161925</wp:posOffset>
            </wp:positionV>
            <wp:extent cx="7132320" cy="891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spacing w:after="0" w:line="214"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For the Nine Months Ended September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center"/>
              <w:ind w:left="208"/>
              <w:spacing w:after="0" w:line="133" w:lineRule="exact"/>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left="88"/>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2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Common Stock</w:t>
            </w:r>
          </w:p>
        </w:tc>
        <w:tc>
          <w:tcPr>
            <w:tcW w:w="1500" w:type="dxa"/>
            <w:vAlign w:val="bottom"/>
          </w:tcPr>
          <w:p>
            <w:pPr>
              <w:jc w:val="center"/>
              <w:ind w:left="228"/>
              <w:spacing w:after="0" w:line="158"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Retained</w:t>
            </w:r>
          </w:p>
        </w:tc>
        <w:tc>
          <w:tcPr>
            <w:tcW w:w="120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0"/>
        </w:trPr>
        <w:tc>
          <w:tcPr>
            <w:tcW w:w="2240" w:type="dxa"/>
            <w:vAlign w:val="bottom"/>
            <w:vMerge w:val="continue"/>
          </w:tcPr>
          <w:p>
            <w:pPr>
              <w:spacing w:after="0"/>
              <w:rPr>
                <w:sz w:val="16"/>
                <w:szCs w:val="16"/>
                <w:color w:val="auto"/>
              </w:rPr>
            </w:pPr>
          </w:p>
        </w:tc>
        <w:tc>
          <w:tcPr>
            <w:tcW w:w="1500" w:type="dxa"/>
            <w:vAlign w:val="bottom"/>
          </w:tcPr>
          <w:p>
            <w:pPr>
              <w:jc w:val="center"/>
              <w:ind w:left="208"/>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Earnings</w:t>
            </w:r>
          </w:p>
        </w:tc>
        <w:tc>
          <w:tcPr>
            <w:tcW w:w="120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ind w:left="320"/>
        <w:spacing w:after="0"/>
        <w:tabs>
          <w:tab w:leader="none" w:pos="158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Amount</w:t>
      </w:r>
    </w:p>
    <w:p>
      <w:pPr>
        <w:spacing w:after="0" w:line="25" w:lineRule="exact"/>
        <w:rPr>
          <w:sz w:val="20"/>
          <w:szCs w:val="20"/>
          <w:color w:val="auto"/>
        </w:rPr>
      </w:pPr>
    </w:p>
    <w:p>
      <w:pPr>
        <w:sectPr>
          <w:pgSz w:w="11900" w:h="16838" w:orient="portrait"/>
          <w:cols w:equalWidth="0" w:num="2">
            <w:col w:w="4400" w:space="720"/>
            <w:col w:w="61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15,940</w:t>
            </w:r>
          </w:p>
        </w:tc>
        <w:tc>
          <w:tcPr>
            <w:tcW w:w="2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380,037</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194,291</w:t>
            </w:r>
          </w:p>
        </w:tc>
        <w:tc>
          <w:tcPr>
            <w:tcW w:w="5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574,344</w:t>
            </w:r>
          </w:p>
        </w:tc>
        <w:tc>
          <w:tcPr>
            <w:tcW w:w="100" w:type="dxa"/>
            <w:vAlign w:val="bottom"/>
            <w:shd w:val="clear" w:color="auto" w:fill="CFF0FC"/>
          </w:tcPr>
          <w:p>
            <w:pPr>
              <w:spacing w:after="0"/>
              <w:rPr>
                <w:sz w:val="18"/>
                <w:szCs w:val="18"/>
                <w:color w:val="auto"/>
              </w:rPr>
            </w:pPr>
          </w:p>
        </w:tc>
      </w:tr>
      <w:tr>
        <w:trPr>
          <w:trHeight w:val="156"/>
        </w:trPr>
        <w:tc>
          <w:tcPr>
            <w:tcW w:w="5120" w:type="dxa"/>
            <w:vAlign w:val="bottom"/>
            <w:tcBorders>
              <w:top w:val="single" w:sz="8" w:color="CFF0FC"/>
            </w:tcBorders>
          </w:tcPr>
          <w:p>
            <w:pPr>
              <w:ind w:left="20"/>
              <w:spacing w:after="0" w:line="156" w:lineRule="exact"/>
              <w:rPr>
                <w:sz w:val="20"/>
                <w:szCs w:val="20"/>
                <w:color w:val="auto"/>
              </w:rPr>
            </w:pPr>
            <w:r>
              <w:rPr>
                <w:rFonts w:ascii="Arial" w:cs="Arial" w:eastAsia="Arial" w:hAnsi="Arial"/>
                <w:sz w:val="18"/>
                <w:szCs w:val="18"/>
                <w:color w:val="auto"/>
              </w:rPr>
              <w:t>Issuance of shares of common stock under</w:t>
            </w:r>
          </w:p>
        </w:tc>
        <w:tc>
          <w:tcPr>
            <w:tcW w:w="10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restricted stock award agreements</w:t>
            </w: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62"/>
        </w:trPr>
        <w:tc>
          <w:tcPr>
            <w:tcW w:w="512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Forfeiture of shares of common stock under</w:t>
            </w: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43"/>
        </w:trPr>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award agreements</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5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for 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31,263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31,263</w:t>
            </w:r>
          </w:p>
        </w:tc>
        <w:tc>
          <w:tcPr>
            <w:tcW w:w="100" w:type="dxa"/>
            <w:vAlign w:val="bottom"/>
          </w:tcPr>
          <w:p>
            <w:pPr>
              <w:spacing w:after="0"/>
              <w:rPr>
                <w:sz w:val="18"/>
                <w:szCs w:val="18"/>
                <w:color w:val="auto"/>
              </w:rPr>
            </w:pPr>
          </w:p>
        </w:tc>
      </w:tr>
      <w:tr>
        <w:trPr>
          <w:trHeight w:val="250"/>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16,090</w:t>
            </w:r>
          </w:p>
        </w:tc>
        <w:tc>
          <w:tcPr>
            <w:tcW w:w="2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389,267</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225,554</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614,837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-1105535</wp:posOffset>
            </wp:positionV>
            <wp:extent cx="76835" cy="266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26606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-1105535</wp:posOffset>
            </wp:positionV>
            <wp:extent cx="77470" cy="2660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26606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-1105535</wp:posOffset>
            </wp:positionV>
            <wp:extent cx="68580" cy="266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-1105535</wp:posOffset>
            </wp:positionV>
            <wp:extent cx="68580" cy="266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26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38"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For the Three and Nine Months Ended September 30, 2021</w:t>
      </w:r>
    </w:p>
    <w:p>
      <w:pPr>
        <w:jc w:val="center"/>
        <w:spacing w:after="0" w:line="234" w:lineRule="auto"/>
        <w:rPr>
          <w:sz w:val="20"/>
          <w:szCs w:val="20"/>
          <w:color w:val="auto"/>
        </w:rPr>
      </w:pPr>
      <w:r>
        <w:rPr>
          <w:rFonts w:ascii="Arial" w:cs="Arial" w:eastAsia="Arial" w:hAnsi="Arial"/>
          <w:sz w:val="18"/>
          <w:szCs w:val="18"/>
          <w:b w:val="1"/>
          <w:bCs w:val="1"/>
          <w:color w:val="auto"/>
        </w:rPr>
        <w:t>(Amounts and Shares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7"/>
          </w:tcPr>
          <w:p>
            <w:pPr>
              <w:jc w:val="right"/>
              <w:ind w:right="154"/>
              <w:spacing w:after="0"/>
              <w:rPr>
                <w:sz w:val="20"/>
                <w:szCs w:val="20"/>
                <w:color w:val="auto"/>
              </w:rPr>
            </w:pPr>
            <w:r>
              <w:rPr>
                <w:rFonts w:ascii="Arial" w:cs="Arial" w:eastAsia="Arial" w:hAnsi="Arial"/>
                <w:sz w:val="14"/>
                <w:szCs w:val="14"/>
                <w:b w:val="1"/>
                <w:bCs w:val="1"/>
                <w:color w:val="auto"/>
                <w:w w:val="93"/>
              </w:rPr>
              <w:t>For the Three Months Ended September 30, 2021</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420" w:type="dxa"/>
            <w:vAlign w:val="bottom"/>
            <w:gridSpan w:val="4"/>
            <w:vMerge w:val="restart"/>
          </w:tcPr>
          <w:p>
            <w:pPr>
              <w:jc w:val="right"/>
              <w:ind w:right="65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w w:val="98"/>
              </w:rPr>
              <w:t>Retained</w:t>
            </w:r>
          </w:p>
        </w:tc>
        <w:tc>
          <w:tcPr>
            <w:tcW w:w="220" w:type="dxa"/>
            <w:vAlign w:val="bottom"/>
          </w:tcPr>
          <w:p>
            <w:pPr>
              <w:spacing w:after="0"/>
              <w:rPr>
                <w:sz w:val="13"/>
                <w:szCs w:val="13"/>
                <w:color w:val="auto"/>
              </w:rPr>
            </w:pPr>
          </w:p>
        </w:tc>
        <w:tc>
          <w:tcPr>
            <w:tcW w:w="10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Stockholders'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2420" w:type="dxa"/>
            <w:vAlign w:val="bottom"/>
            <w:tcBorders>
              <w:bottom w:val="single" w:sz="8" w:color="auto"/>
            </w:tcBorders>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Earnings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July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374,383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169,656</w:t>
            </w:r>
          </w:p>
        </w:tc>
        <w:tc>
          <w:tcPr>
            <w:tcW w:w="4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544,055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120" w:type="dxa"/>
            <w:vAlign w:val="bottom"/>
            <w:tcBorders>
              <w:top w:val="single" w:sz="8" w:color="CFF0FC"/>
            </w:tcBorders>
          </w:tcPr>
          <w:p>
            <w:pPr>
              <w:ind w:left="20"/>
              <w:spacing w:after="0" w:line="168" w:lineRule="exact"/>
              <w:rPr>
                <w:sz w:val="20"/>
                <w:szCs w:val="20"/>
                <w:color w:val="auto"/>
              </w:rPr>
            </w:pPr>
            <w:r>
              <w:rPr>
                <w:rFonts w:ascii="Arial" w:cs="Arial" w:eastAsia="Arial" w:hAnsi="Arial"/>
                <w:sz w:val="18"/>
                <w:szCs w:val="18"/>
                <w:color w:val="auto"/>
              </w:rPr>
              <w:t>Forfeiture of shares of common stock under</w:t>
            </w: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60"/>
              <w:spacing w:after="0"/>
              <w:rPr>
                <w:sz w:val="20"/>
                <w:szCs w:val="20"/>
                <w:color w:val="auto"/>
              </w:rPr>
            </w:pPr>
            <w:r>
              <w:rPr>
                <w:rFonts w:ascii="Arial" w:cs="Arial" w:eastAsia="Arial" w:hAnsi="Arial"/>
                <w:sz w:val="18"/>
                <w:szCs w:val="18"/>
                <w:color w:val="auto"/>
              </w:rPr>
              <w:t>restricted stock award agreements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Shares issued for 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15,913</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376,802</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181,233</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right"/>
              <w:ind w:right="174"/>
              <w:spacing w:after="0"/>
              <w:rPr>
                <w:sz w:val="20"/>
                <w:szCs w:val="20"/>
                <w:color w:val="auto"/>
              </w:rPr>
            </w:pPr>
            <w:r>
              <w:rPr>
                <w:rFonts w:ascii="Arial" w:cs="Arial" w:eastAsia="Arial" w:hAnsi="Arial"/>
                <w:sz w:val="14"/>
                <w:szCs w:val="14"/>
                <w:b w:val="1"/>
                <w:bCs w:val="1"/>
                <w:color w:val="auto"/>
                <w:w w:val="95"/>
              </w:rPr>
              <w:t>For the Nine Months Ended September 30, 2021</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2420" w:type="dxa"/>
            <w:vAlign w:val="bottom"/>
            <w:gridSpan w:val="4"/>
            <w:vMerge w:val="restart"/>
          </w:tcPr>
          <w:p>
            <w:pPr>
              <w:jc w:val="right"/>
              <w:ind w:right="65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w w:val="98"/>
              </w:rPr>
              <w:t>Retained</w:t>
            </w:r>
          </w:p>
        </w:tc>
        <w:tc>
          <w:tcPr>
            <w:tcW w:w="220" w:type="dxa"/>
            <w:vAlign w:val="bottom"/>
          </w:tcPr>
          <w:p>
            <w:pPr>
              <w:spacing w:after="0"/>
              <w:rPr>
                <w:sz w:val="13"/>
                <w:szCs w:val="13"/>
                <w:color w:val="auto"/>
              </w:rPr>
            </w:pPr>
          </w:p>
        </w:tc>
        <w:tc>
          <w:tcPr>
            <w:tcW w:w="10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Stockholders'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2420" w:type="dxa"/>
            <w:vAlign w:val="bottom"/>
            <w:tcBorders>
              <w:bottom w:val="single" w:sz="8" w:color="auto"/>
            </w:tcBorders>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Earnings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15,826</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369,495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4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518,676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120" w:type="dxa"/>
            <w:vAlign w:val="bottom"/>
            <w:tcBorders>
              <w:top w:val="single" w:sz="8" w:color="CFF0FC"/>
            </w:tcBorders>
          </w:tcPr>
          <w:p>
            <w:pPr>
              <w:ind w:left="20"/>
              <w:spacing w:after="0" w:line="168" w:lineRule="exact"/>
              <w:rPr>
                <w:sz w:val="20"/>
                <w:szCs w:val="20"/>
                <w:color w:val="auto"/>
              </w:rPr>
            </w:pPr>
            <w:r>
              <w:rPr>
                <w:rFonts w:ascii="Arial" w:cs="Arial" w:eastAsia="Arial" w:hAnsi="Arial"/>
                <w:sz w:val="18"/>
                <w:szCs w:val="18"/>
                <w:color w:val="auto"/>
              </w:rPr>
              <w:t>Issuance of shares of common stock under</w:t>
            </w: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60"/>
              <w:spacing w:after="0"/>
              <w:rPr>
                <w:sz w:val="20"/>
                <w:szCs w:val="20"/>
                <w:color w:val="auto"/>
              </w:rPr>
            </w:pPr>
            <w:r>
              <w:rPr>
                <w:rFonts w:ascii="Arial" w:cs="Arial" w:eastAsia="Arial" w:hAnsi="Arial"/>
                <w:sz w:val="18"/>
                <w:szCs w:val="18"/>
                <w:color w:val="auto"/>
              </w:rPr>
              <w:t>restricted stock award agreements</w:t>
            </w: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Forfeiture of shares of common stock under</w:t>
            </w: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restricted stock award agreements</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(5 )</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for 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376,802</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181,233</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558,051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-2819400</wp:posOffset>
            </wp:positionV>
            <wp:extent cx="76835" cy="265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-2819400</wp:posOffset>
            </wp:positionV>
            <wp:extent cx="7747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-2819400</wp:posOffset>
            </wp:positionV>
            <wp:extent cx="6858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-2819400</wp:posOffset>
            </wp:positionV>
            <wp:extent cx="6858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-2142490</wp:posOffset>
            </wp:positionV>
            <wp:extent cx="76835"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-2142490</wp:posOffset>
            </wp:positionV>
            <wp:extent cx="77470" cy="308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3086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-2142490</wp:posOffset>
            </wp:positionV>
            <wp:extent cx="6858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-2142490</wp:posOffset>
            </wp:positionV>
            <wp:extent cx="6858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900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90043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-1104900</wp:posOffset>
            </wp:positionV>
            <wp:extent cx="76835"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-1104900</wp:posOffset>
            </wp:positionV>
            <wp:extent cx="77470"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26543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-1104900</wp:posOffset>
            </wp:positionV>
            <wp:extent cx="6858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-1104900</wp:posOffset>
            </wp:positionV>
            <wp:extent cx="68580" cy="265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3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For the Nine Months Ended September 30, 2022 and 2021</w:t>
      </w:r>
    </w:p>
    <w:p>
      <w:pPr>
        <w:jc w:val="center"/>
        <w:spacing w:after="0" w:line="234" w:lineRule="auto"/>
        <w:rPr>
          <w:sz w:val="20"/>
          <w:szCs w:val="20"/>
          <w:color w:val="auto"/>
        </w:rPr>
      </w:pPr>
      <w:r>
        <w:rPr>
          <w:rFonts w:ascii="Arial" w:cs="Arial" w:eastAsia="Arial" w:hAnsi="Arial"/>
          <w:sz w:val="18"/>
          <w:szCs w:val="18"/>
          <w:b w:val="1"/>
          <w:bCs w:val="1"/>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the Nine Months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Ended September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7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31,263</w:t>
            </w:r>
          </w:p>
        </w:tc>
        <w:tc>
          <w:tcPr>
            <w:tcW w:w="28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tcPr>
          <w:p>
            <w:pPr>
              <w:spacing w:after="0"/>
              <w:rPr>
                <w:sz w:val="18"/>
                <w:szCs w:val="18"/>
                <w:color w:val="auto"/>
              </w:rPr>
            </w:pPr>
          </w:p>
        </w:tc>
      </w:tr>
      <w:tr>
        <w:trPr>
          <w:trHeight w:val="175"/>
        </w:trPr>
        <w:tc>
          <w:tcPr>
            <w:tcW w:w="776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Adjustments to reconcile net income to net cash provided by (used in) operating</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77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activities, net of acquisitions: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10,571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7,945</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debt issuance costs under the credit facility</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Impairment of operating lease assets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18,232</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(1,906 )</w:t>
            </w:r>
          </w:p>
        </w:tc>
      </w:tr>
      <w:tr>
        <w:trPr>
          <w:trHeight w:val="216"/>
        </w:trPr>
        <w:tc>
          <w:tcPr>
            <w:tcW w:w="776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10,568</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(3,610 )</w:t>
            </w:r>
          </w:p>
        </w:tc>
      </w:tr>
      <w:tr>
        <w:trPr>
          <w:trHeight w:val="216"/>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Government stimulus advances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16,985</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(24,413 )</w:t>
            </w:r>
          </w:p>
        </w:tc>
      </w:tr>
      <w:tr>
        <w:trPr>
          <w:trHeight w:val="216"/>
        </w:trPr>
        <w:tc>
          <w:tcPr>
            <w:tcW w:w="776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(693 )</w:t>
            </w:r>
          </w:p>
        </w:tc>
        <w:tc>
          <w:tcPr>
            <w:tcW w:w="6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(780 )</w:t>
            </w:r>
          </w:p>
        </w:tc>
      </w:tr>
      <w:tr>
        <w:trPr>
          <w:trHeight w:val="216"/>
        </w:trPr>
        <w:tc>
          <w:tcPr>
            <w:tcW w:w="77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payroll</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(10,421 )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(4,553 )</w:t>
            </w:r>
          </w:p>
        </w:tc>
      </w:tr>
      <w:tr>
        <w:trPr>
          <w:trHeight w:val="216"/>
        </w:trPr>
        <w:tc>
          <w:tcPr>
            <w:tcW w:w="7760" w:type="dxa"/>
            <w:vAlign w:val="bottom"/>
          </w:tcPr>
          <w:p>
            <w:pPr>
              <w:ind w:left="560"/>
              <w:spacing w:after="0"/>
              <w:rPr>
                <w:sz w:val="20"/>
                <w:szCs w:val="20"/>
                <w:color w:val="auto"/>
              </w:rPr>
            </w:pPr>
            <w:r>
              <w:rPr>
                <w:rFonts w:ascii="Arial" w:cs="Arial" w:eastAsia="Arial" w:hAnsi="Arial"/>
                <w:sz w:val="18"/>
                <w:szCs w:val="18"/>
                <w:color w:val="auto"/>
              </w:rPr>
              <w:t>Accrued expenses and other long-term liabilities</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(6,345 )</w:t>
            </w:r>
          </w:p>
        </w:tc>
        <w:tc>
          <w:tcPr>
            <w:tcW w:w="6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(2,157 )</w:t>
            </w:r>
          </w:p>
        </w:tc>
      </w:tr>
      <w:tr>
        <w:trPr>
          <w:trHeight w:val="21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80,818</w:t>
            </w: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(84,490 )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(29,219 )</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(2,864 )</w:t>
            </w:r>
          </w:p>
        </w:tc>
        <w:tc>
          <w:tcPr>
            <w:tcW w:w="6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(3,214 )</w:t>
            </w:r>
          </w:p>
        </w:tc>
      </w:tr>
      <w:tr>
        <w:trPr>
          <w:trHeight w:val="21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(87,354</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revolver loan — credit facility</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(105,000 )</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Proceeds from borrowings on revolver — credit facility</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47,000</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46,395</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term loan — credit facility</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(18,130 )</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Payment for debt issuance costs</w:t>
            </w:r>
          </w:p>
        </w:tc>
        <w:tc>
          <w:tcPr>
            <w:tcW w:w="360" w:type="dxa"/>
            <w:vAlign w:val="bottom"/>
          </w:tcPr>
          <w:p>
            <w:pPr>
              <w:spacing w:after="0"/>
              <w:rPr>
                <w:sz w:val="18"/>
                <w:szCs w:val="18"/>
                <w:color w:val="auto"/>
              </w:rPr>
            </w:pPr>
          </w:p>
        </w:tc>
        <w:tc>
          <w:tcPr>
            <w:tcW w:w="14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(3,020 )</w:t>
            </w: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received from exercise of stock options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4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(56,715</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color w:val="auto"/>
              </w:rPr>
              <w:t>Net change in cash</w:t>
            </w:r>
          </w:p>
        </w:tc>
        <w:tc>
          <w:tcPr>
            <w:tcW w:w="36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(63,251 )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7,301</w:t>
            </w:r>
          </w:p>
        </w:tc>
        <w:tc>
          <w:tcPr>
            <w:tcW w:w="10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at beginning of period</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168,895</w:t>
            </w:r>
          </w:p>
        </w:tc>
        <w:tc>
          <w:tcPr>
            <w:tcW w:w="28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color w:val="auto"/>
              </w:rPr>
              <w:t>Cash, 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105,644</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152,379</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5,589</w:t>
            </w:r>
          </w:p>
        </w:tc>
        <w:tc>
          <w:tcPr>
            <w:tcW w:w="28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income taxes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14,767</w:t>
            </w:r>
          </w:p>
        </w:tc>
        <w:tc>
          <w:tcPr>
            <w:tcW w:w="10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-2691765</wp:posOffset>
            </wp:positionV>
            <wp:extent cx="6858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-2691765</wp:posOffset>
            </wp:positionV>
            <wp:extent cx="6858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-2125980</wp:posOffset>
            </wp:positionV>
            <wp:extent cx="6858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-2125980</wp:posOffset>
            </wp:positionV>
            <wp:extent cx="6858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-1011555</wp:posOffset>
            </wp:positionV>
            <wp:extent cx="6858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-1011555</wp:posOffset>
            </wp:positionV>
            <wp:extent cx="6858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ADDUS HOMECARE CORPORATION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108"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2021 has been derived from the Company’s audited financial statements for the year ended December 31, 2021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2021 included in our Annual Report on Form 10-K, which includes information and disclosures not included herein.</w:t>
      </w:r>
    </w:p>
    <w:p>
      <w:pPr>
        <w:spacing w:after="0" w:line="187"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61" w:lineRule="exact"/>
        <w:rPr>
          <w:sz w:val="20"/>
          <w:szCs w:val="20"/>
          <w:color w:val="auto"/>
        </w:rPr>
      </w:pPr>
    </w:p>
    <w:p>
      <w:pPr>
        <w:ind w:right="7680" w:firstLine="8"/>
        <w:spacing w:after="0" w:line="362"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Estimates</w:t>
      </w:r>
    </w:p>
    <w:p>
      <w:pPr>
        <w:spacing w:after="0" w:line="1" w:lineRule="exact"/>
        <w:rPr>
          <w:sz w:val="20"/>
          <w:szCs w:val="20"/>
          <w:color w:val="auto"/>
        </w:rPr>
      </w:pPr>
    </w:p>
    <w:p>
      <w:pPr>
        <w:ind w:firstLine="509"/>
        <w:spacing w:after="0" w:line="278" w:lineRule="auto"/>
        <w:rPr>
          <w:sz w:val="20"/>
          <w:szCs w:val="20"/>
          <w:color w:val="auto"/>
        </w:rPr>
      </w:pPr>
      <w:r>
        <w:rPr>
          <w:rFonts w:ascii="Arial" w:cs="Arial" w:eastAsia="Arial" w:hAnsi="Arial"/>
          <w:sz w:val="17"/>
          <w:szCs w:val="17"/>
          <w:color w:val="auto"/>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in business combinations and when required, the quantitative assessment of goodwill. Actual results could differ from those estimates.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Computation of Weighted Average Shares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common shares: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20" w:type="dxa"/>
            <w:vAlign w:val="bottom"/>
          </w:tcPr>
          <w:p>
            <w:pPr>
              <w:spacing w:after="0"/>
              <w:rPr>
                <w:sz w:val="13"/>
                <w:szCs w:val="13"/>
                <w:color w:val="auto"/>
              </w:rPr>
            </w:pPr>
          </w:p>
        </w:tc>
        <w:tc>
          <w:tcPr>
            <w:tcW w:w="2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4"/>
              </w:rPr>
              <w:t>For the Three Months Ended September</w:t>
            </w:r>
          </w:p>
        </w:tc>
        <w:tc>
          <w:tcPr>
            <w:tcW w:w="220" w:type="dxa"/>
            <w:vAlign w:val="bottom"/>
          </w:tcPr>
          <w:p>
            <w:pPr>
              <w:spacing w:after="0"/>
              <w:rPr>
                <w:sz w:val="13"/>
                <w:szCs w:val="13"/>
                <w:color w:val="auto"/>
              </w:rPr>
            </w:pPr>
          </w:p>
        </w:tc>
        <w:tc>
          <w:tcPr>
            <w:tcW w:w="25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5"/>
              </w:rPr>
              <w:t>For the Nine Months Ended September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3"/>
                <w:szCs w:val="13"/>
                <w:b w:val="1"/>
                <w:bCs w:val="1"/>
                <w:color w:val="auto"/>
                <w:w w:val="88"/>
              </w:rPr>
              <w:t>30,</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20" w:type="dxa"/>
            <w:vAlign w:val="bottom"/>
          </w:tcPr>
          <w:p>
            <w:pPr>
              <w:spacing w:after="0"/>
              <w:rPr>
                <w:sz w:val="16"/>
                <w:szCs w:val="16"/>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(Amounts in thousands)</w:t>
            </w:r>
          </w:p>
        </w:tc>
        <w:tc>
          <w:tcPr>
            <w:tcW w:w="22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40" w:type="dxa"/>
            <w:vAlign w:val="bottom"/>
          </w:tcPr>
          <w:p>
            <w:pPr>
              <w:jc w:val="right"/>
              <w:ind w:right="345"/>
              <w:spacing w:after="0"/>
              <w:rPr>
                <w:sz w:val="20"/>
                <w:szCs w:val="20"/>
                <w:color w:val="auto"/>
              </w:rPr>
            </w:pPr>
            <w:r>
              <w:rPr>
                <w:rFonts w:ascii="Arial" w:cs="Arial" w:eastAsia="Arial" w:hAnsi="Arial"/>
                <w:sz w:val="14"/>
                <w:szCs w:val="14"/>
                <w:b w:val="1"/>
                <w:bCs w:val="1"/>
                <w:color w:val="auto"/>
              </w:rPr>
              <w:t>2022</w:t>
            </w:r>
          </w:p>
        </w:tc>
        <w:tc>
          <w:tcPr>
            <w:tcW w:w="14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2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Weighted average number of shares outstanding for basic per share</w:t>
            </w:r>
          </w:p>
        </w:tc>
        <w:tc>
          <w:tcPr>
            <w:tcW w:w="11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calculation</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15,872</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15,748</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15,846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Effect of dilutive potential shares: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Restricted stock awards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82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Adjusted weighted average shares outstanding for diluted per share</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16,184</w:t>
            </w:r>
          </w:p>
        </w:tc>
        <w:tc>
          <w:tcPr>
            <w:tcW w:w="14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16,030</w:t>
            </w:r>
          </w:p>
        </w:tc>
        <w:tc>
          <w:tcPr>
            <w:tcW w:w="13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16,146</w:t>
            </w:r>
          </w:p>
        </w:tc>
        <w:tc>
          <w:tcPr>
            <w:tcW w:w="14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16,060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160"/>
              <w:spacing w:after="0" w:line="190" w:lineRule="exact"/>
              <w:rPr>
                <w:sz w:val="20"/>
                <w:szCs w:val="20"/>
                <w:color w:val="auto"/>
              </w:rPr>
            </w:pPr>
            <w:r>
              <w:rPr>
                <w:rFonts w:ascii="Arial" w:cs="Arial" w:eastAsia="Arial" w:hAnsi="Arial"/>
                <w:sz w:val="18"/>
                <w:szCs w:val="18"/>
                <w:color w:val="auto"/>
              </w:rPr>
              <w:t>calculation</w:t>
            </w:r>
          </w:p>
        </w:tc>
        <w:tc>
          <w:tcPr>
            <w:tcW w:w="1160" w:type="dxa"/>
            <w:vAlign w:val="bottom"/>
            <w:vMerge w:val="continue"/>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140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Anti-dilutive shares:</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0"/>
              <w:spacing w:after="0"/>
              <w:rPr>
                <w:sz w:val="20"/>
                <w:szCs w:val="20"/>
                <w:color w:val="auto"/>
              </w:rPr>
            </w:pPr>
            <w:r>
              <w:rPr>
                <w:rFonts w:ascii="Arial" w:cs="Arial" w:eastAsia="Arial" w:hAnsi="Arial"/>
                <w:sz w:val="18"/>
                <w:szCs w:val="18"/>
                <w:color w:val="auto"/>
              </w:rPr>
              <w:t>Restricted stock awards</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-445770</wp:posOffset>
            </wp:positionV>
            <wp:extent cx="270002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00020" cy="16319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In November 2021, the FASB issued ASU 2021-10, </w:t>
      </w:r>
      <w:r>
        <w:rPr>
          <w:rFonts w:ascii="Arial" w:cs="Arial" w:eastAsia="Arial" w:hAnsi="Arial"/>
          <w:sz w:val="17"/>
          <w:szCs w:val="17"/>
          <w:i w:val="1"/>
          <w:iCs w:val="1"/>
          <w:color w:val="auto"/>
        </w:rPr>
        <w:t>Government Assistance (Topic 832): Disclosures by Business Entities about Government</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i w:val="1"/>
          <w:iCs w:val="1"/>
          <w:color w:val="auto"/>
        </w:rPr>
        <w:t>Assistance</w:t>
      </w:r>
      <w:r>
        <w:rPr>
          <w:rFonts w:ascii="Arial" w:cs="Arial" w:eastAsia="Arial" w:hAnsi="Arial"/>
          <w:sz w:val="16"/>
          <w:szCs w:val="16"/>
          <w:color w:val="auto"/>
        </w:rPr>
        <w:t>. ASU 2021-10 requires entities to disclose certain information about the nature of certain governmental assistance received, including the nature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transaction and the related accounting policy, the financial statement line items impacted by the assistance, as well as the significant terms and conditions of the transactions. The ASU was adopted as of January 1, 2022 and did not have an impact on the Company’s results of operations or liquidity.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to contract modifications and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On July 30, 2021, the Company entered into the Second Amendment to the Credit Agreement as discussed further in Note 8. The Credit Agreement contains hardwired fallback language that contemplates a transition from LIBOR, specifically identifies the secured overnight financing rate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reported on the Company’s Unaudited Condensed Consolidated Balance Sheets for operating leases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7"/>
              </w:rPr>
              <w:t>September 30, 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9"/>
              </w:rPr>
              <w:t>December 31, 2021</w:t>
            </w: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(Amounts</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w:t>
            </w:r>
          </w:p>
        </w:tc>
        <w:tc>
          <w:tcPr>
            <w:tcW w:w="1840" w:type="dxa"/>
            <w:vAlign w:val="bottom"/>
            <w:tcBorders>
              <w:bottom w:val="single" w:sz="8" w:color="auto"/>
            </w:tcBorders>
            <w:gridSpan w:val="2"/>
          </w:tcPr>
          <w:p>
            <w:pPr>
              <w:jc w:val="right"/>
              <w:ind w:right="1134"/>
              <w:spacing w:after="0"/>
              <w:rPr>
                <w:sz w:val="20"/>
                <w:szCs w:val="20"/>
                <w:color w:val="auto"/>
              </w:rPr>
            </w:pPr>
            <w:r>
              <w:rPr>
                <w:rFonts w:ascii="Arial" w:cs="Arial" w:eastAsia="Arial" w:hAnsi="Arial"/>
                <w:sz w:val="14"/>
                <w:szCs w:val="14"/>
                <w:b w:val="1"/>
                <w:bCs w:val="1"/>
                <w:color w:val="auto"/>
                <w:w w:val="75"/>
              </w:rPr>
              <w:t>Thousands)</w:t>
            </w:r>
          </w:p>
        </w:tc>
        <w:tc>
          <w:tcPr>
            <w:tcW w:w="100" w:type="dxa"/>
            <w:vAlign w:val="bottom"/>
          </w:tcPr>
          <w:p>
            <w:pPr>
              <w:spacing w:after="0"/>
              <w:rPr>
                <w:sz w:val="14"/>
                <w:szCs w:val="14"/>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assets, net</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40,503</w:t>
            </w:r>
          </w:p>
        </w:tc>
        <w:tc>
          <w:tcPr>
            <w:tcW w:w="46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36,048</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operating lease liabilities (in accrued expenses)</w:t>
            </w:r>
          </w:p>
        </w:tc>
        <w:tc>
          <w:tcPr>
            <w:tcW w:w="2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9,774</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32,859</w:t>
            </w:r>
          </w:p>
        </w:tc>
        <w:tc>
          <w:tcPr>
            <w:tcW w:w="100" w:type="dxa"/>
            <w:vAlign w:val="bottom"/>
          </w:tcPr>
          <w:p>
            <w:pPr>
              <w:spacing w:after="0"/>
              <w:rPr>
                <w:sz w:val="18"/>
                <w:szCs w:val="18"/>
                <w:color w:val="auto"/>
              </w:rPr>
            </w:pPr>
          </w:p>
        </w:tc>
      </w:tr>
      <w:tr>
        <w:trPr>
          <w:trHeight w:val="250"/>
        </w:trPr>
        <w:tc>
          <w:tcPr>
            <w:tcW w:w="4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2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48,034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82"/>
        </w:trPr>
        <w:tc>
          <w:tcPr>
            <w:tcW w:w="4920" w:type="dxa"/>
            <w:vAlign w:val="bottom"/>
          </w:tcPr>
          <w:p>
            <w:pPr>
              <w:spacing w:after="0"/>
              <w:rPr>
                <w:sz w:val="24"/>
                <w:szCs w:val="24"/>
                <w:color w:val="auto"/>
              </w:rPr>
            </w:pPr>
          </w:p>
        </w:tc>
        <w:tc>
          <w:tcPr>
            <w:tcW w:w="2280" w:type="dxa"/>
            <w:vAlign w:val="bottom"/>
          </w:tcPr>
          <w:p>
            <w:pPr>
              <w:jc w:val="right"/>
              <w:ind w:right="1459"/>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49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-488315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-471170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w:t>
      </w:r>
    </w:p>
    <w:p>
      <w:pPr>
        <w:spacing w:after="0" w:line="104"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Components of lease costs were reported in general and administrative expenses in the Company’s Unaudited Condensed Consolidated Statements of Income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6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4"/>
              </w:rPr>
              <w:t>For the Three Months Ended September 30,</w:t>
            </w:r>
          </w:p>
        </w:tc>
        <w:tc>
          <w:tcPr>
            <w:tcW w:w="2960" w:type="dxa"/>
            <w:vAlign w:val="bottom"/>
            <w:gridSpan w:val="11"/>
          </w:tcPr>
          <w:p>
            <w:pPr>
              <w:ind w:left="8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(Amounts in Thousands)</w:t>
            </w:r>
          </w:p>
        </w:tc>
        <w:tc>
          <w:tcPr>
            <w:tcW w:w="520" w:type="dxa"/>
            <w:vAlign w:val="bottom"/>
          </w:tcPr>
          <w:p>
            <w:pPr>
              <w:spacing w:after="0"/>
              <w:rPr>
                <w:sz w:val="16"/>
                <w:szCs w:val="16"/>
                <w:color w:val="auto"/>
              </w:rPr>
            </w:pPr>
          </w:p>
        </w:tc>
        <w:tc>
          <w:tcPr>
            <w:tcW w:w="2440" w:type="dxa"/>
            <w:vAlign w:val="bottom"/>
            <w:gridSpan w:val="10"/>
          </w:tcPr>
          <w:p>
            <w:pPr>
              <w:jc w:val="right"/>
              <w:ind w:right="800"/>
              <w:spacing w:after="0"/>
              <w:rPr>
                <w:sz w:val="20"/>
                <w:szCs w:val="20"/>
                <w:color w:val="auto"/>
              </w:rPr>
            </w:pPr>
            <w:r>
              <w:rPr>
                <w:rFonts w:ascii="Arial" w:cs="Arial" w:eastAsia="Arial" w:hAnsi="Arial"/>
                <w:sz w:val="14"/>
                <w:szCs w:val="14"/>
                <w:b w:val="1"/>
                <w:bCs w:val="1"/>
                <w:color w:val="auto"/>
                <w:w w:val="98"/>
              </w:rPr>
              <w:t>(Amounts in Thousands)</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920" w:type="dxa"/>
            <w:vAlign w:val="bottom"/>
            <w:tcBorders>
              <w:top w:val="single" w:sz="8" w:color="auto"/>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2,789</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5"/>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8,888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4"/>
              </w:rPr>
              <w:t>11,139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Less: sublease income</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(176 )</w:t>
            </w:r>
          </w:p>
        </w:tc>
        <w:tc>
          <w:tcPr>
            <w:tcW w:w="32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(177 )</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(529 )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costs,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2,809</w:t>
            </w:r>
          </w:p>
        </w:tc>
        <w:tc>
          <w:tcPr>
            <w:tcW w:w="2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10,610</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5280" w:type="dxa"/>
            <w:vAlign w:val="bottom"/>
          </w:tcPr>
          <w:p>
            <w:pPr>
              <w:spacing w:after="0"/>
              <w:rPr>
                <w:sz w:val="20"/>
                <w:szCs w:val="20"/>
                <w:color w:val="auto"/>
              </w:rPr>
            </w:pPr>
            <w:r>
              <w:rPr>
                <w:rFonts w:ascii="Arial" w:cs="Arial" w:eastAsia="Arial" w:hAnsi="Arial"/>
                <w:sz w:val="18"/>
                <w:szCs w:val="18"/>
                <w:b w:val="1"/>
                <w:bCs w:val="1"/>
                <w:i w:val="1"/>
                <w:iCs w:val="1"/>
                <w:color w:val="auto"/>
              </w:rPr>
              <w:t>Lease Term and Discount Rate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20" w:type="dxa"/>
            <w:vAlign w:val="bottom"/>
            <w:gridSpan w:val="4"/>
          </w:tcPr>
          <w:p>
            <w:pPr>
              <w:ind w:left="520"/>
              <w:spacing w:after="0"/>
              <w:rPr>
                <w:sz w:val="20"/>
                <w:szCs w:val="20"/>
                <w:color w:val="auto"/>
              </w:rPr>
            </w:pPr>
            <w:r>
              <w:rPr>
                <w:rFonts w:ascii="Arial" w:cs="Arial" w:eastAsia="Arial" w:hAnsi="Arial"/>
                <w:sz w:val="18"/>
                <w:szCs w:val="18"/>
                <w:color w:val="auto"/>
              </w:rPr>
              <w:t>Weighted average remaining lease terms and discount rates were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91"/>
              </w:rPr>
              <w:t>5.98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ind w:left="380"/>
              <w:spacing w:after="0"/>
              <w:rPr>
                <w:sz w:val="20"/>
                <w:szCs w:val="20"/>
                <w:color w:val="auto"/>
              </w:rPr>
            </w:pPr>
            <w:r>
              <w:rPr>
                <w:rFonts w:ascii="Arial" w:cs="Arial" w:eastAsia="Arial" w:hAnsi="Arial"/>
                <w:sz w:val="18"/>
                <w:szCs w:val="18"/>
                <w:color w:val="auto"/>
                <w:w w:val="92"/>
              </w:rPr>
              <w:t>3.92 %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594"/>
        </w:trPr>
        <w:tc>
          <w:tcPr>
            <w:tcW w:w="5280" w:type="dxa"/>
            <w:vAlign w:val="bottom"/>
          </w:tcPr>
          <w:p>
            <w:pPr>
              <w:spacing w:after="0"/>
              <w:rPr>
                <w:sz w:val="20"/>
                <w:szCs w:val="20"/>
                <w:color w:val="auto"/>
              </w:rPr>
            </w:pPr>
            <w:r>
              <w:rPr>
                <w:rFonts w:ascii="Arial" w:cs="Arial" w:eastAsia="Arial" w:hAnsi="Arial"/>
                <w:sz w:val="18"/>
                <w:szCs w:val="18"/>
                <w:b w:val="1"/>
                <w:bCs w:val="1"/>
                <w:i w:val="1"/>
                <w:iCs w:val="1"/>
                <w:color w:val="auto"/>
              </w:rPr>
              <w:t>Maturity of Lease Liabilities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20" w:type="dxa"/>
            <w:vAlign w:val="bottom"/>
            <w:gridSpan w:val="4"/>
          </w:tcPr>
          <w:p>
            <w:pPr>
              <w:ind w:left="520"/>
              <w:spacing w:after="0"/>
              <w:rPr>
                <w:sz w:val="20"/>
                <w:szCs w:val="20"/>
                <w:color w:val="auto"/>
              </w:rPr>
            </w:pPr>
            <w:r>
              <w:rPr>
                <w:rFonts w:ascii="Arial" w:cs="Arial" w:eastAsia="Arial" w:hAnsi="Arial"/>
                <w:sz w:val="18"/>
                <w:szCs w:val="18"/>
                <w:color w:val="auto"/>
                <w:w w:val="97"/>
              </w:rPr>
              <w:t>Remaining operating lease payments as of September 30, 2022 were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Due in the 12-month period ended September 30,</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13,070</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color w:val="auto"/>
              </w:rPr>
              <w:t>Total future minimum rental commitments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Imputed interest</w:t>
            </w:r>
          </w:p>
        </w:tc>
        <w:tc>
          <w:tcPr>
            <w:tcW w:w="1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13"/>
          </w:tcPr>
          <w:p>
            <w:pPr>
              <w:jc w:val="center"/>
              <w:ind w:right="180"/>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(Amounts in Thousands)</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9,752</w:t>
            </w:r>
          </w:p>
        </w:tc>
        <w:tc>
          <w:tcPr>
            <w:tcW w:w="54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13,130</w:t>
            </w:r>
          </w:p>
        </w:tc>
        <w:tc>
          <w:tcPr>
            <w:tcW w:w="540" w:type="dxa"/>
            <w:vAlign w:val="bottom"/>
            <w:gridSpan w:val="3"/>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776"/>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-5708650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-5691505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-5708650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-5691505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-5708650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-5691505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-5708650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-5691505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-4559935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08"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Unaudited Condensed Consolidated Statements of Income from the date of the acquisition.</w:t>
      </w:r>
    </w:p>
    <w:p>
      <w:pPr>
        <w:spacing w:after="0" w:line="199"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JourneyCare</w:t>
      </w:r>
    </w:p>
    <w:p>
      <w:pPr>
        <w:spacing w:after="0" w:line="104"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On February 1, 2022, the Company completed the acquisition of the hospice and palliative operations of JourneyCare Inc. (“JourneyCare”). The purchase price was approximately $86.6 million, including the amount of acquired excess cash held by JourneyCare at the closing of the acquisition (approximately $0.5 million) plus the finalization of net working capital payable to seller of $1.6 million. The JourneyCare acquisition was funded with a combination of a $35.0 million draw on the Company’s revolving credit facility and available cash. With the JourneyCare acquisition, the Company expanded its hospice services in the state of Illinois. The related acquisition costs were $0.1 million and $0.5 million for the three and nine months ended September 30, 2022, respectively, and integration costs were $0.8 million and $3.9 million for the three and nine months ended September 30, 2022, respectively. These costs were included in general and administrative expenses on the Unaudited Condensed Consolidated Statements of Income and were expensed as incurred.</w:t>
      </w:r>
    </w:p>
    <w:p>
      <w:pPr>
        <w:spacing w:after="0" w:line="186"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acquired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Total</w:t>
            </w:r>
          </w:p>
        </w:tc>
      </w:tr>
      <w:tr>
        <w:trPr>
          <w:trHeight w:val="185"/>
        </w:trPr>
        <w:tc>
          <w:tcPr>
            <w:tcW w:w="4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(Amounts in Thousands)</w:t>
            </w:r>
          </w:p>
        </w:tc>
      </w:tr>
      <w:tr>
        <w:trPr>
          <w:trHeight w:val="209"/>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5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70,724</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13,792</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5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5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Operating lease assets, net</w:t>
            </w: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5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(6,799 )</w:t>
            </w: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w:t>
            </w:r>
          </w:p>
        </w:tc>
        <w:tc>
          <w:tcPr>
            <w:tcW w:w="5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(1,511 )</w:t>
            </w: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(3,537 )</w:t>
            </w:r>
          </w:p>
        </w:tc>
      </w:tr>
      <w:tr>
        <w:trPr>
          <w:trHeight w:val="249"/>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purchase price</w:t>
            </w:r>
          </w:p>
        </w:tc>
        <w:tc>
          <w:tcPr>
            <w:tcW w:w="5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82"/>
        </w:trPr>
        <w:tc>
          <w:tcPr>
            <w:tcW w:w="4100" w:type="dxa"/>
            <w:vAlign w:val="bottom"/>
          </w:tcPr>
          <w:p>
            <w:pPr>
              <w:spacing w:after="0"/>
              <w:rPr>
                <w:sz w:val="24"/>
                <w:szCs w:val="24"/>
                <w:color w:val="auto"/>
              </w:rPr>
            </w:pPr>
          </w:p>
        </w:tc>
        <w:tc>
          <w:tcPr>
            <w:tcW w:w="5120" w:type="dxa"/>
            <w:vAlign w:val="bottom"/>
          </w:tcPr>
          <w:p>
            <w:pPr>
              <w:jc w:val="right"/>
              <w:ind w:right="3439"/>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4100" w:type="dxa"/>
            <w:vAlign w:val="bottom"/>
            <w:tcBorders>
              <w:bottom w:val="single" w:sz="8" w:color="9A9A9A"/>
            </w:tcBorders>
          </w:tcPr>
          <w:p>
            <w:pPr>
              <w:spacing w:after="0"/>
              <w:rPr>
                <w:sz w:val="9"/>
                <w:szCs w:val="9"/>
                <w:color w:val="auto"/>
              </w:rPr>
            </w:pPr>
          </w:p>
        </w:tc>
        <w:tc>
          <w:tcPr>
            <w:tcW w:w="5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98"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Identifiable intangible assets acquired included $9.0 million in a trade name and $4.8 million of indefinite 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66"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JourneyCare acquisition accounted for $12.2 million and $35.3 million of net service revenues and $2.4 million and $7.0 million of operating income for the three and nine months ended September 30, 2022, respectively.</w:t>
      </w:r>
    </w:p>
    <w:p>
      <w:pPr>
        <w:spacing w:after="0" w:line="143"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of the Company for the three and nine months ended September 30, 2022 as if the JourneyCare acquisition closed on January 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For the Three Months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2"/>
              </w:rPr>
              <w:t>Ended September 30,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80" w:type="dxa"/>
            <w:vAlign w:val="bottom"/>
            <w:gridSpan w:val="4"/>
          </w:tcPr>
          <w:p>
            <w:pPr>
              <w:jc w:val="right"/>
              <w:ind w:right="313"/>
              <w:spacing w:after="0" w:line="158" w:lineRule="exact"/>
              <w:rPr>
                <w:sz w:val="20"/>
                <w:szCs w:val="20"/>
                <w:color w:val="auto"/>
              </w:rPr>
            </w:pPr>
            <w:r>
              <w:rPr>
                <w:rFonts w:ascii="Arial" w:cs="Arial" w:eastAsia="Arial" w:hAnsi="Arial"/>
                <w:sz w:val="14"/>
                <w:szCs w:val="14"/>
                <w:b w:val="1"/>
                <w:bCs w:val="1"/>
                <w:color w:val="auto"/>
                <w:w w:val="97"/>
              </w:rPr>
              <w:t>For the Nine Months Ended September 30,</w:t>
            </w:r>
          </w:p>
        </w:tc>
        <w:tc>
          <w:tcPr>
            <w:tcW w:w="100" w:type="dxa"/>
            <w:vAlign w:val="bottom"/>
          </w:tcPr>
          <w:p>
            <w:pPr>
              <w:spacing w:after="0"/>
              <w:rPr>
                <w:sz w:val="13"/>
                <w:szCs w:val="13"/>
                <w:color w:val="auto"/>
              </w:rPr>
            </w:pPr>
          </w:p>
        </w:tc>
      </w:tr>
      <w:tr>
        <w:trPr>
          <w:trHeight w:val="189"/>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(Amounts in Thousands)</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(Amounts in Thousands)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231,439</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709,283</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683,828</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46,537</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48,136</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30,347</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33,234</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 income per share</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620" w:type="dxa"/>
            <w:vAlign w:val="bottom"/>
          </w:tcPr>
          <w:p>
            <w:pPr>
              <w:ind w:left="200"/>
              <w:spacing w:after="0" w:line="196" w:lineRule="exact"/>
              <w:rPr>
                <w:sz w:val="20"/>
                <w:szCs w:val="20"/>
                <w:color w:val="auto"/>
              </w:rPr>
            </w:pPr>
            <w:r>
              <w:rPr>
                <w:rFonts w:ascii="Arial" w:cs="Arial" w:eastAsia="Arial" w:hAnsi="Arial"/>
                <w:sz w:val="18"/>
                <w:szCs w:val="18"/>
                <w:color w:val="auto"/>
              </w:rPr>
              <w:t>Diluted income per share</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0.88</w:t>
            </w:r>
          </w:p>
        </w:tc>
        <w:tc>
          <w:tcPr>
            <w:tcW w:w="5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c>
          <w:tcPr>
            <w:tcW w:w="920" w:type="dxa"/>
            <w:vAlign w:val="bottom"/>
            <w:gridSpan w:val="2"/>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2.07</w:t>
            </w:r>
          </w:p>
        </w:tc>
        <w:tc>
          <w:tcPr>
            <w:tcW w:w="10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-187960</wp:posOffset>
            </wp:positionV>
            <wp:extent cx="242570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25700" cy="188595"/>
                    </a:xfrm>
                    <a:prstGeom prst="rect">
                      <a:avLst/>
                    </a:prstGeom>
                    <a:noFill/>
                  </pic:spPr>
                </pic:pic>
              </a:graphicData>
            </a:graphic>
          </wp:anchor>
        </w:drawing>
      </w:r>
    </w:p>
    <w:p>
      <w:pPr>
        <w:spacing w:after="0" w:line="168" w:lineRule="exact"/>
        <w:rPr>
          <w:sz w:val="20"/>
          <w:szCs w:val="20"/>
          <w:color w:val="auto"/>
        </w:rPr>
      </w:pPr>
    </w:p>
    <w:p>
      <w:pPr>
        <w:ind w:right="120" w:firstLine="509"/>
        <w:spacing w:after="0" w:line="288" w:lineRule="auto"/>
        <w:rPr>
          <w:sz w:val="20"/>
          <w:szCs w:val="20"/>
          <w:color w:val="auto"/>
        </w:rPr>
      </w:pPr>
      <w:r>
        <w:rPr>
          <w:rFonts w:ascii="Arial" w:cs="Arial" w:eastAsia="Arial" w:hAnsi="Arial"/>
          <w:sz w:val="16"/>
          <w:szCs w:val="16"/>
          <w:color w:val="auto"/>
        </w:rPr>
        <w:t>The pro forma disclosures in the table above include adjustments for amortization of intangible assets, tax expense and acquisition costs to reflect results that are more representative of the combined results of the transactions as if the operations of JourneyCare had been acquired effective January 1, 2021.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goodwill and related adjustments is provided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Hospice</w:t>
            </w:r>
          </w:p>
        </w:tc>
        <w:tc>
          <w:tcPr>
            <w:tcW w:w="12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Personal Care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75"/>
              <w:spacing w:after="0"/>
              <w:rPr>
                <w:sz w:val="20"/>
                <w:szCs w:val="20"/>
                <w:color w:val="auto"/>
              </w:rPr>
            </w:pPr>
            <w:r>
              <w:rPr>
                <w:rFonts w:ascii="Arial" w:cs="Arial" w:eastAsia="Arial" w:hAnsi="Arial"/>
                <w:sz w:val="14"/>
                <w:szCs w:val="14"/>
                <w:b w:val="1"/>
                <w:bCs w:val="1"/>
                <w:color w:val="auto"/>
                <w:w w:val="95"/>
              </w:rPr>
              <w:t>Home Health</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(Amounts</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w:t>
            </w:r>
          </w:p>
        </w:tc>
        <w:tc>
          <w:tcPr>
            <w:tcW w:w="1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24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as of December 31, 2021</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328,334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152,688</w:t>
            </w:r>
          </w:p>
        </w:tc>
        <w:tc>
          <w:tcPr>
            <w:tcW w:w="3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23,370</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504,392</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Additions for acquisitions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70,724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70,724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previously recorded goodwill</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Goodwill as of September 30, 2022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399,006</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152,688</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23,511</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575,205</w:t>
            </w:r>
          </w:p>
        </w:tc>
        <w:tc>
          <w:tcPr>
            <w:tcW w:w="10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7683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 connection with the JourneyCare acquisition, the Company recognized goodwill in its hospice segment of $70.7 million, during the nine months ended September 30, 2022. See Note 4 for additional information regarding the acquisition.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five to twenty-five years. Customer and referral relationships are amortized systematically over the periods of expected economic benefit, which range from five to ten years.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amount and accumulated amortization of each identifiable intangible asset category consisted of the following as of 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Customer</w:t>
            </w: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Trade</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96"/>
              </w:rPr>
              <w:t>and referral</w:t>
            </w: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names and</w:t>
            </w:r>
          </w:p>
        </w:tc>
        <w:tc>
          <w:tcPr>
            <w:tcW w:w="120" w:type="dxa"/>
            <w:vAlign w:val="bottom"/>
          </w:tcPr>
          <w:p>
            <w:pPr>
              <w:spacing w:after="0"/>
              <w:rPr>
                <w:sz w:val="13"/>
                <w:szCs w:val="13"/>
                <w:color w:val="auto"/>
              </w:rPr>
            </w:pP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competition</w:t>
            </w:r>
          </w:p>
        </w:tc>
        <w:tc>
          <w:tcPr>
            <w:tcW w:w="180" w:type="dxa"/>
            <w:vAlign w:val="bottom"/>
          </w:tcPr>
          <w:p>
            <w:pPr>
              <w:spacing w:after="0"/>
              <w:rPr>
                <w:sz w:val="13"/>
                <w:szCs w:val="13"/>
                <w:color w:val="auto"/>
              </w:rPr>
            </w:pPr>
          </w:p>
        </w:tc>
        <w:tc>
          <w:tcPr>
            <w:tcW w:w="10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relationships</w:t>
            </w:r>
          </w:p>
        </w:tc>
        <w:tc>
          <w:tcPr>
            <w:tcW w:w="24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5"/>
              </w:rPr>
              <w:t>trademarks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agreements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Licenses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carrying amount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(37,652 )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(20,402 )</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(4,581 )</w:t>
            </w: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(6,516 )</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(69,151 )</w:t>
            </w:r>
          </w:p>
        </w:tc>
        <w:tc>
          <w:tcPr>
            <w:tcW w:w="0" w:type="dxa"/>
            <w:vAlign w:val="bottom"/>
          </w:tcPr>
          <w:p>
            <w:pPr>
              <w:spacing w:after="0"/>
              <w:rPr>
                <w:sz w:val="1"/>
                <w:szCs w:val="1"/>
                <w:color w:val="auto"/>
              </w:rPr>
            </w:pPr>
          </w:p>
        </w:tc>
      </w:tr>
      <w:tr>
        <w:trPr>
          <w:trHeight w:val="385"/>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31,539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46,764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8"/>
                <w:szCs w:val="18"/>
                <w:color w:val="auto"/>
              </w:rPr>
              <w:t>Total intangible assets at September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31,539</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-1006475</wp:posOffset>
            </wp:positionV>
            <wp:extent cx="7145020" cy="3041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5020" cy="30416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-170815</wp:posOffset>
            </wp:positionV>
            <wp:extent cx="7683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7683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6858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ind w:right="360" w:firstLine="509"/>
        <w:spacing w:after="0" w:line="324" w:lineRule="auto"/>
        <w:rPr>
          <w:sz w:val="20"/>
          <w:szCs w:val="20"/>
          <w:color w:val="auto"/>
        </w:rPr>
      </w:pPr>
      <w:r>
        <w:rPr>
          <w:rFonts w:ascii="Arial" w:cs="Arial" w:eastAsia="Arial" w:hAnsi="Arial"/>
          <w:sz w:val="16"/>
          <w:szCs w:val="16"/>
          <w:color w:val="auto"/>
        </w:rPr>
        <w:t>In connection with the JourneyCare acquisition, the Company recognized a trade name of $9.0 million and indefinite lived state licenses of $4.8 million in its hospice segment during the three months ended March 31, 2022. See Note 4 for additional information regarding the acquisition.</w:t>
      </w:r>
    </w:p>
    <w:p>
      <w:pPr>
        <w:spacing w:after="0" w:line="138"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Amortization expense related to the intangible assets was $1.8 million and $5.4 million for the three and nine months ended September 30, 2022, respectively, and $1.9 million and $6.2 million for the three and nine months ended September 30, 2021, respectively. The weighted average remaining useful lives of identifiable intangible assets as of September 30, 2022 was 10.0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3"/>
              </w:rPr>
              <w:t>September 30, 2022</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20"/>
                <w:szCs w:val="20"/>
                <w:color w:val="auto"/>
              </w:rPr>
            </w:pPr>
            <w:r>
              <w:rPr>
                <w:rFonts w:ascii="Arial" w:cs="Arial" w:eastAsia="Arial" w:hAnsi="Arial"/>
                <w:sz w:val="14"/>
                <w:szCs w:val="14"/>
                <w:b w:val="1"/>
                <w:bCs w:val="1"/>
                <w:color w:val="auto"/>
              </w:rPr>
              <w:t>in</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workers' compensation and liability insurance</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4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Workers' compensation insurance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receivable</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7680" w:type="dxa"/>
            <w:vAlign w:val="bottom"/>
          </w:tcPr>
          <w:p>
            <w:pPr>
              <w:ind w:left="520"/>
              <w:spacing w:after="0"/>
              <w:rPr>
                <w:sz w:val="20"/>
                <w:szCs w:val="20"/>
                <w:color w:val="auto"/>
              </w:rPr>
            </w:pPr>
            <w:r>
              <w:rPr>
                <w:rFonts w:ascii="Arial" w:cs="Arial" w:eastAsia="Arial" w:hAnsi="Arial"/>
                <w:sz w:val="18"/>
                <w:szCs w:val="18"/>
                <w:color w:val="auto"/>
              </w:rPr>
              <w:t>Accrued expenses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September 30, 2022</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24"/>
                <w:szCs w:val="24"/>
                <w:color w:val="auto"/>
              </w:rPr>
            </w:pPr>
          </w:p>
        </w:tc>
      </w:tr>
      <w:tr>
        <w:trPr>
          <w:trHeight w:val="169"/>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20"/>
                <w:szCs w:val="20"/>
                <w:color w:val="auto"/>
              </w:rPr>
            </w:pPr>
            <w:r>
              <w:rPr>
                <w:rFonts w:ascii="Arial" w:cs="Arial" w:eastAsia="Arial" w:hAnsi="Arial"/>
                <w:sz w:val="14"/>
                <w:szCs w:val="14"/>
                <w:b w:val="1"/>
                <w:bCs w:val="1"/>
                <w:color w:val="auto"/>
              </w:rPr>
              <w:t>in</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w:t>
            </w:r>
          </w:p>
        </w:tc>
        <w:tc>
          <w:tcPr>
            <w:tcW w:w="4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Payor advances (1)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health insurance</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income &amp; business tax</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tcPr>
          <w:p>
            <w:pPr>
              <w:spacing w:after="0"/>
              <w:rPr>
                <w:sz w:val="18"/>
                <w:szCs w:val="18"/>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-1645285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-1628140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left="1260" w:hanging="503"/>
        <w:spacing w:after="0" w:line="252"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deferred portion of payments received from payors for COVID-19 reimbursements which will be recognized as we incur specific COVID-19 related expenses (including expenses related to securing and maintaining adequate personnel) or will be returned to the extent such related expenses are not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-361315</wp:posOffset>
            </wp:positionV>
            <wp:extent cx="1431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COVID-19 Pandemic</w:t>
      </w:r>
    </w:p>
    <w:p>
      <w:pPr>
        <w:spacing w:after="0" w:line="108"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In recognition of the significant threat to the liquidity of financial markets posed by the COVID-19 pandemic, the Federal Reserve and Congress took dramatic actions to provide liquidity to businesses and the banking system in the United States, as described below.</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Provider Relief Fund</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One of the primary sources of relief for healthcare providers is the Provider Relief Fund, which has been funded through the Coronavirus Aid, Relief, and Economic Security Act (“CARES Act”) and related legislation. Provider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 Commercial organizations that receive and expend annual total awards of $750,000 or more in federal funding, including payments received through the Provider Relief Fund, are subject to federal audit requirements.</w:t>
      </w:r>
    </w:p>
    <w:p>
      <w:pPr>
        <w:spacing w:after="0" w:line="175"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auto"/>
        </w:rPr>
        <w:t>In November 2020, the Company received grants in an aggregate principal amount of $13.7 million from the Provider Relief Fund, and fully utilized these funds as of December 31, 2021, including $0.4 million and $11.7 million during the three and nine months ended September 30, 2021, respectively, for healthcare related expenses, including retention payments, attributable to COVID-19 that were unreimbursed by other sources. We properly and fully documented the use of such funds in reports submitted to the U.S. Department of Health &amp; Human Services (“HHS”) in the quarter ended March 31, 2022. During the quarter ended September 30, 2022, we submitted an unmodified audit report to HHS in accordance with Generally Accepted Government Auditing Standards, as required for commercial organizations that received and expended total awards of $750,000 or more.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tax deferral</w:t>
      </w:r>
    </w:p>
    <w:p>
      <w:pPr>
        <w:spacing w:after="0" w:line="104"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The CARES Act also provided for certain federal income and other tax changes, including allowing for the deferral of the employer portion of Social Security payroll taxes through December 31, 2020. The Company received a cash benefit of approximately $7.1 million related to the deferral of employer payroll taxes for 2020 under the CARES Act, for the period April 2, 2020 through June 30, 2020. As of September 30, 2022 and December 31, 2021, the deferred portion of employer Social Security payroll taxes was $4.1 million, which is included within Government stimulus advances on the Company’s Unaudited Condensed Consolidated Balance Sheets. The payroll tax deferral requires that the remaining deferred payroll taxes be paid by December 31, 2022.</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ARPA Spending Plans</w:t>
      </w:r>
    </w:p>
    <w:p>
      <w:pPr>
        <w:spacing w:after="0" w:line="104"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The American Rescue Plan Act of 2021 (“ARPA”), which became law on March 11, 2021, provides for $350 billion in relief funding for eligible state, local, territorial, and Tribal governments to mitigate the fiscal effects of the COVID-19 public health emergency. Additionally, the law provides for a 10-percentage point increase in federal matching funds for Medicaid home and community 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173"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nine months ended September 30, 2022, the Company received state funding provided by the ARPA in an aggregate amount of $22.4 million. The Company recorded revenue of $1.7 million and related cost of service revenues of $1.3 million for certain states that met the revenue recognition criteria. The Company deferred the remaining $20.7 million, which was received from states with specific spending plans and reporting requirements. The Company utilized $3.2 million and $3.6 million of these funds during the three and nine months ended September 30, 2022, respectively, primarily for caregivers and adding support to recruiting and retention efforts, included as a reduction of cost of service revenues in the Company’s Unaudited Condensed Consolidated Statements of Income. As of September 30, 2022, the deferred portion of ARPA funding was $17.0 million, which is included within Government stimulus advances on the Company’s Unaudited Condensed Consolidated Balance Sheets.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Medicare sequester</w:t>
      </w:r>
    </w:p>
    <w:p>
      <w:pPr>
        <w:spacing w:after="0" w:line="104"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The CARES Act and related laws temporarily lifted the Medicare sequester which would have otherwise reduced payments to Medicare providers by 2%, as required by the Budget Control Act of 2011, from May 1, 2020, through December 31, 2021. Congress further delayed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these sequestration cuts through March 31, 2022, and reduced the sequestration adjustment to 1% from April 1 through June 30, 2022. The full 2% reduction resumed July 1, 2022. These sequestration cuts have been extended through 2030, with the reductions for 2030 set to increase to 2.25% for the first six months and to 3% for the second six months.</w:t>
      </w:r>
    </w:p>
    <w:p>
      <w:pPr>
        <w:spacing w:after="0" w:line="195"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In the hospice segment, Medicare sequester relief resulted in an increase in net service revenues of $0.0 million and $0.7 million for the three months ended September 30, 2022 and 2021, respectively, and $1.4 million and $2.1 million for the nine months ended September 30, 2022 and 2021, respectively. In the home health segment, Medicare sequester relief resulted in an increase in net service revenues of $0.0 million and $0.1 million for the three months ended September 30, 2022 and 2021, respectively, and $0.3 million for both nine month periods ended September 30, 2022 and 2021.</w:t>
      </w:r>
    </w:p>
    <w:p>
      <w:pPr>
        <w:spacing w:after="0" w:line="150"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The ARPA increases the federal budget deficit in a manner that triggers an additional statutorily mandated sequestration under the Pay-As-You-Go Act of 2010 (“PAYGO Act”). As a result, an additional Medicare payment reduction of up to 4% was required to take effect in January 2022. However, Congress delayed implementation of this payment reduction until 2023. We cannot currently determine if, or to what extent, our business, results of operations, financial condition or liquidity will ultimately be impacted by mandated sequestration triggers under the PAYGO Act, or if or when the mandated sequestration will occur.</w:t>
      </w:r>
    </w:p>
    <w:p>
      <w:pPr>
        <w:spacing w:after="0" w:line="186"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For the three and nine months ended September 30, 2022, COVID-19-related expenses in our personal care segment were approximately $0.9 million and $3.7 million, respectively, and are included in cost of service revenues on the Consolidated Statements of Income. For the three and nine months ended September 30, 2021, COVID-19-related expenses in our personal care segment were approximately $1.3 million and $14.6 million, respectively, which were offset by $0.4 million and $11.7 million, respectively, related to the utilization of a portion of the funds received from the Provider Relief Fund in November 2020 and included in cost of service revenues on the Condensed Consolidated Statements of Income. Additionally, the Company recognized revenue of $1.3 million and $4.3 million attributable to temporary rate increases from certain payors in our personal care segment for the three and nine months ended September 30, 2022, respectively, and $1.3 million and $6.1 million for the three and nine months ended September 30, 2021, respectively.</w:t>
      </w:r>
    </w:p>
    <w:p>
      <w:pPr>
        <w:spacing w:after="0" w:line="186" w:lineRule="exact"/>
        <w:rPr>
          <w:sz w:val="20"/>
          <w:szCs w:val="20"/>
          <w:color w:val="auto"/>
        </w:rPr>
      </w:pPr>
    </w:p>
    <w:p>
      <w:pPr>
        <w:ind w:right="300" w:firstLine="509"/>
        <w:spacing w:after="0" w:line="256" w:lineRule="auto"/>
        <w:rPr>
          <w:sz w:val="20"/>
          <w:szCs w:val="20"/>
          <w:color w:val="auto"/>
        </w:rPr>
      </w:pPr>
      <w:r>
        <w:rPr>
          <w:rFonts w:ascii="Arial" w:cs="Arial" w:eastAsia="Arial" w:hAnsi="Arial"/>
          <w:sz w:val="18"/>
          <w:szCs w:val="18"/>
          <w:color w:val="auto"/>
        </w:rPr>
        <w:t>For the three and nine months ended September 30, 2021, COVID-19-related expenses in our hospice segment were approximately $1.9 million, which were offset by $1.9 million, related to the utilization of a portion of the funds received from the Queen City Hospice Provider Relief Fund and included in cost of service revenues on the Condensed Consolidated Statements of Income.</w:t>
      </w:r>
    </w:p>
    <w:p>
      <w:pPr>
        <w:spacing w:after="0" w:line="175"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Although the United States has experienced a moderation of infection and related hospitalization rates, there continues to be a significant number of COVID-19 cases and deaths in the United States and throughout the world. Given the longer-term uncertainties associated with the COVID-19 pandemic, it is impossible to predict the effect and ultimate impact of the COVID-19 pandemic on the Company as conditions related to the COVID-19 pandemic continue to evolve.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w w:val="96"/>
              </w:rPr>
              <w:t>September 30, 2022</w:t>
            </w: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2021</w:t>
            </w:r>
          </w:p>
        </w:tc>
      </w:tr>
      <w:tr>
        <w:trPr>
          <w:trHeight w:val="169"/>
        </w:trPr>
        <w:tc>
          <w:tcPr>
            <w:tcW w:w="77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in</w:t>
            </w:r>
          </w:p>
        </w:tc>
        <w:tc>
          <w:tcPr>
            <w:tcW w:w="1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loan under the credit facility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166,853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224,853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8"/>
                <w:szCs w:val="18"/>
                <w:color w:val="auto"/>
              </w:rPr>
              <w:t>Less unamortized issuance costs</w:t>
            </w:r>
          </w:p>
        </w:tc>
        <w:tc>
          <w:tcPr>
            <w:tcW w:w="140" w:type="dxa"/>
            <w:vAlign w:val="bottom"/>
          </w:tcPr>
          <w:p>
            <w:pPr>
              <w:spacing w:after="0"/>
              <w:rPr>
                <w:sz w:val="18"/>
                <w:szCs w:val="18"/>
                <w:color w:val="auto"/>
              </w:rPr>
            </w:pPr>
          </w:p>
        </w:tc>
        <w:tc>
          <w:tcPr>
            <w:tcW w:w="1720" w:type="dxa"/>
            <w:vAlign w:val="bottom"/>
            <w:gridSpan w:val="2"/>
          </w:tcPr>
          <w:p>
            <w:pPr>
              <w:jc w:val="right"/>
              <w:ind w:right="148"/>
              <w:spacing w:after="0"/>
              <w:rPr>
                <w:sz w:val="20"/>
                <w:szCs w:val="20"/>
                <w:color w:val="auto"/>
              </w:rPr>
            </w:pPr>
            <w:r>
              <w:rPr>
                <w:rFonts w:ascii="Arial" w:cs="Arial" w:eastAsia="Arial" w:hAnsi="Arial"/>
                <w:sz w:val="18"/>
                <w:szCs w:val="18"/>
                <w:color w:val="auto"/>
              </w:rPr>
              <w:t>(3,296 )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(3,941 )</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163,557</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On October 31, 2018, the Company entered into the Amended and Restated Credit Agreement, dated as of October 31, 2018, with certain lenders and Capital One, National Association, as a lender and as agent for all lenders, as amended by the First Amendment to Amended and Restated Credit Agreement, dated as of September 12, 2019, and as further amended by the Second Amendment to Amended and Restated Credit Agreement, dated as of July 30, 2021 (as amended, the “Credit Agreement”; as used throughout this Quarterly Report on Form 10-Q, “credit facility” shall mean the credit facility evidenced by the Credit Agreement). The credit facility consists of a $600.0 million revolving credit facility and a $125.0 million incremental loan facility, which incremental loan facility may be for term loans or an increase to the revolving loan commitments. The maturity of this credit facility is July 30, 2026. 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04" w:lineRule="exact"/>
        <w:rPr>
          <w:sz w:val="20"/>
          <w:szCs w:val="20"/>
          <w:color w:val="auto"/>
        </w:rPr>
      </w:pPr>
    </w:p>
    <w:p>
      <w:pPr>
        <w:jc w:val="both"/>
        <w:ind w:right="160"/>
        <w:spacing w:after="0" w:line="290" w:lineRule="auto"/>
        <w:rPr>
          <w:sz w:val="20"/>
          <w:szCs w:val="20"/>
          <w:color w:val="auto"/>
        </w:rPr>
      </w:pPr>
      <w:r>
        <w:rPr>
          <w:rFonts w:ascii="Arial" w:cs="Arial" w:eastAsia="Arial" w:hAnsi="Arial"/>
          <w:sz w:val="16"/>
          <w:szCs w:val="16"/>
          <w:color w:val="auto"/>
        </w:rPr>
        <w:t>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5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w:t>
      </w:r>
    </w:p>
    <w:p>
      <w:pPr>
        <w:spacing w:after="0" w:line="12" w:lineRule="exact"/>
        <w:rPr>
          <w:sz w:val="20"/>
          <w:szCs w:val="20"/>
          <w:color w:val="auto"/>
        </w:rPr>
      </w:pPr>
    </w:p>
    <w:p>
      <w:pPr>
        <w:ind w:right="280"/>
        <w:spacing w:after="0" w:line="242" w:lineRule="auto"/>
        <w:rPr>
          <w:sz w:val="20"/>
          <w:szCs w:val="20"/>
          <w:color w:val="auto"/>
        </w:rPr>
      </w:pPr>
      <w:r>
        <w:rPr>
          <w:rFonts w:ascii="Arial" w:cs="Arial" w:eastAsia="Arial" w:hAnsi="Arial"/>
          <w:sz w:val="18"/>
          <w:szCs w:val="18"/>
          <w:color w:val="auto"/>
        </w:rPr>
        <w:t>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89"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94" w:lineRule="exact"/>
        <w:rPr>
          <w:sz w:val="20"/>
          <w:szCs w:val="20"/>
          <w:color w:val="auto"/>
        </w:rPr>
      </w:pPr>
    </w:p>
    <w:p>
      <w:pPr>
        <w:ind w:right="220" w:firstLine="509"/>
        <w:spacing w:after="0" w:line="268" w:lineRule="auto"/>
        <w:rPr>
          <w:sz w:val="20"/>
          <w:szCs w:val="20"/>
          <w:color w:val="auto"/>
        </w:rPr>
      </w:pPr>
      <w:r>
        <w:rPr>
          <w:rFonts w:ascii="Arial" w:cs="Arial" w:eastAsia="Arial" w:hAnsi="Arial"/>
          <w:sz w:val="17"/>
          <w:szCs w:val="17"/>
          <w:color w:val="auto"/>
        </w:rPr>
        <w:t>The Company pays a fee ranging from 0.20% to 0.35% based on the applicable senior net leverage ratio times the unused portion of the revolving loan portion of the credit facility. The credit facility contains hardwired fallback language that contemplates a transition from LIBOR, and specifically identifies SOFR as the replacement reference rate and details the mechanism for transition at LIBOR cessation, which is anticipated to occur on June 30, 2023. The transition to SOFR is not expected to have a material impact on the Company’s results of operations or liquidity.</w:t>
      </w:r>
    </w:p>
    <w:p>
      <w:pPr>
        <w:spacing w:after="0" w:line="16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During the nine months ended September 30, 2022, the Company (i) drew $47.0 million under its credit facility to fund, in part, the JourneyCare and Apple Home acquisitions and (ii) repaid $105.0 million under the revolving credit facility. During the nine months ended September 30, 2021, the Company drew $29.0 million under its credit facility.</w:t>
      </w:r>
    </w:p>
    <w:p>
      <w:pPr>
        <w:spacing w:after="0" w:line="195"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At September 30, 2022, the Company had a total of $166.9 million of revolving loans, with an interest rate of 5.11%, outstanding on its credit facility. After giving effect to the amount drawn on its credit facility, approximately $8.1 million of outstanding letters of credit and borrowing limits based on an advance multiple of adjusted EBITDA (as defined in the Credit Agreement), the Company had $375.5 million of capacity and $200.5 million</w:t>
      </w:r>
    </w:p>
    <w:p>
      <w:pPr>
        <w:spacing w:after="0" w:line="1"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available for borrowing under its credit facility. As of December 31, 2021, the Company had a total of $224.9 million of revolving loans, with an interest rate of 2.10%, outstanding on its credit facility.</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 Company was in compliance with all financial covenants under the Credit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08" w:lineRule="exact"/>
        <w:rPr>
          <w:sz w:val="20"/>
          <w:szCs w:val="20"/>
          <w:color w:val="auto"/>
        </w:rPr>
      </w:pPr>
    </w:p>
    <w:p>
      <w:pPr>
        <w:ind w:right="220" w:firstLine="509"/>
        <w:spacing w:after="0" w:line="282" w:lineRule="auto"/>
        <w:rPr>
          <w:sz w:val="20"/>
          <w:szCs w:val="20"/>
          <w:color w:val="auto"/>
        </w:rPr>
      </w:pPr>
      <w:r>
        <w:rPr>
          <w:rFonts w:ascii="Arial" w:cs="Arial" w:eastAsia="Arial" w:hAnsi="Arial"/>
          <w:sz w:val="16"/>
          <w:szCs w:val="16"/>
          <w:color w:val="auto"/>
        </w:rPr>
        <w:t>The effective income tax rates were 23.7% and 26.6% for the three months ended September 30, 2022 and 2021, respectively. The difference between our federal statutory and effective income tax rates is principally due to the inclusion of state taxes, non-deductible compensation and an excess</w:t>
      </w:r>
    </w:p>
    <w:p>
      <w:pPr>
        <w:spacing w:after="0"/>
        <w:rPr>
          <w:sz w:val="20"/>
          <w:szCs w:val="20"/>
          <w:color w:val="auto"/>
        </w:rPr>
      </w:pPr>
      <w:r>
        <w:rPr>
          <w:rFonts w:ascii="Arial" w:cs="Arial" w:eastAsia="Arial" w:hAnsi="Arial"/>
          <w:sz w:val="18"/>
          <w:szCs w:val="18"/>
          <w:color w:val="auto"/>
        </w:rPr>
        <w:t>tax expense, partially offset by the use of federal employment tax credits.</w:t>
      </w:r>
    </w:p>
    <w:p>
      <w:pPr>
        <w:spacing w:after="0" w:line="211" w:lineRule="exact"/>
        <w:rPr>
          <w:sz w:val="20"/>
          <w:szCs w:val="20"/>
          <w:color w:val="auto"/>
        </w:rPr>
      </w:pPr>
    </w:p>
    <w:p>
      <w:pPr>
        <w:ind w:right="120" w:firstLine="509"/>
        <w:spacing w:after="0" w:line="280" w:lineRule="auto"/>
        <w:rPr>
          <w:sz w:val="20"/>
          <w:szCs w:val="20"/>
          <w:color w:val="auto"/>
        </w:rPr>
      </w:pPr>
      <w:r>
        <w:rPr>
          <w:rFonts w:ascii="Arial" w:cs="Arial" w:eastAsia="Arial" w:hAnsi="Arial"/>
          <w:sz w:val="16"/>
          <w:szCs w:val="16"/>
          <w:color w:val="auto"/>
        </w:rPr>
        <w:t>The effective income tax rates were 25.4% and 24.7% for the nine months ended September 30, 2022 and 2021, respectively. For the nine months ended September 30, 2022, the difference between our federal statutory and effective income tax rates was principally due to the inclusion of state taxes, non-deductible compensation, and excess tax expense, partially offset by the use of federal employment tax credits. For the nine months ended September 30, 2022 and 2021, the effective tax rates were inclusive of an excess tax expense of 0.8% and an excess tax benefit of 2.1%, respectively. The excess tax expense or benefit is a discrete item, related to the vesting of equity shares, which requires the Company to recognize the expense or benefit fully in the period. An excess tax expense results if the Company’s cumulative costs of the award recognized exceed the income tax deduction on the Unaudited Condensed Consolidated Statements of Income, whereas an excess tax benefit results if the Company’s cumulative costs of the award recognized are less than the income tax deduction on the Unaudited Condensed Consolidated Statements of Income.</w:t>
      </w:r>
    </w:p>
    <w:p>
      <w:pPr>
        <w:spacing w:after="0" w:line="236" w:lineRule="exact"/>
        <w:rPr>
          <w:sz w:val="20"/>
          <w:szCs w:val="20"/>
          <w:color w:val="auto"/>
        </w:rPr>
      </w:pPr>
    </w:p>
    <w:p>
      <w:pPr>
        <w:ind w:right="8400" w:firstLine="8"/>
        <w:spacing w:after="0" w:line="375" w:lineRule="auto"/>
        <w:tabs>
          <w:tab w:leader="none" w:pos="27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Legal Proceedings</w:t>
      </w:r>
    </w:p>
    <w:p>
      <w:pPr>
        <w:ind w:left="520"/>
        <w:spacing w:after="0"/>
        <w:rPr>
          <w:rFonts w:ascii="Arial" w:cs="Arial" w:eastAsia="Arial" w:hAnsi="Arial"/>
          <w:sz w:val="17"/>
          <w:szCs w:val="17"/>
          <w:b w:val="1"/>
          <w:bCs w:val="1"/>
          <w:color w:val="auto"/>
        </w:rPr>
      </w:pPr>
      <w:r>
        <w:rPr>
          <w:rFonts w:ascii="Arial" w:cs="Arial" w:eastAsia="Arial" w:hAnsi="Arial"/>
          <w:sz w:val="18"/>
          <w:szCs w:val="18"/>
          <w:color w:val="auto"/>
        </w:rPr>
        <w:t>From time to time, the Company is subject to legal and/or administrative proceedings incidental to its business.</w:t>
      </w:r>
    </w:p>
    <w:p>
      <w:pPr>
        <w:spacing w:after="0" w:line="212"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On June 2, 2021, the Company received a $6.5 million Request for Repayment from Palmetto, GBA, LLC (“Palmetto”), a Medicare administrative contractor, regarding Ambercare Hospice Inc. (“Ambercare”), our subsidiary that provides hospice services in New Mexico. In 2018, the Office of Audit Services (“OAS”), under the HHS Office of Inspector General, initiated a clinical review of certain hospice claims billed during a timeframe from January 1, 2016 to December 31, 2017. The OAS review concluded that certain payments to Ambercare for hospice services during the review period were made in error. The Company acquired Ambercare in May 2018 and has a contractual right to full indemnification from any potential losses from the OAS review through the terms of the Ambercare purchase agreement. The Company disputes the results of the OAS review and related asserted billing errors and is in the process of filing administrative appeals. At this stage, the Company cannot predict the ultimate outcome of the appeal process.</w:t>
      </w:r>
    </w:p>
    <w:p>
      <w:pPr>
        <w:spacing w:after="0" w:line="157" w:lineRule="exact"/>
        <w:rPr>
          <w:sz w:val="20"/>
          <w:szCs w:val="20"/>
          <w:color w:val="auto"/>
        </w:rPr>
      </w:pPr>
    </w:p>
    <w:p>
      <w:pPr>
        <w:ind w:right="780" w:firstLine="509"/>
        <w:spacing w:after="0" w:line="291" w:lineRule="auto"/>
        <w:rPr>
          <w:sz w:val="20"/>
          <w:szCs w:val="20"/>
          <w:color w:val="auto"/>
        </w:rPr>
      </w:pPr>
      <w:r>
        <w:rPr>
          <w:rFonts w:ascii="Arial" w:cs="Arial" w:eastAsia="Arial" w:hAnsi="Arial"/>
          <w:sz w:val="17"/>
          <w:szCs w:val="17"/>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08"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2"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The tables below set forth information about the Company’s reportable segments,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320" w:firstLine="509"/>
        <w:spacing w:after="0" w:line="24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13"/>
          </w:tcPr>
          <w:p>
            <w:pPr>
              <w:jc w:val="center"/>
              <w:ind w:left="675"/>
              <w:spacing w:after="0"/>
              <w:rPr>
                <w:sz w:val="20"/>
                <w:szCs w:val="20"/>
                <w:color w:val="auto"/>
              </w:rPr>
            </w:pPr>
            <w:r>
              <w:rPr>
                <w:rFonts w:ascii="Arial" w:cs="Arial" w:eastAsia="Arial" w:hAnsi="Arial"/>
                <w:sz w:val="14"/>
                <w:szCs w:val="14"/>
                <w:b w:val="1"/>
                <w:bCs w:val="1"/>
                <w:color w:val="auto"/>
                <w:w w:val="93"/>
              </w:rPr>
              <w:t>For the Three Months Ended September 30, 2022</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center"/>
              <w:ind w:right="390"/>
              <w:spacing w:after="0"/>
              <w:rPr>
                <w:sz w:val="20"/>
                <w:szCs w:val="20"/>
                <w:color w:val="auto"/>
              </w:rPr>
            </w:pPr>
            <w:r>
              <w:rPr>
                <w:rFonts w:ascii="Arial" w:cs="Arial" w:eastAsia="Arial" w:hAnsi="Arial"/>
                <w:sz w:val="14"/>
                <w:szCs w:val="14"/>
                <w:b w:val="1"/>
                <w:bCs w:val="1"/>
                <w:color w:val="auto"/>
                <w:w w:val="92"/>
              </w:rPr>
              <w:t>(Amounts 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3"/>
                <w:szCs w:val="13"/>
                <w:b w:val="1"/>
                <w:bCs w:val="1"/>
                <w:color w:val="auto"/>
              </w:rPr>
              <w:t>Personal Care</w:t>
            </w:r>
          </w:p>
        </w:tc>
        <w:tc>
          <w:tcPr>
            <w:tcW w:w="22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3"/>
                <w:szCs w:val="13"/>
                <w:b w:val="1"/>
                <w:bCs w:val="1"/>
                <w:color w:val="auto"/>
              </w:rPr>
              <w:t>Hospice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290"/>
              <w:spacing w:after="0"/>
              <w:rPr>
                <w:sz w:val="20"/>
                <w:szCs w:val="20"/>
                <w:color w:val="auto"/>
              </w:rPr>
            </w:pPr>
            <w:r>
              <w:rPr>
                <w:rFonts w:ascii="Arial" w:cs="Arial" w:eastAsia="Arial" w:hAnsi="Arial"/>
                <w:sz w:val="13"/>
                <w:szCs w:val="13"/>
                <w:b w:val="1"/>
                <w:bCs w:val="1"/>
                <w:color w:val="auto"/>
                <w:w w:val="95"/>
              </w:rPr>
              <w:t>Home Health</w:t>
            </w:r>
          </w:p>
        </w:tc>
        <w:tc>
          <w:tcPr>
            <w:tcW w:w="260" w:type="dxa"/>
            <w:vAlign w:val="bottom"/>
          </w:tcPr>
          <w:p>
            <w:pPr>
              <w:spacing w:after="0"/>
              <w:rPr>
                <w:sz w:val="14"/>
                <w:szCs w:val="14"/>
                <w:color w:val="auto"/>
              </w:rPr>
            </w:pPr>
          </w:p>
        </w:tc>
        <w:tc>
          <w:tcPr>
            <w:tcW w:w="900" w:type="dxa"/>
            <w:vAlign w:val="bottom"/>
          </w:tcPr>
          <w:p>
            <w:pPr>
              <w:jc w:val="right"/>
              <w:ind w:right="353"/>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r>
      <w:tr>
        <w:trPr>
          <w:trHeight w:val="211"/>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179,180</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9,956</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240,495</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Cost of services revenues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7,647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165,310</w:t>
            </w:r>
          </w:p>
        </w:tc>
        <w:tc>
          <w:tcPr>
            <w:tcW w:w="100" w:type="dxa"/>
            <w:vAlign w:val="bottom"/>
          </w:tcPr>
          <w:p>
            <w:pPr>
              <w:spacing w:after="0"/>
              <w:rPr>
                <w:sz w:val="18"/>
                <w:szCs w:val="18"/>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47,212</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25,664</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75,185</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2,410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30,198</w:t>
            </w:r>
          </w:p>
        </w:tc>
        <w:tc>
          <w:tcPr>
            <w:tcW w:w="100" w:type="dxa"/>
            <w:vAlign w:val="bottom"/>
          </w:tcPr>
          <w:p>
            <w:pPr>
              <w:spacing w:after="0"/>
              <w:rPr>
                <w:sz w:val="18"/>
                <w:szCs w:val="18"/>
                <w:color w:val="auto"/>
              </w:rPr>
            </w:pPr>
          </w:p>
        </w:tc>
      </w:tr>
      <w:tr>
        <w:trPr>
          <w:trHeight w:val="249"/>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31,974</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13,114</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2"/>
        </w:trPr>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3"/>
          </w:tcPr>
          <w:p>
            <w:pPr>
              <w:jc w:val="center"/>
              <w:ind w:left="715"/>
              <w:spacing w:after="0"/>
              <w:rPr>
                <w:sz w:val="20"/>
                <w:szCs w:val="20"/>
                <w:color w:val="auto"/>
              </w:rPr>
            </w:pPr>
            <w:r>
              <w:rPr>
                <w:rFonts w:ascii="Arial" w:cs="Arial" w:eastAsia="Arial" w:hAnsi="Arial"/>
                <w:sz w:val="14"/>
                <w:szCs w:val="14"/>
                <w:b w:val="1"/>
                <w:bCs w:val="1"/>
                <w:color w:val="auto"/>
                <w:w w:val="93"/>
              </w:rPr>
              <w:t>For the Three Months Ended September 30, 2021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center"/>
              <w:ind w:right="350"/>
              <w:spacing w:after="0"/>
              <w:rPr>
                <w:sz w:val="20"/>
                <w:szCs w:val="20"/>
                <w:color w:val="auto"/>
              </w:rPr>
            </w:pPr>
            <w:r>
              <w:rPr>
                <w:rFonts w:ascii="Arial" w:cs="Arial" w:eastAsia="Arial" w:hAnsi="Arial"/>
                <w:sz w:val="14"/>
                <w:szCs w:val="14"/>
                <w:b w:val="1"/>
                <w:bCs w:val="1"/>
                <w:color w:val="auto"/>
                <w:w w:val="92"/>
              </w:rPr>
              <w:t>(Amounts 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Personal Care</w:t>
            </w:r>
          </w:p>
        </w:tc>
        <w:tc>
          <w:tcPr>
            <w:tcW w:w="22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Hospice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95"/>
              </w:rPr>
              <w:t>Home Health</w:t>
            </w:r>
          </w:p>
        </w:tc>
        <w:tc>
          <w:tcPr>
            <w:tcW w:w="260" w:type="dxa"/>
            <w:vAlign w:val="bottom"/>
          </w:tcPr>
          <w:p>
            <w:pPr>
              <w:spacing w:after="0"/>
              <w:rPr>
                <w:sz w:val="14"/>
                <w:szCs w:val="14"/>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169,609</w:t>
            </w: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39,095</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216,662</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Cost of services revenues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125,647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18,992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149,616</w:t>
            </w:r>
          </w:p>
        </w:tc>
        <w:tc>
          <w:tcPr>
            <w:tcW w:w="100" w:type="dxa"/>
            <w:vAlign w:val="bottom"/>
          </w:tcPr>
          <w:p>
            <w:pPr>
              <w:spacing w:after="0"/>
              <w:rPr>
                <w:sz w:val="18"/>
                <w:szCs w:val="18"/>
                <w:color w:val="auto"/>
              </w:rPr>
            </w:pPr>
          </w:p>
        </w:tc>
      </w:tr>
      <w:tr>
        <w:trPr>
          <w:trHeight w:val="210"/>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43,962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20,103</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67,046</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15,166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8,880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25,523</w:t>
            </w:r>
          </w:p>
        </w:tc>
        <w:tc>
          <w:tcPr>
            <w:tcW w:w="100" w:type="dxa"/>
            <w:vAlign w:val="bottom"/>
          </w:tcPr>
          <w:p>
            <w:pPr>
              <w:spacing w:after="0"/>
              <w:rPr>
                <w:sz w:val="18"/>
                <w:szCs w:val="18"/>
                <w:color w:val="auto"/>
              </w:rPr>
            </w:pPr>
          </w:p>
        </w:tc>
      </w:tr>
      <w:tr>
        <w:trPr>
          <w:trHeight w:val="249"/>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28,796</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11,223</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41,523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-1250950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-1233805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-1250950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-1233805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-1250950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-1233805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-25400</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Segment reconciliation: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segment operating income</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Items not allocated at segment level: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general and administrative expenses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4"/>
                <w:szCs w:val="14"/>
                <w:color w:val="auto"/>
              </w:rPr>
            </w:pPr>
          </w:p>
        </w:tc>
      </w:tr>
      <w:tr>
        <w:trPr>
          <w:trHeight w:val="169"/>
        </w:trPr>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(Amounts</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in</w:t>
            </w: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5"/>
              </w:rPr>
              <w:t>Thousands)</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425"/>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44,987</w:t>
            </w:r>
          </w:p>
        </w:tc>
        <w:tc>
          <w:tcPr>
            <w:tcW w:w="2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41,523</w:t>
            </w:r>
          </w:p>
        </w:tc>
        <w:tc>
          <w:tcPr>
            <w:tcW w:w="60" w:type="dxa"/>
            <w:vAlign w:val="bottom"/>
          </w:tcPr>
          <w:p>
            <w:pPr>
              <w:spacing w:after="0"/>
              <w:rPr>
                <w:sz w:val="24"/>
                <w:szCs w:val="24"/>
                <w:color w:val="auto"/>
              </w:rPr>
            </w:pPr>
          </w:p>
        </w:tc>
      </w:tr>
      <w:tr>
        <w:trPr>
          <w:trHeight w:val="634"/>
        </w:trPr>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24,030</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20,757</w:t>
            </w:r>
          </w:p>
        </w:tc>
        <w:tc>
          <w:tcPr>
            <w:tcW w:w="6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3,441</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3,406</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460" w:type="dxa"/>
            <w:vAlign w:val="bottom"/>
            <w:gridSpan w:val="2"/>
          </w:tcPr>
          <w:p>
            <w:pPr>
              <w:jc w:val="right"/>
              <w:ind w:right="148"/>
              <w:spacing w:after="0"/>
              <w:rPr>
                <w:sz w:val="20"/>
                <w:szCs w:val="20"/>
                <w:color w:val="auto"/>
              </w:rPr>
            </w:pPr>
            <w:r>
              <w:rPr>
                <w:rFonts w:ascii="Arial" w:cs="Arial" w:eastAsia="Arial" w:hAnsi="Arial"/>
                <w:sz w:val="18"/>
                <w:szCs w:val="18"/>
                <w:color w:val="auto"/>
              </w:rPr>
              <w:t>(83 )</w:t>
            </w:r>
          </w:p>
        </w:tc>
        <w:tc>
          <w:tcPr>
            <w:tcW w:w="6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60" w:type="dxa"/>
            <w:vAlign w:val="bottom"/>
          </w:tcPr>
          <w:p>
            <w:pPr>
              <w:spacing w:after="0"/>
              <w:rPr>
                <w:sz w:val="20"/>
                <w:szCs w:val="20"/>
                <w:color w:val="auto"/>
              </w:rPr>
            </w:pPr>
          </w:p>
        </w:tc>
      </w:tr>
      <w:tr>
        <w:trPr>
          <w:trHeight w:val="209"/>
        </w:trPr>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15,127</w:t>
            </w:r>
          </w:p>
        </w:tc>
        <w:tc>
          <w:tcPr>
            <w:tcW w:w="280" w:type="dxa"/>
            <w:vAlign w:val="bottom"/>
          </w:tcPr>
          <w:p>
            <w:pPr>
              <w:spacing w:after="0"/>
              <w:rPr>
                <w:sz w:val="18"/>
                <w:szCs w:val="18"/>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15,783</w:t>
            </w:r>
          </w:p>
        </w:tc>
        <w:tc>
          <w:tcPr>
            <w:tcW w:w="60" w:type="dxa"/>
            <w:vAlign w:val="bottom"/>
          </w:tcPr>
          <w:p>
            <w:pPr>
              <w:spacing w:after="0"/>
              <w:rPr>
                <w:sz w:val="18"/>
                <w:szCs w:val="18"/>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-1268095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-993775</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-719455</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-445135</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-161925</wp:posOffset>
            </wp:positionV>
            <wp:extent cx="713232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4"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For the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15240</wp:posOffset>
            </wp:positionV>
            <wp:extent cx="33261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15240</wp:posOffset>
            </wp:positionV>
            <wp:extent cx="33261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 w:lineRule="exact"/>
        <w:rPr>
          <w:sz w:val="20"/>
          <w:szCs w:val="20"/>
          <w:color w:val="auto"/>
        </w:rPr>
      </w:pPr>
    </w:p>
    <w:p>
      <w:pPr>
        <w:spacing w:after="0"/>
        <w:tabs>
          <w:tab w:leader="none" w:pos="1540" w:val="left"/>
          <w:tab w:leader="none" w:pos="2740" w:val="left"/>
          <w:tab w:leader="none" w:pos="4340" w:val="left"/>
        </w:tabs>
        <w:rPr>
          <w:sz w:val="20"/>
          <w:szCs w:val="20"/>
          <w:color w:val="auto"/>
        </w:rPr>
      </w:pPr>
      <w:r>
        <w:rPr>
          <w:rFonts w:ascii="Arial" w:cs="Arial" w:eastAsia="Arial" w:hAnsi="Arial"/>
          <w:sz w:val="13"/>
          <w:szCs w:val="13"/>
          <w:b w:val="1"/>
          <w:bCs w:val="1"/>
          <w:color w:val="auto"/>
        </w:rPr>
        <w:t>Personal Care</w:t>
      </w:r>
      <w:r>
        <w:rPr>
          <w:sz w:val="20"/>
          <w:szCs w:val="20"/>
          <w:color w:val="auto"/>
        </w:rPr>
        <w:tab/>
      </w:r>
      <w:r>
        <w:rPr>
          <w:rFonts w:ascii="Arial" w:cs="Arial" w:eastAsia="Arial" w:hAnsi="Arial"/>
          <w:sz w:val="13"/>
          <w:szCs w:val="13"/>
          <w:b w:val="1"/>
          <w:bCs w:val="1"/>
          <w:color w:val="auto"/>
        </w:rPr>
        <w:t>Hospice</w:t>
      </w:r>
      <w:r>
        <w:rPr>
          <w:sz w:val="20"/>
          <w:szCs w:val="20"/>
          <w:color w:val="auto"/>
        </w:rPr>
        <w:tab/>
      </w:r>
      <w:r>
        <w:rPr>
          <w:rFonts w:ascii="Arial" w:cs="Arial" w:eastAsia="Arial" w:hAnsi="Arial"/>
          <w:sz w:val="13"/>
          <w:szCs w:val="13"/>
          <w:b w:val="1"/>
          <w:bCs w:val="1"/>
          <w:color w:val="auto"/>
        </w:rPr>
        <w:t>Home Health</w:t>
      </w:r>
      <w:r>
        <w:rPr>
          <w:sz w:val="20"/>
          <w:szCs w:val="20"/>
          <w:color w:val="auto"/>
        </w:rPr>
        <w:tab/>
      </w:r>
      <w:r>
        <w:rPr>
          <w:rFonts w:ascii="Arial" w:cs="Arial" w:eastAsia="Arial" w:hAnsi="Arial"/>
          <w:sz w:val="12"/>
          <w:szCs w:val="12"/>
          <w:b w:val="1"/>
          <w:bCs w:val="1"/>
          <w:color w:val="auto"/>
        </w:rPr>
        <w:t>Total</w:t>
      </w:r>
    </w:p>
    <w:p>
      <w:pPr>
        <w:spacing w:after="0" w:line="24" w:lineRule="exact"/>
        <w:rPr>
          <w:sz w:val="20"/>
          <w:szCs w:val="20"/>
          <w:color w:val="auto"/>
        </w:rPr>
      </w:pPr>
    </w:p>
    <w:p>
      <w:pPr>
        <w:sectPr>
          <w:pgSz w:w="11900" w:h="16838" w:orient="portrait"/>
          <w:cols w:equalWidth="0" w:num="2">
            <w:col w:w="5320" w:space="720"/>
            <w:col w:w="5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8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523,142</w:t>
            </w:r>
          </w:p>
        </w:tc>
        <w:tc>
          <w:tcPr>
            <w:tcW w:w="260" w:type="dxa"/>
            <w:vAlign w:val="bottom"/>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151,160</w:t>
            </w:r>
          </w:p>
        </w:tc>
        <w:tc>
          <w:tcPr>
            <w:tcW w:w="240" w:type="dxa"/>
            <w:vAlign w:val="bottom"/>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29,768</w:t>
            </w: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704,070</w:t>
            </w:r>
          </w:p>
        </w:tc>
        <w:tc>
          <w:tcPr>
            <w:tcW w:w="100" w:type="dxa"/>
            <w:vAlign w:val="bottom"/>
            <w:shd w:val="clear" w:color="auto" w:fill="CFF0FC"/>
          </w:tcPr>
          <w:p>
            <w:pPr>
              <w:spacing w:after="0"/>
              <w:rPr>
                <w:sz w:val="19"/>
                <w:szCs w:val="19"/>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Cost of services revenues</w:t>
            </w:r>
          </w:p>
        </w:tc>
        <w:tc>
          <w:tcPr>
            <w:tcW w:w="1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483,100</w:t>
            </w:r>
          </w:p>
        </w:tc>
        <w:tc>
          <w:tcPr>
            <w:tcW w:w="100" w:type="dxa"/>
            <w:vAlign w:val="bottom"/>
          </w:tcPr>
          <w:p>
            <w:pPr>
              <w:spacing w:after="0"/>
              <w:rPr>
                <w:sz w:val="18"/>
                <w:szCs w:val="18"/>
                <w:color w:val="auto"/>
              </w:rPr>
            </w:pPr>
          </w:p>
        </w:tc>
      </w:tr>
      <w:tr>
        <w:trPr>
          <w:trHeight w:val="210"/>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136,202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76,501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220,970</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37,298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90,256</w:t>
            </w:r>
          </w:p>
        </w:tc>
        <w:tc>
          <w:tcPr>
            <w:tcW w:w="100" w:type="dxa"/>
            <w:vAlign w:val="bottom"/>
          </w:tcPr>
          <w:p>
            <w:pPr>
              <w:spacing w:after="0"/>
              <w:rPr>
                <w:sz w:val="18"/>
                <w:szCs w:val="18"/>
                <w:color w:val="auto"/>
              </w:rPr>
            </w:pPr>
          </w:p>
        </w:tc>
      </w:tr>
      <w:tr>
        <w:trPr>
          <w:trHeight w:val="250"/>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1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90,514</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39,203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4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0"/>
          </w:tcPr>
          <w:p>
            <w:pPr>
              <w:jc w:val="right"/>
              <w:ind w:right="150"/>
              <w:spacing w:after="0"/>
              <w:rPr>
                <w:sz w:val="20"/>
                <w:szCs w:val="20"/>
                <w:color w:val="auto"/>
              </w:rPr>
            </w:pPr>
            <w:r>
              <w:rPr>
                <w:rFonts w:ascii="Arial" w:cs="Arial" w:eastAsia="Arial" w:hAnsi="Arial"/>
                <w:sz w:val="14"/>
                <w:szCs w:val="14"/>
                <w:b w:val="1"/>
                <w:bCs w:val="1"/>
                <w:color w:val="auto"/>
                <w:w w:val="93"/>
              </w:rPr>
              <w:t>For the Nine Months Ended September 30, 2021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3"/>
                <w:szCs w:val="13"/>
                <w:b w:val="1"/>
                <w:bCs w:val="1"/>
                <w:color w:val="auto"/>
              </w:rPr>
              <w:t>(Amounts in Thousands)</w:t>
            </w: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4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w w:val="93"/>
              </w:rPr>
              <w:t>Personal Care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Hospice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w w:val="98"/>
              </w:rPr>
              <w:t>Home Health</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r>
      <w:tr>
        <w:trPr>
          <w:trHeight w:val="211"/>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510,744</w:t>
            </w:r>
          </w:p>
        </w:tc>
        <w:tc>
          <w:tcPr>
            <w:tcW w:w="260" w:type="dxa"/>
            <w:vAlign w:val="bottom"/>
            <w:gridSpan w:val="2"/>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112,098</w:t>
            </w:r>
          </w:p>
        </w:tc>
        <w:tc>
          <w:tcPr>
            <w:tcW w:w="240" w:type="dxa"/>
            <w:vAlign w:val="bottom"/>
            <w:gridSpan w:val="2"/>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639,857</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Cost of services revenues</w:t>
            </w:r>
          </w:p>
        </w:tc>
        <w:tc>
          <w:tcPr>
            <w:tcW w:w="1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442,804</w:t>
            </w:r>
          </w:p>
        </w:tc>
        <w:tc>
          <w:tcPr>
            <w:tcW w:w="100" w:type="dxa"/>
            <w:vAlign w:val="bottom"/>
          </w:tcPr>
          <w:p>
            <w:pPr>
              <w:spacing w:after="0"/>
              <w:rPr>
                <w:sz w:val="18"/>
                <w:szCs w:val="18"/>
                <w:color w:val="auto"/>
              </w:rPr>
            </w:pPr>
          </w:p>
        </w:tc>
      </w:tr>
      <w:tr>
        <w:trPr>
          <w:trHeight w:val="210"/>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55,598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197,053</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76,233</w:t>
            </w:r>
          </w:p>
        </w:tc>
        <w:tc>
          <w:tcPr>
            <w:tcW w:w="100" w:type="dxa"/>
            <w:vAlign w:val="bottom"/>
          </w:tcPr>
          <w:p>
            <w:pPr>
              <w:spacing w:after="0"/>
              <w:rPr>
                <w:sz w:val="18"/>
                <w:szCs w:val="18"/>
                <w:color w:val="auto"/>
              </w:rPr>
            </w:pPr>
          </w:p>
        </w:tc>
      </w:tr>
      <w:tr>
        <w:trPr>
          <w:trHeight w:val="250"/>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 operating income</w:t>
            </w:r>
          </w:p>
        </w:tc>
        <w:tc>
          <w:tcPr>
            <w:tcW w:w="1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88,193</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29,582</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82"/>
        </w:trPr>
        <w:tc>
          <w:tcPr>
            <w:tcW w:w="4100" w:type="dxa"/>
            <w:vAlign w:val="bottom"/>
          </w:tcPr>
          <w:p>
            <w:pPr>
              <w:spacing w:after="0"/>
              <w:rPr>
                <w:sz w:val="24"/>
                <w:szCs w:val="24"/>
                <w:color w:val="auto"/>
              </w:rPr>
            </w:pPr>
          </w:p>
        </w:tc>
        <w:tc>
          <w:tcPr>
            <w:tcW w:w="180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41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-1765300</wp:posOffset>
            </wp:positionV>
            <wp:extent cx="77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-1748155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-1765300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-1748155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-1765300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-1748155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-487680</wp:posOffset>
            </wp:positionV>
            <wp:extent cx="77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-471170</wp:posOffset>
            </wp:positionV>
            <wp:extent cx="774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-487680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-471170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-487680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-471170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4" w:lineRule="exact"/>
        <w:rPr>
          <w:sz w:val="20"/>
          <w:szCs w:val="20"/>
          <w:color w:val="auto"/>
        </w:rPr>
      </w:pPr>
    </w:p>
    <w:tbl>
      <w:tblPr>
        <w:tblLayout w:type="fixed"/>
        <w:tblInd w:w="7740" w:type="dxa"/>
        <w:tblCellMar>
          <w:top w:w="0" w:type="dxa"/>
          <w:left w:w="0" w:type="dxa"/>
          <w:bottom w:w="0" w:type="dxa"/>
          <w:right w:w="0" w:type="dxa"/>
        </w:tblCellMar>
      </w:tblPr>
      <w:tr>
        <w:trPr>
          <w:trHeight w:val="169"/>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211"/>
        </w:trPr>
        <w:tc>
          <w:tcPr>
            <w:tcW w:w="940" w:type="dxa"/>
            <w:vAlign w:val="bottom"/>
          </w:tcPr>
          <w:p>
            <w:pPr>
              <w:spacing w:after="0"/>
              <w:rPr>
                <w:sz w:val="18"/>
                <w:szCs w:val="18"/>
                <w:color w:val="auto"/>
              </w:rPr>
            </w:pPr>
          </w:p>
        </w:tc>
        <w:tc>
          <w:tcPr>
            <w:tcW w:w="246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w w:val="90"/>
              </w:rPr>
              <w:t>(Amounts 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0</wp:posOffset>
            </wp:positionV>
            <wp:extent cx="21513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8"/>
          <w:szCs w:val="18"/>
          <w:color w:val="auto"/>
        </w:rPr>
        <w:t>Segment reconciliation:</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segment operating income</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Items not allocated at segment level: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general and administrative expenses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130,714</w:t>
            </w:r>
          </w:p>
        </w:tc>
        <w:tc>
          <w:tcPr>
            <w:tcW w:w="28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120,820</w:t>
            </w:r>
          </w:p>
        </w:tc>
        <w:tc>
          <w:tcPr>
            <w:tcW w:w="60" w:type="dxa"/>
            <w:vAlign w:val="bottom"/>
          </w:tcPr>
          <w:p>
            <w:pPr>
              <w:spacing w:after="0"/>
              <w:rPr>
                <w:sz w:val="20"/>
                <w:szCs w:val="20"/>
                <w:color w:val="auto"/>
              </w:rPr>
            </w:pPr>
          </w:p>
        </w:tc>
      </w:tr>
      <w:tr>
        <w:trPr>
          <w:trHeight w:val="634"/>
        </w:trPr>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72,220</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63,648</w:t>
            </w:r>
          </w:p>
        </w:tc>
        <w:tc>
          <w:tcPr>
            <w:tcW w:w="6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10,594</w:t>
            </w:r>
          </w:p>
        </w:tc>
        <w:tc>
          <w:tcPr>
            <w:tcW w:w="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(249 )</w:t>
            </w: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60" w:type="dxa"/>
            <w:vAlign w:val="bottom"/>
          </w:tcPr>
          <w:p>
            <w:pPr>
              <w:spacing w:after="0"/>
              <w:rPr>
                <w:sz w:val="20"/>
                <w:szCs w:val="20"/>
                <w:color w:val="auto"/>
              </w:rPr>
            </w:pPr>
          </w:p>
        </w:tc>
      </w:tr>
      <w:tr>
        <w:trPr>
          <w:trHeight w:val="210"/>
        </w:trPr>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41,894</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42,576</w:t>
            </w:r>
          </w:p>
        </w:tc>
        <w:tc>
          <w:tcPr>
            <w:tcW w:w="6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-1268095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-993775</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-719455</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-445135</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-162560</wp:posOffset>
            </wp:positionV>
            <wp:extent cx="713232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500"/>
          </w:cols>
          <w:pgMar w:left="320" w:top="121" w:right="3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Significant Payors</w:t>
      </w:r>
    </w:p>
    <w:p>
      <w:pPr>
        <w:spacing w:after="0" w:line="135" w:lineRule="exact"/>
        <w:rPr>
          <w:sz w:val="20"/>
          <w:szCs w:val="20"/>
          <w:color w:val="auto"/>
        </w:rPr>
      </w:pPr>
    </w:p>
    <w:p>
      <w:pPr>
        <w:jc w:val="right"/>
        <w:ind w:right="6780"/>
        <w:spacing w:after="0"/>
        <w:rPr>
          <w:sz w:val="20"/>
          <w:szCs w:val="20"/>
          <w:color w:val="auto"/>
        </w:rPr>
      </w:pPr>
      <w:r>
        <w:rPr>
          <w:rFonts w:ascii="Arial" w:cs="Arial" w:eastAsia="Arial" w:hAnsi="Arial"/>
          <w:sz w:val="18"/>
          <w:szCs w:val="18"/>
          <w:color w:val="auto"/>
        </w:rPr>
        <w:t>The Company’s revenue by payor type was as follows:</w:t>
      </w:r>
    </w:p>
    <w:p>
      <w:pPr>
        <w:sectPr>
          <w:pgSz w:w="11900" w:h="16838" w:orient="portrait"/>
          <w:cols w:equalWidth="0" w:num="1">
            <w:col w:w="11240"/>
          </w:cols>
          <w:pgMar w:left="320" w:top="121" w:right="339" w:bottom="1440" w:gutter="0" w:footer="0" w:header="0"/>
          <w:type w:val="continuous"/>
        </w:sectPr>
      </w:pPr>
    </w:p>
    <w:p>
      <w:pPr>
        <w:spacing w:after="0" w:line="198"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Personal Care Segment</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Three Months Ended September 30,</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Nine Months Ended 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jc w:val="right"/>
              <w:ind w:right="753"/>
              <w:spacing w:after="0"/>
              <w:rPr>
                <w:sz w:val="20"/>
                <w:szCs w:val="20"/>
                <w:color w:val="auto"/>
              </w:rPr>
            </w:pPr>
            <w:r>
              <w:rPr>
                <w:rFonts w:ascii="Arial" w:cs="Arial" w:eastAsia="Arial" w:hAnsi="Arial"/>
                <w:sz w:val="13"/>
                <w:szCs w:val="13"/>
                <w:b w:val="1"/>
                <w:bCs w:val="1"/>
                <w:color w:val="auto"/>
                <w:w w:val="89"/>
              </w:rPr>
              <w:t>2022</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left="153"/>
              <w:spacing w:after="0" w:line="130"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35"/>
        </w:trPr>
        <w:tc>
          <w:tcPr>
            <w:tcW w:w="1220" w:type="dxa"/>
            <w:vAlign w:val="bottom"/>
            <w:vMerge w:val="restart"/>
          </w:tcPr>
          <w:p>
            <w:pPr>
              <w:jc w:val="center"/>
              <w:ind w:right="113"/>
              <w:spacing w:after="0"/>
              <w:rPr>
                <w:sz w:val="20"/>
                <w:szCs w:val="20"/>
                <w:color w:val="auto"/>
              </w:rPr>
            </w:pPr>
            <w:r>
              <w:rPr>
                <w:rFonts w:ascii="Arial" w:cs="Arial" w:eastAsia="Arial" w:hAnsi="Arial"/>
                <w:sz w:val="13"/>
                <w:szCs w:val="13"/>
                <w:b w:val="1"/>
                <w:bCs w:val="1"/>
                <w:color w:val="auto"/>
                <w:w w:val="97"/>
              </w:rPr>
              <w:t>Amount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Segment</w:t>
            </w:r>
          </w:p>
        </w:tc>
        <w:tc>
          <w:tcPr>
            <w:tcW w:w="160" w:type="dxa"/>
            <w:vAlign w:val="bottom"/>
          </w:tcPr>
          <w:p>
            <w:pPr>
              <w:spacing w:after="0"/>
              <w:rPr>
                <w:sz w:val="11"/>
                <w:szCs w:val="11"/>
                <w:color w:val="auto"/>
              </w:rPr>
            </w:pPr>
          </w:p>
        </w:tc>
        <w:tc>
          <w:tcPr>
            <w:tcW w:w="1200" w:type="dxa"/>
            <w:vAlign w:val="bottom"/>
            <w:vMerge w:val="restart"/>
          </w:tcPr>
          <w:p>
            <w:pPr>
              <w:jc w:val="center"/>
              <w:ind w:right="73"/>
              <w:spacing w:after="0"/>
              <w:rPr>
                <w:sz w:val="20"/>
                <w:szCs w:val="20"/>
                <w:color w:val="auto"/>
              </w:rPr>
            </w:pPr>
            <w:r>
              <w:rPr>
                <w:rFonts w:ascii="Arial" w:cs="Arial" w:eastAsia="Arial" w:hAnsi="Arial"/>
                <w:sz w:val="13"/>
                <w:szCs w:val="13"/>
                <w:b w:val="1"/>
                <w:bCs w:val="1"/>
                <w:color w:val="auto"/>
                <w:w w:val="93"/>
              </w:rPr>
              <w:t>Amount</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Segment</w:t>
            </w:r>
          </w:p>
        </w:tc>
        <w:tc>
          <w:tcPr>
            <w:tcW w:w="160" w:type="dxa"/>
            <w:vAlign w:val="bottom"/>
          </w:tcPr>
          <w:p>
            <w:pPr>
              <w:spacing w:after="0"/>
              <w:rPr>
                <w:sz w:val="11"/>
                <w:szCs w:val="11"/>
                <w:color w:val="auto"/>
              </w:rPr>
            </w:pPr>
          </w:p>
        </w:tc>
        <w:tc>
          <w:tcPr>
            <w:tcW w:w="1000" w:type="dxa"/>
            <w:vAlign w:val="bottom"/>
            <w:vMerge w:val="restart"/>
          </w:tcPr>
          <w:p>
            <w:pPr>
              <w:jc w:val="center"/>
              <w:ind w:left="53"/>
              <w:spacing w:after="0"/>
              <w:rPr>
                <w:sz w:val="20"/>
                <w:szCs w:val="20"/>
                <w:color w:val="auto"/>
              </w:rPr>
            </w:pPr>
            <w:r>
              <w:rPr>
                <w:rFonts w:ascii="Arial" w:cs="Arial" w:eastAsia="Arial" w:hAnsi="Arial"/>
                <w:sz w:val="13"/>
                <w:szCs w:val="13"/>
                <w:b w:val="1"/>
                <w:bCs w:val="1"/>
                <w:color w:val="auto"/>
                <w:w w:val="97"/>
              </w:rPr>
              <w:t>Amount</w:t>
            </w:r>
          </w:p>
        </w:tc>
        <w:tc>
          <w:tcPr>
            <w:tcW w:w="1100" w:type="dxa"/>
            <w:vAlign w:val="bottom"/>
          </w:tcPr>
          <w:p>
            <w:pPr>
              <w:jc w:val="center"/>
              <w:ind w:left="173"/>
              <w:spacing w:after="0" w:line="135" w:lineRule="exact"/>
              <w:rPr>
                <w:sz w:val="20"/>
                <w:szCs w:val="20"/>
                <w:color w:val="auto"/>
              </w:rPr>
            </w:pPr>
            <w:r>
              <w:rPr>
                <w:rFonts w:ascii="Arial" w:cs="Arial" w:eastAsia="Arial" w:hAnsi="Arial"/>
                <w:sz w:val="13"/>
                <w:szCs w:val="13"/>
                <w:b w:val="1"/>
                <w:bCs w:val="1"/>
                <w:color w:val="auto"/>
                <w:w w:val="90"/>
              </w:rPr>
              <w:t>Segment</w:t>
            </w:r>
          </w:p>
        </w:tc>
        <w:tc>
          <w:tcPr>
            <w:tcW w:w="160" w:type="dxa"/>
            <w:vAlign w:val="bottom"/>
          </w:tcPr>
          <w:p>
            <w:pPr>
              <w:spacing w:after="0"/>
              <w:rPr>
                <w:sz w:val="11"/>
                <w:szCs w:val="11"/>
                <w:color w:val="auto"/>
              </w:rPr>
            </w:pPr>
          </w:p>
        </w:tc>
        <w:tc>
          <w:tcPr>
            <w:tcW w:w="1180" w:type="dxa"/>
            <w:vAlign w:val="bottom"/>
            <w:vMerge w:val="restart"/>
          </w:tcPr>
          <w:p>
            <w:pPr>
              <w:jc w:val="center"/>
              <w:ind w:right="93"/>
              <w:spacing w:after="0"/>
              <w:rPr>
                <w:sz w:val="20"/>
                <w:szCs w:val="20"/>
                <w:color w:val="auto"/>
              </w:rPr>
            </w:pPr>
            <w:r>
              <w:rPr>
                <w:rFonts w:ascii="Arial" w:cs="Arial" w:eastAsia="Arial" w:hAnsi="Arial"/>
                <w:sz w:val="13"/>
                <w:szCs w:val="13"/>
                <w:b w:val="1"/>
                <w:bCs w:val="1"/>
                <w:color w:val="auto"/>
                <w:w w:val="93"/>
              </w:rPr>
              <w:t>Amount</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Segment</w:t>
            </w:r>
          </w:p>
        </w:tc>
        <w:tc>
          <w:tcPr>
            <w:tcW w:w="0" w:type="dxa"/>
            <w:vAlign w:val="bottom"/>
          </w:tcPr>
          <w:p>
            <w:pPr>
              <w:spacing w:after="0"/>
              <w:rPr>
                <w:sz w:val="1"/>
                <w:szCs w:val="1"/>
                <w:color w:val="auto"/>
              </w:rPr>
            </w:pPr>
          </w:p>
        </w:tc>
      </w:tr>
      <w:tr>
        <w:trPr>
          <w:trHeight w:val="148"/>
        </w:trPr>
        <w:tc>
          <w:tcPr>
            <w:tcW w:w="1220" w:type="dxa"/>
            <w:vAlign w:val="bottom"/>
            <w:vMerge w:val="continue"/>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100" w:type="dxa"/>
            <w:vAlign w:val="bottom"/>
          </w:tcPr>
          <w:p>
            <w:pPr>
              <w:jc w:val="center"/>
              <w:ind w:left="153"/>
              <w:spacing w:after="0"/>
              <w:rPr>
                <w:sz w:val="20"/>
                <w:szCs w:val="20"/>
                <w:color w:val="auto"/>
              </w:rPr>
            </w:pPr>
            <w:r>
              <w:rPr>
                <w:rFonts w:ascii="Arial" w:cs="Arial" w:eastAsia="Arial" w:hAnsi="Arial"/>
                <w:sz w:val="13"/>
                <w:szCs w:val="13"/>
                <w:b w:val="1"/>
                <w:bCs w:val="1"/>
                <w:color w:val="auto"/>
                <w:w w:val="90"/>
              </w:rPr>
              <w:t>Net Service</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0" w:type="dxa"/>
            <w:vAlign w:val="bottom"/>
          </w:tcPr>
          <w:p>
            <w:pPr>
              <w:spacing w:after="0"/>
              <w:rPr>
                <w:sz w:val="1"/>
                <w:szCs w:val="1"/>
                <w:color w:val="auto"/>
              </w:rPr>
            </w:pPr>
          </w:p>
        </w:tc>
      </w:tr>
      <w:tr>
        <w:trPr>
          <w:trHeight w:val="174"/>
        </w:trPr>
        <w:tc>
          <w:tcPr>
            <w:tcW w:w="1220" w:type="dxa"/>
            <w:vAlign w:val="bottom"/>
          </w:tcPr>
          <w:p>
            <w:pPr>
              <w:jc w:val="center"/>
              <w:ind w:right="93"/>
              <w:spacing w:after="0"/>
              <w:rPr>
                <w:sz w:val="20"/>
                <w:szCs w:val="20"/>
                <w:color w:val="auto"/>
              </w:rPr>
            </w:pPr>
            <w:r>
              <w:rPr>
                <w:rFonts w:ascii="Arial" w:cs="Arial" w:eastAsia="Arial" w:hAnsi="Arial"/>
                <w:sz w:val="13"/>
                <w:szCs w:val="13"/>
                <w:b w:val="1"/>
                <w:bCs w:val="1"/>
                <w:color w:val="auto"/>
                <w:w w:val="92"/>
              </w:rPr>
              <w:t>(in Thousands)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160" w:type="dxa"/>
            <w:vAlign w:val="bottom"/>
          </w:tcPr>
          <w:p>
            <w:pPr>
              <w:spacing w:after="0"/>
              <w:rPr>
                <w:sz w:val="15"/>
                <w:szCs w:val="15"/>
                <w:color w:val="auto"/>
              </w:rPr>
            </w:pPr>
          </w:p>
        </w:tc>
        <w:tc>
          <w:tcPr>
            <w:tcW w:w="120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(in Thousands)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160" w:type="dxa"/>
            <w:vAlign w:val="bottom"/>
          </w:tcPr>
          <w:p>
            <w:pPr>
              <w:spacing w:after="0"/>
              <w:rPr>
                <w:sz w:val="15"/>
                <w:szCs w:val="15"/>
                <w:color w:val="auto"/>
              </w:rPr>
            </w:pPr>
          </w:p>
        </w:tc>
        <w:tc>
          <w:tcPr>
            <w:tcW w:w="1000" w:type="dxa"/>
            <w:vAlign w:val="bottom"/>
          </w:tcPr>
          <w:p>
            <w:pPr>
              <w:jc w:val="center"/>
              <w:ind w:left="53"/>
              <w:spacing w:after="0"/>
              <w:rPr>
                <w:sz w:val="20"/>
                <w:szCs w:val="20"/>
                <w:color w:val="auto"/>
              </w:rPr>
            </w:pPr>
            <w:r>
              <w:rPr>
                <w:rFonts w:ascii="Arial" w:cs="Arial" w:eastAsia="Arial" w:hAnsi="Arial"/>
                <w:sz w:val="13"/>
                <w:szCs w:val="13"/>
                <w:b w:val="1"/>
                <w:bCs w:val="1"/>
                <w:color w:val="auto"/>
                <w:w w:val="94"/>
              </w:rPr>
              <w:t>(in Thousands)</w:t>
            </w:r>
          </w:p>
        </w:tc>
        <w:tc>
          <w:tcPr>
            <w:tcW w:w="1100" w:type="dxa"/>
            <w:vAlign w:val="bottom"/>
          </w:tcPr>
          <w:p>
            <w:pPr>
              <w:jc w:val="center"/>
              <w:ind w:left="153"/>
              <w:spacing w:after="0"/>
              <w:rPr>
                <w:sz w:val="20"/>
                <w:szCs w:val="20"/>
                <w:color w:val="auto"/>
              </w:rPr>
            </w:pPr>
            <w:r>
              <w:rPr>
                <w:rFonts w:ascii="Arial" w:cs="Arial" w:eastAsia="Arial" w:hAnsi="Arial"/>
                <w:sz w:val="13"/>
                <w:szCs w:val="13"/>
                <w:b w:val="1"/>
                <w:bCs w:val="1"/>
                <w:color w:val="auto"/>
                <w:w w:val="91"/>
              </w:rPr>
              <w:t>Revenues</w:t>
            </w:r>
          </w:p>
        </w:tc>
        <w:tc>
          <w:tcPr>
            <w:tcW w:w="160" w:type="dxa"/>
            <w:vAlign w:val="bottom"/>
          </w:tcPr>
          <w:p>
            <w:pPr>
              <w:spacing w:after="0"/>
              <w:rPr>
                <w:sz w:val="15"/>
                <w:szCs w:val="15"/>
                <w:color w:val="auto"/>
              </w:rPr>
            </w:pPr>
          </w:p>
        </w:tc>
        <w:tc>
          <w:tcPr>
            <w:tcW w:w="1180" w:type="dxa"/>
            <w:vAlign w:val="bottom"/>
          </w:tcPr>
          <w:p>
            <w:pPr>
              <w:jc w:val="center"/>
              <w:ind w:right="93"/>
              <w:spacing w:after="0"/>
              <w:rPr>
                <w:sz w:val="20"/>
                <w:szCs w:val="20"/>
                <w:color w:val="auto"/>
              </w:rPr>
            </w:pPr>
            <w:r>
              <w:rPr>
                <w:rFonts w:ascii="Arial" w:cs="Arial" w:eastAsia="Arial" w:hAnsi="Arial"/>
                <w:sz w:val="13"/>
                <w:szCs w:val="13"/>
                <w:b w:val="1"/>
                <w:bCs w:val="1"/>
                <w:color w:val="auto"/>
                <w:w w:val="92"/>
              </w:rPr>
              <w:t>(in Thousands)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840" w:space="720"/>
            <w:col w:w="86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560" w:type="dxa"/>
            <w:vAlign w:val="bottom"/>
            <w:tcBorders>
              <w:top w:val="single" w:sz="8" w:color="CFF0FC"/>
            </w:tcBorders>
            <w:shd w:val="clear" w:color="auto" w:fill="CFF0FC"/>
          </w:tcPr>
          <w:p>
            <w:pPr>
              <w:ind w:left="20"/>
              <w:spacing w:after="0" w:line="169" w:lineRule="exact"/>
              <w:rPr>
                <w:sz w:val="20"/>
                <w:szCs w:val="20"/>
                <w:color w:val="auto"/>
              </w:rPr>
            </w:pPr>
            <w:r>
              <w:rPr>
                <w:rFonts w:ascii="Arial" w:cs="Arial" w:eastAsia="Arial" w:hAnsi="Arial"/>
                <w:sz w:val="18"/>
                <w:szCs w:val="18"/>
                <w:color w:val="auto"/>
              </w:rPr>
              <w:t>State, local and other</w:t>
            </w:r>
          </w:p>
        </w:tc>
        <w:tc>
          <w:tcPr>
            <w:tcW w:w="2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governmental programs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88,448</w:t>
            </w:r>
          </w:p>
        </w:tc>
        <w:tc>
          <w:tcPr>
            <w:tcW w:w="144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49.4 % $</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83,821</w:t>
            </w:r>
          </w:p>
        </w:tc>
        <w:tc>
          <w:tcPr>
            <w:tcW w:w="1360" w:type="dxa"/>
            <w:vAlign w:val="bottom"/>
            <w:gridSpan w:val="4"/>
            <w:shd w:val="clear" w:color="auto" w:fill="CFF0FC"/>
          </w:tcPr>
          <w:p>
            <w:pPr>
              <w:jc w:val="right"/>
              <w:ind w:right="220"/>
              <w:spacing w:after="0"/>
              <w:rPr>
                <w:sz w:val="20"/>
                <w:szCs w:val="20"/>
                <w:color w:val="auto"/>
              </w:rPr>
            </w:pPr>
            <w:r>
              <w:rPr>
                <w:rFonts w:ascii="Arial" w:cs="Arial" w:eastAsia="Arial" w:hAnsi="Arial"/>
                <w:sz w:val="18"/>
                <w:szCs w:val="18"/>
                <w:color w:val="auto"/>
              </w:rPr>
              <w:t>49.5 %$</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257,817</w:t>
            </w:r>
          </w:p>
        </w:tc>
        <w:tc>
          <w:tcPr>
            <w:tcW w:w="14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49.4 %$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253,052</w:t>
            </w: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49.5 %</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Managed care organizations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83,199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241,164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231,211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Private pay</w:t>
            </w: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14,883</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8"/>
                <w:szCs w:val="18"/>
                <w:color w:val="auto"/>
              </w:rPr>
              <w:t>Commercial insurance</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560" w:type="dxa"/>
            <w:vAlign w:val="bottom"/>
          </w:tcPr>
          <w:p>
            <w:pPr>
              <w:ind w:left="20"/>
              <w:spacing w:after="0" w:line="168" w:lineRule="exact"/>
              <w:rPr>
                <w:sz w:val="20"/>
                <w:szCs w:val="20"/>
                <w:color w:val="auto"/>
              </w:rPr>
            </w:pPr>
            <w:r>
              <w:rPr>
                <w:rFonts w:ascii="Arial" w:cs="Arial" w:eastAsia="Arial" w:hAnsi="Arial"/>
                <w:sz w:val="18"/>
                <w:szCs w:val="18"/>
                <w:color w:val="auto"/>
                <w:w w:val="97"/>
              </w:rPr>
              <w:t>Total personal care segment net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179,180</w:t>
            </w:r>
          </w:p>
        </w:tc>
        <w:tc>
          <w:tcPr>
            <w:tcW w:w="144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100.0 %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169,609</w:t>
            </w: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100.0 %$</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523,142</w:t>
            </w:r>
          </w:p>
        </w:tc>
        <w:tc>
          <w:tcPr>
            <w:tcW w:w="140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100.0 %$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510,744</w:t>
            </w:r>
          </w:p>
        </w:tc>
        <w:tc>
          <w:tcPr>
            <w:tcW w:w="10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90"/>
        </w:trPr>
        <w:tc>
          <w:tcPr>
            <w:tcW w:w="2560" w:type="dxa"/>
            <w:vAlign w:val="bottom"/>
          </w:tcPr>
          <w:p>
            <w:pPr>
              <w:ind w:left="20"/>
              <w:spacing w:after="0" w:line="190" w:lineRule="exact"/>
              <w:rPr>
                <w:sz w:val="20"/>
                <w:szCs w:val="20"/>
                <w:color w:val="auto"/>
              </w:rPr>
            </w:pPr>
            <w:r>
              <w:rPr>
                <w:rFonts w:ascii="Arial" w:cs="Arial" w:eastAsia="Arial" w:hAnsi="Arial"/>
                <w:sz w:val="18"/>
                <w:szCs w:val="18"/>
                <w:color w:val="auto"/>
              </w:rPr>
              <w:t>service revenues</w:t>
            </w:r>
          </w:p>
        </w:tc>
        <w:tc>
          <w:tcPr>
            <w:tcW w:w="2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-264795</wp:posOffset>
            </wp:positionV>
            <wp:extent cx="76835" cy="265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-264795</wp:posOffset>
            </wp:positionV>
            <wp:extent cx="111760" cy="265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760" cy="26543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-264795</wp:posOffset>
            </wp:positionV>
            <wp:extent cx="68580" cy="265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-264795</wp:posOffset>
            </wp:positionV>
            <wp:extent cx="102870" cy="265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-264795</wp:posOffset>
            </wp:positionV>
            <wp:extent cx="68580" cy="265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-264795</wp:posOffset>
            </wp:positionV>
            <wp:extent cx="102870" cy="265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-264795</wp:posOffset>
            </wp:positionV>
            <wp:extent cx="68580" cy="265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-264795</wp:posOffset>
            </wp:positionV>
            <wp:extent cx="128905" cy="265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8905" cy="2654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Hospice Segment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Three Months Ended September 30,</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140" w:type="dxa"/>
            <w:vAlign w:val="bottom"/>
            <w:tcBorders>
              <w:bottom w:val="single" w:sz="8" w:color="auto"/>
            </w:tcBorders>
            <w:gridSpan w:val="5"/>
          </w:tcPr>
          <w:p>
            <w:pPr>
              <w:ind w:left="900"/>
              <w:spacing w:after="0"/>
              <w:rPr>
                <w:sz w:val="20"/>
                <w:szCs w:val="20"/>
                <w:color w:val="auto"/>
              </w:rPr>
            </w:pPr>
            <w:r>
              <w:rPr>
                <w:rFonts w:ascii="Arial" w:cs="Arial" w:eastAsia="Arial" w:hAnsi="Arial"/>
                <w:sz w:val="13"/>
                <w:szCs w:val="13"/>
                <w:b w:val="1"/>
                <w:bCs w:val="1"/>
                <w:color w:val="auto"/>
              </w:rPr>
              <w:t>For the Nine Months Ended September 30,</w:t>
            </w:r>
          </w:p>
        </w:tc>
      </w:tr>
      <w:tr>
        <w:trPr>
          <w:trHeight w:val="175"/>
        </w:trPr>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7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800" w:type="dxa"/>
            <w:vAlign w:val="bottom"/>
          </w:tcPr>
          <w:p>
            <w:pPr>
              <w:spacing w:after="0"/>
              <w:rPr>
                <w:sz w:val="15"/>
                <w:szCs w:val="15"/>
                <w:color w:val="auto"/>
              </w:rPr>
            </w:pPr>
          </w:p>
        </w:tc>
      </w:tr>
      <w:tr>
        <w:trPr>
          <w:trHeight w:val="116"/>
        </w:trPr>
        <w:tc>
          <w:tcPr>
            <w:tcW w:w="1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33"/>
              <w:spacing w:after="0" w:line="116"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3"/>
              <w:spacing w:after="0" w:line="116" w:lineRule="exact"/>
              <w:rPr>
                <w:sz w:val="20"/>
                <w:szCs w:val="20"/>
                <w:color w:val="auto"/>
              </w:rPr>
            </w:pPr>
            <w:r>
              <w:rPr>
                <w:rFonts w:ascii="Arial" w:cs="Arial" w:eastAsia="Arial" w:hAnsi="Arial"/>
                <w:sz w:val="13"/>
                <w:szCs w:val="13"/>
                <w:b w:val="1"/>
                <w:bCs w:val="1"/>
                <w:color w:val="auto"/>
              </w:rPr>
              <w:t>% of</w:t>
            </w:r>
          </w:p>
        </w:tc>
      </w:tr>
      <w:tr>
        <w:trPr>
          <w:trHeight w:val="149"/>
        </w:trPr>
        <w:tc>
          <w:tcPr>
            <w:tcW w:w="1200" w:type="dxa"/>
            <w:vAlign w:val="bottom"/>
          </w:tcPr>
          <w:p>
            <w:pPr>
              <w:spacing w:after="0"/>
              <w:rPr>
                <w:sz w:val="12"/>
                <w:szCs w:val="12"/>
                <w:color w:val="auto"/>
              </w:rPr>
            </w:pP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auto"/>
                <w:w w:val="87"/>
              </w:rPr>
              <w:t>Segment</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jc w:val="center"/>
              <w:ind w:right="53"/>
              <w:spacing w:after="0"/>
              <w:rPr>
                <w:sz w:val="20"/>
                <w:szCs w:val="20"/>
                <w:color w:val="auto"/>
              </w:rPr>
            </w:pPr>
            <w:r>
              <w:rPr>
                <w:rFonts w:ascii="Arial" w:cs="Arial" w:eastAsia="Arial" w:hAnsi="Arial"/>
                <w:sz w:val="13"/>
                <w:szCs w:val="13"/>
                <w:b w:val="1"/>
                <w:bCs w:val="1"/>
                <w:color w:val="auto"/>
                <w:w w:val="90"/>
              </w:rPr>
              <w:t>Segment</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Pr>
          <w:p>
            <w:pPr>
              <w:jc w:val="center"/>
              <w:ind w:right="53"/>
              <w:spacing w:after="0"/>
              <w:rPr>
                <w:sz w:val="20"/>
                <w:szCs w:val="20"/>
                <w:color w:val="auto"/>
              </w:rPr>
            </w:pPr>
            <w:r>
              <w:rPr>
                <w:rFonts w:ascii="Arial" w:cs="Arial" w:eastAsia="Arial" w:hAnsi="Arial"/>
                <w:sz w:val="13"/>
                <w:szCs w:val="13"/>
                <w:b w:val="1"/>
                <w:bCs w:val="1"/>
                <w:color w:val="auto"/>
                <w:w w:val="90"/>
              </w:rPr>
              <w:t>Segment</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w w:val="87"/>
              </w:rPr>
              <w:t>Segment</w:t>
            </w:r>
          </w:p>
        </w:tc>
      </w:tr>
      <w:tr>
        <w:trPr>
          <w:trHeight w:val="135"/>
        </w:trPr>
        <w:tc>
          <w:tcPr>
            <w:tcW w:w="120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Amount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Net Service</w:t>
            </w:r>
          </w:p>
        </w:tc>
        <w:tc>
          <w:tcPr>
            <w:tcW w:w="160" w:type="dxa"/>
            <w:vAlign w:val="bottom"/>
          </w:tcPr>
          <w:p>
            <w:pPr>
              <w:spacing w:after="0"/>
              <w:rPr>
                <w:sz w:val="11"/>
                <w:szCs w:val="11"/>
                <w:color w:val="auto"/>
              </w:rPr>
            </w:pPr>
          </w:p>
        </w:tc>
        <w:tc>
          <w:tcPr>
            <w:tcW w:w="126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7"/>
              </w:rPr>
              <w:t>Amount</w:t>
            </w:r>
          </w:p>
        </w:tc>
        <w:tc>
          <w:tcPr>
            <w:tcW w:w="78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93"/>
              </w:rPr>
              <w:t>Net Service</w:t>
            </w:r>
          </w:p>
        </w:tc>
        <w:tc>
          <w:tcPr>
            <w:tcW w:w="160" w:type="dxa"/>
            <w:vAlign w:val="bottom"/>
          </w:tcPr>
          <w:p>
            <w:pPr>
              <w:spacing w:after="0"/>
              <w:rPr>
                <w:sz w:val="11"/>
                <w:szCs w:val="11"/>
                <w:color w:val="auto"/>
              </w:rPr>
            </w:pPr>
          </w:p>
        </w:tc>
        <w:tc>
          <w:tcPr>
            <w:tcW w:w="1200" w:type="dxa"/>
            <w:vAlign w:val="bottom"/>
          </w:tcPr>
          <w:p>
            <w:pPr>
              <w:jc w:val="center"/>
              <w:ind w:right="133"/>
              <w:spacing w:after="0" w:line="135" w:lineRule="exact"/>
              <w:rPr>
                <w:sz w:val="20"/>
                <w:szCs w:val="20"/>
                <w:color w:val="auto"/>
              </w:rPr>
            </w:pPr>
            <w:r>
              <w:rPr>
                <w:rFonts w:ascii="Arial" w:cs="Arial" w:eastAsia="Arial" w:hAnsi="Arial"/>
                <w:sz w:val="13"/>
                <w:szCs w:val="13"/>
                <w:b w:val="1"/>
                <w:bCs w:val="1"/>
                <w:color w:val="auto"/>
                <w:w w:val="97"/>
              </w:rPr>
              <w:t>Amount</w:t>
            </w:r>
          </w:p>
        </w:tc>
        <w:tc>
          <w:tcPr>
            <w:tcW w:w="78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93"/>
              </w:rPr>
              <w:t>Net Service</w:t>
            </w:r>
          </w:p>
        </w:tc>
        <w:tc>
          <w:tcPr>
            <w:tcW w:w="160" w:type="dxa"/>
            <w:vAlign w:val="bottom"/>
          </w:tcPr>
          <w:p>
            <w:pPr>
              <w:spacing w:after="0"/>
              <w:rPr>
                <w:sz w:val="11"/>
                <w:szCs w:val="11"/>
                <w:color w:val="auto"/>
              </w:rPr>
            </w:pPr>
          </w:p>
        </w:tc>
        <w:tc>
          <w:tcPr>
            <w:tcW w:w="1200" w:type="dxa"/>
            <w:vAlign w:val="bottom"/>
          </w:tcPr>
          <w:p>
            <w:pPr>
              <w:jc w:val="center"/>
              <w:ind w:right="133"/>
              <w:spacing w:after="0" w:line="135" w:lineRule="exact"/>
              <w:rPr>
                <w:sz w:val="20"/>
                <w:szCs w:val="20"/>
                <w:color w:val="auto"/>
              </w:rPr>
            </w:pPr>
            <w:r>
              <w:rPr>
                <w:rFonts w:ascii="Arial" w:cs="Arial" w:eastAsia="Arial" w:hAnsi="Arial"/>
                <w:sz w:val="13"/>
                <w:szCs w:val="13"/>
                <w:b w:val="1"/>
                <w:bCs w:val="1"/>
                <w:color w:val="auto"/>
                <w:w w:val="97"/>
              </w:rPr>
              <w:t>Amount</w:t>
            </w:r>
          </w:p>
        </w:tc>
        <w:tc>
          <w:tcPr>
            <w:tcW w:w="80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auto"/>
                <w:w w:val="93"/>
              </w:rPr>
              <w:t>Net Service</w:t>
            </w:r>
          </w:p>
        </w:tc>
      </w:tr>
      <w:tr>
        <w:trPr>
          <w:trHeight w:val="174"/>
        </w:trPr>
        <w:tc>
          <w:tcPr>
            <w:tcW w:w="120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(in Thousands)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160" w:type="dxa"/>
            <w:vAlign w:val="bottom"/>
          </w:tcPr>
          <w:p>
            <w:pPr>
              <w:spacing w:after="0"/>
              <w:rPr>
                <w:sz w:val="15"/>
                <w:szCs w:val="15"/>
                <w:color w:val="auto"/>
              </w:rPr>
            </w:pPr>
          </w:p>
        </w:tc>
        <w:tc>
          <w:tcPr>
            <w:tcW w:w="1260" w:type="dxa"/>
            <w:vAlign w:val="bottom"/>
          </w:tcPr>
          <w:p>
            <w:pPr>
              <w:jc w:val="center"/>
              <w:ind w:right="133"/>
              <w:spacing w:after="0"/>
              <w:rPr>
                <w:sz w:val="20"/>
                <w:szCs w:val="20"/>
                <w:color w:val="auto"/>
              </w:rPr>
            </w:pPr>
            <w:r>
              <w:rPr>
                <w:rFonts w:ascii="Arial" w:cs="Arial" w:eastAsia="Arial" w:hAnsi="Arial"/>
                <w:sz w:val="13"/>
                <w:szCs w:val="13"/>
                <w:b w:val="1"/>
                <w:bCs w:val="1"/>
                <w:color w:val="auto"/>
                <w:w w:val="92"/>
              </w:rPr>
              <w:t>(in Thousands)</w:t>
            </w:r>
          </w:p>
        </w:tc>
        <w:tc>
          <w:tcPr>
            <w:tcW w:w="780" w:type="dxa"/>
            <w:vAlign w:val="bottom"/>
          </w:tcPr>
          <w:p>
            <w:pPr>
              <w:jc w:val="center"/>
              <w:ind w:right="33"/>
              <w:spacing w:after="0"/>
              <w:rPr>
                <w:sz w:val="20"/>
                <w:szCs w:val="20"/>
                <w:color w:val="auto"/>
              </w:rPr>
            </w:pPr>
            <w:r>
              <w:rPr>
                <w:rFonts w:ascii="Arial" w:cs="Arial" w:eastAsia="Arial" w:hAnsi="Arial"/>
                <w:sz w:val="13"/>
                <w:szCs w:val="13"/>
                <w:b w:val="1"/>
                <w:bCs w:val="1"/>
                <w:color w:val="auto"/>
                <w:w w:val="91"/>
              </w:rPr>
              <w:t>Revenues</w:t>
            </w:r>
          </w:p>
        </w:tc>
        <w:tc>
          <w:tcPr>
            <w:tcW w:w="160" w:type="dxa"/>
            <w:vAlign w:val="bottom"/>
          </w:tcPr>
          <w:p>
            <w:pPr>
              <w:spacing w:after="0"/>
              <w:rPr>
                <w:sz w:val="15"/>
                <w:szCs w:val="15"/>
                <w:color w:val="auto"/>
              </w:rPr>
            </w:pPr>
          </w:p>
        </w:tc>
        <w:tc>
          <w:tcPr>
            <w:tcW w:w="1200" w:type="dxa"/>
            <w:vAlign w:val="bottom"/>
          </w:tcPr>
          <w:p>
            <w:pPr>
              <w:jc w:val="center"/>
              <w:ind w:right="93"/>
              <w:spacing w:after="0"/>
              <w:rPr>
                <w:sz w:val="20"/>
                <w:szCs w:val="20"/>
                <w:color w:val="auto"/>
              </w:rPr>
            </w:pPr>
            <w:r>
              <w:rPr>
                <w:rFonts w:ascii="Arial" w:cs="Arial" w:eastAsia="Arial" w:hAnsi="Arial"/>
                <w:sz w:val="13"/>
                <w:szCs w:val="13"/>
                <w:b w:val="1"/>
                <w:bCs w:val="1"/>
                <w:color w:val="auto"/>
                <w:w w:val="94"/>
              </w:rPr>
              <w:t>(in Thousands)</w:t>
            </w:r>
          </w:p>
        </w:tc>
        <w:tc>
          <w:tcPr>
            <w:tcW w:w="780" w:type="dxa"/>
            <w:vAlign w:val="bottom"/>
          </w:tcPr>
          <w:p>
            <w:pPr>
              <w:jc w:val="center"/>
              <w:ind w:right="13"/>
              <w:spacing w:after="0"/>
              <w:rPr>
                <w:sz w:val="20"/>
                <w:szCs w:val="20"/>
                <w:color w:val="auto"/>
              </w:rPr>
            </w:pPr>
            <w:r>
              <w:rPr>
                <w:rFonts w:ascii="Arial" w:cs="Arial" w:eastAsia="Arial" w:hAnsi="Arial"/>
                <w:sz w:val="13"/>
                <w:szCs w:val="13"/>
                <w:b w:val="1"/>
                <w:bCs w:val="1"/>
                <w:color w:val="auto"/>
                <w:w w:val="87"/>
              </w:rPr>
              <w:t>Revenues</w:t>
            </w:r>
          </w:p>
        </w:tc>
        <w:tc>
          <w:tcPr>
            <w:tcW w:w="160" w:type="dxa"/>
            <w:vAlign w:val="bottom"/>
          </w:tcPr>
          <w:p>
            <w:pPr>
              <w:spacing w:after="0"/>
              <w:rPr>
                <w:sz w:val="15"/>
                <w:szCs w:val="15"/>
                <w:color w:val="auto"/>
              </w:rPr>
            </w:pPr>
          </w:p>
        </w:tc>
        <w:tc>
          <w:tcPr>
            <w:tcW w:w="1200" w:type="dxa"/>
            <w:vAlign w:val="bottom"/>
          </w:tcPr>
          <w:p>
            <w:pPr>
              <w:jc w:val="center"/>
              <w:ind w:right="113"/>
              <w:spacing w:after="0"/>
              <w:rPr>
                <w:sz w:val="20"/>
                <w:szCs w:val="20"/>
                <w:color w:val="auto"/>
              </w:rPr>
            </w:pPr>
            <w:r>
              <w:rPr>
                <w:rFonts w:ascii="Arial" w:cs="Arial" w:eastAsia="Arial" w:hAnsi="Arial"/>
                <w:sz w:val="13"/>
                <w:szCs w:val="13"/>
                <w:b w:val="1"/>
                <w:bCs w:val="1"/>
                <w:color w:val="auto"/>
                <w:w w:val="92"/>
              </w:rPr>
              <w:t>(in Thousands)</w:t>
            </w:r>
          </w:p>
        </w:tc>
        <w:tc>
          <w:tcPr>
            <w:tcW w:w="800" w:type="dxa"/>
            <w:vAlign w:val="bottom"/>
          </w:tcPr>
          <w:p>
            <w:pPr>
              <w:jc w:val="center"/>
              <w:ind w:right="13"/>
              <w:spacing w:after="0"/>
              <w:rPr>
                <w:sz w:val="20"/>
                <w:szCs w:val="20"/>
                <w:color w:val="auto"/>
              </w:rPr>
            </w:pPr>
            <w:r>
              <w:rPr>
                <w:rFonts w:ascii="Arial" w:cs="Arial" w:eastAsia="Arial" w:hAnsi="Arial"/>
                <w:sz w:val="13"/>
                <w:szCs w:val="13"/>
                <w:b w:val="1"/>
                <w:bCs w:val="1"/>
                <w:color w:val="auto"/>
                <w:w w:val="91"/>
              </w:rPr>
              <w:t>Revenues</w:t>
            </w:r>
          </w:p>
        </w:tc>
      </w:tr>
    </w:tbl>
    <w:p>
      <w:pPr>
        <w:spacing w:after="0" w:line="20" w:lineRule="exact"/>
        <w:rPr>
          <w:sz w:val="20"/>
          <w:szCs w:val="20"/>
          <w:color w:val="auto"/>
        </w:rPr>
      </w:pPr>
    </w:p>
    <w:p>
      <w:pPr>
        <w:sectPr>
          <w:pgSz w:w="11900" w:h="16838" w:orient="portrait"/>
          <w:cols w:equalWidth="0" w:num="2">
            <w:col w:w="1820" w:space="720"/>
            <w:col w:w="8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Medicare</w:t>
            </w:r>
          </w:p>
        </w:tc>
        <w:tc>
          <w:tcPr>
            <w:tcW w:w="340" w:type="dxa"/>
            <w:vAlign w:val="bottom"/>
            <w:shd w:val="clear" w:color="auto" w:fill="CFF0FC"/>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46,537</w:t>
            </w:r>
          </w:p>
        </w:tc>
        <w:tc>
          <w:tcPr>
            <w:tcW w:w="10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90.6 % $</w:t>
            </w: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36,280</w:t>
            </w:r>
          </w:p>
        </w:tc>
        <w:tc>
          <w:tcPr>
            <w:tcW w:w="1420" w:type="dxa"/>
            <w:vAlign w:val="bottom"/>
            <w:gridSpan w:val="4"/>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92.7 % $</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137,174</w:t>
            </w:r>
          </w:p>
        </w:tc>
        <w:tc>
          <w:tcPr>
            <w:tcW w:w="1360" w:type="dxa"/>
            <w:vAlign w:val="bottom"/>
            <w:gridSpan w:val="4"/>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90.8 %$</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104,715</w:t>
            </w:r>
          </w:p>
        </w:tc>
        <w:tc>
          <w:tcPr>
            <w:tcW w:w="114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93.4 %</w:t>
            </w: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Commercial insurance</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Managed care organizations</w:t>
            </w: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54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w w:val="91"/>
              </w:rPr>
              <w:t>Total hospice segment net service</w:t>
            </w:r>
          </w:p>
        </w:tc>
        <w:tc>
          <w:tcPr>
            <w:tcW w:w="3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51,359</w:t>
            </w:r>
          </w:p>
        </w:tc>
        <w:tc>
          <w:tcPr>
            <w:tcW w:w="100" w:type="dxa"/>
            <w:vAlign w:val="bottom"/>
            <w:vMerge w:val="restart"/>
            <w:shd w:val="clear" w:color="auto" w:fill="CFF0FC"/>
          </w:tcPr>
          <w:p>
            <w:pPr>
              <w:spacing w:after="0"/>
              <w:rPr>
                <w:sz w:val="14"/>
                <w:szCs w:val="14"/>
                <w:color w:val="auto"/>
              </w:rPr>
            </w:pPr>
          </w:p>
        </w:tc>
        <w:tc>
          <w:tcPr>
            <w:tcW w:w="138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100.0 % $</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39,095</w:t>
            </w:r>
          </w:p>
        </w:tc>
        <w:tc>
          <w:tcPr>
            <w:tcW w:w="1420" w:type="dxa"/>
            <w:vAlign w:val="bottom"/>
            <w:gridSpan w:val="4"/>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100.0 % $</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151,160</w:t>
            </w:r>
          </w:p>
        </w:tc>
        <w:tc>
          <w:tcPr>
            <w:tcW w:w="1360" w:type="dxa"/>
            <w:vAlign w:val="bottom"/>
            <w:gridSpan w:val="4"/>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100.0 %$</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112,098</w:t>
            </w:r>
          </w:p>
        </w:tc>
        <w:tc>
          <w:tcPr>
            <w:tcW w:w="114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0"/>
        </w:trPr>
        <w:tc>
          <w:tcPr>
            <w:tcW w:w="254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revenues</w:t>
            </w:r>
          </w:p>
        </w:tc>
        <w:tc>
          <w:tcPr>
            <w:tcW w:w="340" w:type="dxa"/>
            <w:vAlign w:val="bottom"/>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380" w:type="dxa"/>
            <w:vAlign w:val="bottom"/>
            <w:gridSpan w:val="3"/>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420" w:type="dxa"/>
            <w:vAlign w:val="bottom"/>
            <w:gridSpan w:val="4"/>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360" w:type="dxa"/>
            <w:vAlign w:val="bottom"/>
            <w:gridSpan w:val="4"/>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140" w:type="dxa"/>
            <w:vAlign w:val="bottom"/>
            <w:gridSpan w:val="3"/>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-24765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-24765</wp:posOffset>
            </wp:positionV>
            <wp:extent cx="1111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1111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-24765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1111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596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1028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Home Health Segment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Borders>
              <w:bottom w:val="single" w:sz="8" w:color="auto"/>
            </w:tcBorders>
            <w:gridSpan w:val="4"/>
          </w:tcPr>
          <w:p>
            <w:pPr>
              <w:ind w:left="880"/>
              <w:spacing w:after="0"/>
              <w:rPr>
                <w:sz w:val="20"/>
                <w:szCs w:val="20"/>
                <w:color w:val="auto"/>
              </w:rPr>
            </w:pPr>
            <w:r>
              <w:rPr>
                <w:rFonts w:ascii="Arial" w:cs="Arial" w:eastAsia="Arial" w:hAnsi="Arial"/>
                <w:sz w:val="13"/>
                <w:szCs w:val="13"/>
                <w:b w:val="1"/>
                <w:bCs w:val="1"/>
                <w:color w:val="auto"/>
                <w:w w:val="94"/>
              </w:rPr>
              <w:t>For the Three Months Ended September 30,</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Nine Months Ended September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860"/>
              <w:spacing w:after="0"/>
              <w:rPr>
                <w:sz w:val="20"/>
                <w:szCs w:val="20"/>
                <w:color w:val="auto"/>
              </w:rPr>
            </w:pPr>
            <w:r>
              <w:rPr>
                <w:rFonts w:ascii="Arial" w:cs="Arial" w:eastAsia="Arial" w:hAnsi="Arial"/>
                <w:sz w:val="13"/>
                <w:szCs w:val="13"/>
                <w:b w:val="1"/>
                <w:bCs w:val="1"/>
                <w:color w:val="auto"/>
              </w:rPr>
              <w:t>2022</w:t>
            </w:r>
          </w:p>
        </w:tc>
        <w:tc>
          <w:tcPr>
            <w:tcW w:w="8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7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35"/>
        </w:trPr>
        <w:tc>
          <w:tcPr>
            <w:tcW w:w="1200" w:type="dxa"/>
            <w:vAlign w:val="bottom"/>
            <w:vMerge w:val="restart"/>
          </w:tcPr>
          <w:p>
            <w:pPr>
              <w:jc w:val="center"/>
              <w:ind w:right="93"/>
              <w:spacing w:after="0"/>
              <w:rPr>
                <w:sz w:val="20"/>
                <w:szCs w:val="20"/>
                <w:color w:val="auto"/>
              </w:rPr>
            </w:pPr>
            <w:r>
              <w:rPr>
                <w:rFonts w:ascii="Arial" w:cs="Arial" w:eastAsia="Arial" w:hAnsi="Arial"/>
                <w:sz w:val="13"/>
                <w:szCs w:val="13"/>
                <w:b w:val="1"/>
                <w:bCs w:val="1"/>
                <w:color w:val="auto"/>
                <w:w w:val="97"/>
              </w:rPr>
              <w:t>Amount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Segment</w:t>
            </w:r>
          </w:p>
        </w:tc>
        <w:tc>
          <w:tcPr>
            <w:tcW w:w="220" w:type="dxa"/>
            <w:vAlign w:val="bottom"/>
          </w:tcPr>
          <w:p>
            <w:pPr>
              <w:spacing w:after="0"/>
              <w:rPr>
                <w:sz w:val="11"/>
                <w:szCs w:val="11"/>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w w:val="93"/>
              </w:rPr>
              <w:t>Amount</w:t>
            </w:r>
          </w:p>
        </w:tc>
        <w:tc>
          <w:tcPr>
            <w:tcW w:w="74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0"/>
              </w:rPr>
              <w:t>Segment</w:t>
            </w:r>
          </w:p>
        </w:tc>
        <w:tc>
          <w:tcPr>
            <w:tcW w:w="200" w:type="dxa"/>
            <w:vAlign w:val="bottom"/>
          </w:tcPr>
          <w:p>
            <w:pPr>
              <w:spacing w:after="0"/>
              <w:rPr>
                <w:sz w:val="11"/>
                <w:szCs w:val="11"/>
                <w:color w:val="auto"/>
              </w:rPr>
            </w:pPr>
          </w:p>
        </w:tc>
        <w:tc>
          <w:tcPr>
            <w:tcW w:w="1160" w:type="dxa"/>
            <w:vAlign w:val="bottom"/>
            <w:vMerge w:val="restart"/>
          </w:tcPr>
          <w:p>
            <w:pPr>
              <w:jc w:val="center"/>
              <w:ind w:right="93"/>
              <w:spacing w:after="0"/>
              <w:rPr>
                <w:sz w:val="20"/>
                <w:szCs w:val="20"/>
                <w:color w:val="auto"/>
              </w:rPr>
            </w:pPr>
            <w:r>
              <w:rPr>
                <w:rFonts w:ascii="Arial" w:cs="Arial" w:eastAsia="Arial" w:hAnsi="Arial"/>
                <w:sz w:val="13"/>
                <w:szCs w:val="13"/>
                <w:b w:val="1"/>
                <w:bCs w:val="1"/>
                <w:color w:val="auto"/>
                <w:w w:val="97"/>
              </w:rPr>
              <w:t>Amount</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Segment</w:t>
            </w:r>
          </w:p>
        </w:tc>
        <w:tc>
          <w:tcPr>
            <w:tcW w:w="200" w:type="dxa"/>
            <w:vAlign w:val="bottom"/>
          </w:tcPr>
          <w:p>
            <w:pPr>
              <w:spacing w:after="0"/>
              <w:rPr>
                <w:sz w:val="11"/>
                <w:szCs w:val="11"/>
                <w:color w:val="auto"/>
              </w:rPr>
            </w:pPr>
          </w:p>
        </w:tc>
        <w:tc>
          <w:tcPr>
            <w:tcW w:w="1200" w:type="dxa"/>
            <w:vAlign w:val="bottom"/>
            <w:vMerge w:val="restart"/>
          </w:tcPr>
          <w:p>
            <w:pPr>
              <w:jc w:val="center"/>
              <w:ind w:right="113"/>
              <w:spacing w:after="0"/>
              <w:rPr>
                <w:sz w:val="20"/>
                <w:szCs w:val="20"/>
                <w:color w:val="auto"/>
              </w:rPr>
            </w:pPr>
            <w:r>
              <w:rPr>
                <w:rFonts w:ascii="Arial" w:cs="Arial" w:eastAsia="Arial" w:hAnsi="Arial"/>
                <w:sz w:val="13"/>
                <w:szCs w:val="13"/>
                <w:b w:val="1"/>
                <w:bCs w:val="1"/>
                <w:color w:val="auto"/>
                <w:w w:val="93"/>
              </w:rPr>
              <w:t>Amount</w:t>
            </w:r>
          </w:p>
        </w:tc>
        <w:tc>
          <w:tcPr>
            <w:tcW w:w="740" w:type="dxa"/>
            <w:vAlign w:val="bottom"/>
          </w:tcPr>
          <w:p>
            <w:pPr>
              <w:jc w:val="center"/>
              <w:ind w:right="13"/>
              <w:spacing w:after="0" w:line="135" w:lineRule="exact"/>
              <w:rPr>
                <w:sz w:val="20"/>
                <w:szCs w:val="20"/>
                <w:color w:val="auto"/>
              </w:rPr>
            </w:pPr>
            <w:r>
              <w:rPr>
                <w:rFonts w:ascii="Arial" w:cs="Arial" w:eastAsia="Arial" w:hAnsi="Arial"/>
                <w:sz w:val="13"/>
                <w:szCs w:val="13"/>
                <w:b w:val="1"/>
                <w:bCs w:val="1"/>
                <w:color w:val="auto"/>
                <w:w w:val="90"/>
              </w:rPr>
              <w:t>Segment</w:t>
            </w: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2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740" w:type="dxa"/>
            <w:vAlign w:val="bottom"/>
          </w:tcPr>
          <w:p>
            <w:pPr>
              <w:jc w:val="center"/>
              <w:ind w:right="13"/>
              <w:spacing w:after="0"/>
              <w:rPr>
                <w:sz w:val="20"/>
                <w:szCs w:val="20"/>
                <w:color w:val="auto"/>
              </w:rPr>
            </w:pPr>
            <w:r>
              <w:rPr>
                <w:rFonts w:ascii="Arial" w:cs="Arial" w:eastAsia="Arial" w:hAnsi="Arial"/>
                <w:sz w:val="13"/>
                <w:szCs w:val="13"/>
                <w:b w:val="1"/>
                <w:bCs w:val="1"/>
                <w:color w:val="auto"/>
                <w:w w:val="93"/>
              </w:rPr>
              <w:t>Net Service</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740" w:type="dxa"/>
            <w:vAlign w:val="bottom"/>
          </w:tcPr>
          <w:p>
            <w:pPr>
              <w:jc w:val="center"/>
              <w:ind w:right="13"/>
              <w:spacing w:after="0"/>
              <w:rPr>
                <w:sz w:val="20"/>
                <w:szCs w:val="20"/>
                <w:color w:val="auto"/>
              </w:rPr>
            </w:pPr>
            <w:r>
              <w:rPr>
                <w:rFonts w:ascii="Arial" w:cs="Arial" w:eastAsia="Arial" w:hAnsi="Arial"/>
                <w:sz w:val="13"/>
                <w:szCs w:val="13"/>
                <w:b w:val="1"/>
                <w:bCs w:val="1"/>
                <w:color w:val="auto"/>
                <w:w w:val="93"/>
              </w:rPr>
              <w:t>Net Service</w:t>
            </w:r>
          </w:p>
        </w:tc>
        <w:tc>
          <w:tcPr>
            <w:tcW w:w="0" w:type="dxa"/>
            <w:vAlign w:val="bottom"/>
          </w:tcPr>
          <w:p>
            <w:pPr>
              <w:spacing w:after="0"/>
              <w:rPr>
                <w:sz w:val="1"/>
                <w:szCs w:val="1"/>
                <w:color w:val="auto"/>
              </w:rPr>
            </w:pPr>
          </w:p>
        </w:tc>
      </w:tr>
      <w:tr>
        <w:trPr>
          <w:trHeight w:val="174"/>
        </w:trPr>
        <w:tc>
          <w:tcPr>
            <w:tcW w:w="1200" w:type="dxa"/>
            <w:vAlign w:val="bottom"/>
          </w:tcPr>
          <w:p>
            <w:pPr>
              <w:jc w:val="center"/>
              <w:ind w:right="53"/>
              <w:spacing w:after="0"/>
              <w:rPr>
                <w:sz w:val="20"/>
                <w:szCs w:val="20"/>
                <w:color w:val="auto"/>
              </w:rPr>
            </w:pPr>
            <w:r>
              <w:rPr>
                <w:rFonts w:ascii="Arial" w:cs="Arial" w:eastAsia="Arial" w:hAnsi="Arial"/>
                <w:sz w:val="13"/>
                <w:szCs w:val="13"/>
                <w:b w:val="1"/>
                <w:bCs w:val="1"/>
                <w:color w:val="auto"/>
                <w:w w:val="94"/>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20" w:type="dxa"/>
            <w:vAlign w:val="bottom"/>
          </w:tcPr>
          <w:p>
            <w:pPr>
              <w:spacing w:after="0"/>
              <w:rPr>
                <w:sz w:val="15"/>
                <w:szCs w:val="15"/>
                <w:color w:val="auto"/>
              </w:rPr>
            </w:pPr>
          </w:p>
        </w:tc>
        <w:tc>
          <w:tcPr>
            <w:tcW w:w="1220" w:type="dxa"/>
            <w:vAlign w:val="bottom"/>
          </w:tcPr>
          <w:p>
            <w:pPr>
              <w:jc w:val="center"/>
              <w:ind w:right="93"/>
              <w:spacing w:after="0"/>
              <w:rPr>
                <w:sz w:val="20"/>
                <w:szCs w:val="20"/>
                <w:color w:val="auto"/>
              </w:rPr>
            </w:pPr>
            <w:r>
              <w:rPr>
                <w:rFonts w:ascii="Arial" w:cs="Arial" w:eastAsia="Arial" w:hAnsi="Arial"/>
                <w:sz w:val="13"/>
                <w:szCs w:val="13"/>
                <w:b w:val="1"/>
                <w:bCs w:val="1"/>
                <w:color w:val="auto"/>
                <w:w w:val="92"/>
              </w:rPr>
              <w:t>(in Thousands)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0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(in Thousands)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00" w:type="dxa"/>
            <w:vAlign w:val="bottom"/>
          </w:tcPr>
          <w:p>
            <w:pPr>
              <w:spacing w:after="0"/>
              <w:rPr>
                <w:sz w:val="15"/>
                <w:szCs w:val="15"/>
                <w:color w:val="auto"/>
              </w:rPr>
            </w:pPr>
          </w:p>
        </w:tc>
        <w:tc>
          <w:tcPr>
            <w:tcW w:w="120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(in Thousands)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Medicare</w:t>
            </w:r>
          </w:p>
        </w:tc>
        <w:tc>
          <w:tcPr>
            <w:tcW w:w="400" w:type="dxa"/>
            <w:vAlign w:val="bottom"/>
            <w:shd w:val="clear" w:color="auto" w:fill="CFF0FC"/>
          </w:tcPr>
          <w:p>
            <w:pPr>
              <w:jc w:val="right"/>
              <w:ind w:right="190"/>
              <w:spacing w:after="0" w:line="190"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7,320</w:t>
            </w:r>
          </w:p>
        </w:tc>
        <w:tc>
          <w:tcPr>
            <w:tcW w:w="120" w:type="dxa"/>
            <w:vAlign w:val="bottom"/>
            <w:shd w:val="clear" w:color="auto" w:fill="CFF0FC"/>
          </w:tcPr>
          <w:p>
            <w:pPr>
              <w:spacing w:after="0"/>
              <w:rPr>
                <w:sz w:val="16"/>
                <w:szCs w:val="16"/>
                <w:color w:val="auto"/>
              </w:rPr>
            </w:pPr>
          </w:p>
        </w:tc>
        <w:tc>
          <w:tcPr>
            <w:tcW w:w="1400" w:type="dxa"/>
            <w:vAlign w:val="bottom"/>
            <w:gridSpan w:val="3"/>
            <w:shd w:val="clear" w:color="auto" w:fill="CFF0FC"/>
          </w:tcPr>
          <w:p>
            <w:pPr>
              <w:jc w:val="right"/>
              <w:ind w:right="260"/>
              <w:spacing w:after="0" w:line="190" w:lineRule="exact"/>
              <w:rPr>
                <w:sz w:val="20"/>
                <w:szCs w:val="20"/>
                <w:color w:val="auto"/>
              </w:rPr>
            </w:pPr>
            <w:r>
              <w:rPr>
                <w:rFonts w:ascii="Arial" w:cs="Arial" w:eastAsia="Arial" w:hAnsi="Arial"/>
                <w:sz w:val="18"/>
                <w:szCs w:val="18"/>
                <w:color w:val="auto"/>
              </w:rPr>
              <w:t>73.5 % $</w:t>
            </w:r>
          </w:p>
        </w:tc>
        <w:tc>
          <w:tcPr>
            <w:tcW w:w="68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6,372</w:t>
            </w:r>
          </w:p>
        </w:tc>
        <w:tc>
          <w:tcPr>
            <w:tcW w:w="1420" w:type="dxa"/>
            <w:vAlign w:val="bottom"/>
            <w:gridSpan w:val="4"/>
            <w:shd w:val="clear" w:color="auto" w:fill="CFF0FC"/>
          </w:tcPr>
          <w:p>
            <w:pPr>
              <w:jc w:val="right"/>
              <w:ind w:right="220"/>
              <w:spacing w:after="0" w:line="190" w:lineRule="exact"/>
              <w:rPr>
                <w:sz w:val="20"/>
                <w:szCs w:val="20"/>
                <w:color w:val="auto"/>
              </w:rPr>
            </w:pPr>
            <w:r>
              <w:rPr>
                <w:rFonts w:ascii="Arial" w:cs="Arial" w:eastAsia="Arial" w:hAnsi="Arial"/>
                <w:sz w:val="18"/>
                <w:szCs w:val="18"/>
                <w:color w:val="auto"/>
              </w:rPr>
              <w:t>80.1 % $</w:t>
            </w:r>
          </w:p>
        </w:tc>
        <w:tc>
          <w:tcPr>
            <w:tcW w:w="72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21,727</w:t>
            </w:r>
          </w:p>
        </w:tc>
        <w:tc>
          <w:tcPr>
            <w:tcW w:w="1400" w:type="dxa"/>
            <w:vAlign w:val="bottom"/>
            <w:gridSpan w:val="4"/>
            <w:shd w:val="clear" w:color="auto" w:fill="CFF0FC"/>
          </w:tcPr>
          <w:p>
            <w:pPr>
              <w:jc w:val="right"/>
              <w:ind w:right="200"/>
              <w:spacing w:after="0" w:line="190" w:lineRule="exact"/>
              <w:rPr>
                <w:sz w:val="20"/>
                <w:szCs w:val="20"/>
                <w:color w:val="auto"/>
              </w:rPr>
            </w:pPr>
            <w:r>
              <w:rPr>
                <w:rFonts w:ascii="Arial" w:cs="Arial" w:eastAsia="Arial" w:hAnsi="Arial"/>
                <w:sz w:val="18"/>
                <w:szCs w:val="18"/>
                <w:color w:val="auto"/>
              </w:rPr>
              <w:t>73.0 % $</w:t>
            </w:r>
          </w:p>
        </w:tc>
        <w:tc>
          <w:tcPr>
            <w:tcW w:w="72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13,699</w:t>
            </w:r>
          </w:p>
        </w:tc>
        <w:tc>
          <w:tcPr>
            <w:tcW w:w="1100" w:type="dxa"/>
            <w:vAlign w:val="bottom"/>
            <w:gridSpan w:val="3"/>
            <w:shd w:val="clear" w:color="auto" w:fill="CFF0FC"/>
          </w:tcPr>
          <w:p>
            <w:pPr>
              <w:jc w:val="right"/>
              <w:ind w:right="40"/>
              <w:spacing w:after="0" w:line="190" w:lineRule="exact"/>
              <w:rPr>
                <w:sz w:val="20"/>
                <w:szCs w:val="20"/>
                <w:color w:val="auto"/>
              </w:rPr>
            </w:pPr>
            <w:r>
              <w:rPr>
                <w:rFonts w:ascii="Arial" w:cs="Arial" w:eastAsia="Arial" w:hAnsi="Arial"/>
                <w:sz w:val="18"/>
                <w:szCs w:val="18"/>
                <w:color w:val="auto"/>
              </w:rPr>
              <w:t>80.5 %</w:t>
            </w: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8"/>
                <w:szCs w:val="18"/>
                <w:color w:val="auto"/>
              </w:rPr>
              <w:t>Managed care organizations</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6,160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600" w:type="dxa"/>
            <w:vAlign w:val="bottom"/>
          </w:tcPr>
          <w:p>
            <w:pPr>
              <w:ind w:left="20"/>
              <w:spacing w:after="0" w:line="168" w:lineRule="exact"/>
              <w:rPr>
                <w:sz w:val="20"/>
                <w:szCs w:val="20"/>
                <w:color w:val="auto"/>
              </w:rPr>
            </w:pPr>
            <w:r>
              <w:rPr>
                <w:rFonts w:ascii="Arial" w:cs="Arial" w:eastAsia="Arial" w:hAnsi="Arial"/>
                <w:sz w:val="18"/>
                <w:szCs w:val="18"/>
                <w:color w:val="auto"/>
              </w:rPr>
              <w:t>Total home health segment net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9,956</w:t>
            </w:r>
          </w:p>
        </w:tc>
        <w:tc>
          <w:tcPr>
            <w:tcW w:w="1520" w:type="dxa"/>
            <w:vAlign w:val="bottom"/>
            <w:gridSpan w:val="4"/>
            <w:vMerge w:val="restart"/>
          </w:tcPr>
          <w:p>
            <w:pPr>
              <w:jc w:val="right"/>
              <w:ind w:right="260"/>
              <w:spacing w:after="0"/>
              <w:rPr>
                <w:sz w:val="20"/>
                <w:szCs w:val="20"/>
                <w:color w:val="auto"/>
              </w:rPr>
            </w:pPr>
            <w:r>
              <w:rPr>
                <w:rFonts w:ascii="Arial" w:cs="Arial" w:eastAsia="Arial" w:hAnsi="Arial"/>
                <w:sz w:val="18"/>
                <w:szCs w:val="18"/>
                <w:color w:val="auto"/>
              </w:rPr>
              <w:t>100.0 %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7,958</w:t>
            </w:r>
          </w:p>
        </w:tc>
        <w:tc>
          <w:tcPr>
            <w:tcW w:w="1420" w:type="dxa"/>
            <w:vAlign w:val="bottom"/>
            <w:gridSpan w:val="4"/>
            <w:vMerge w:val="restart"/>
          </w:tcPr>
          <w:p>
            <w:pPr>
              <w:jc w:val="right"/>
              <w:ind w:right="220"/>
              <w:spacing w:after="0"/>
              <w:rPr>
                <w:sz w:val="20"/>
                <w:szCs w:val="20"/>
                <w:color w:val="auto"/>
              </w:rPr>
            </w:pPr>
            <w:r>
              <w:rPr>
                <w:rFonts w:ascii="Arial" w:cs="Arial" w:eastAsia="Arial" w:hAnsi="Arial"/>
                <w:sz w:val="18"/>
                <w:szCs w:val="18"/>
                <w:color w:val="auto"/>
              </w:rPr>
              <w:t>100.0 % $</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29,768</w:t>
            </w:r>
          </w:p>
        </w:tc>
        <w:tc>
          <w:tcPr>
            <w:tcW w:w="1400" w:type="dxa"/>
            <w:vAlign w:val="bottom"/>
            <w:gridSpan w:val="4"/>
            <w:vMerge w:val="restart"/>
          </w:tcPr>
          <w:p>
            <w:pPr>
              <w:jc w:val="right"/>
              <w:ind w:right="200"/>
              <w:spacing w:after="0"/>
              <w:rPr>
                <w:sz w:val="20"/>
                <w:szCs w:val="20"/>
                <w:color w:val="auto"/>
              </w:rPr>
            </w:pPr>
            <w:r>
              <w:rPr>
                <w:rFonts w:ascii="Arial" w:cs="Arial" w:eastAsia="Arial" w:hAnsi="Arial"/>
                <w:sz w:val="18"/>
                <w:szCs w:val="18"/>
                <w:color w:val="auto"/>
              </w:rPr>
              <w:t>100.0 % $</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17,015</w:t>
            </w: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90"/>
        </w:trPr>
        <w:tc>
          <w:tcPr>
            <w:tcW w:w="2600" w:type="dxa"/>
            <w:vAlign w:val="bottom"/>
          </w:tcPr>
          <w:p>
            <w:pPr>
              <w:ind w:left="20"/>
              <w:spacing w:after="0" w:line="190" w:lineRule="exact"/>
              <w:rPr>
                <w:sz w:val="20"/>
                <w:szCs w:val="20"/>
                <w:color w:val="auto"/>
              </w:rPr>
            </w:pPr>
            <w:r>
              <w:rPr>
                <w:rFonts w:ascii="Arial" w:cs="Arial" w:eastAsia="Arial" w:hAnsi="Arial"/>
                <w:sz w:val="18"/>
                <w:szCs w:val="18"/>
                <w:color w:val="auto"/>
              </w:rPr>
              <w:t>service revenues</w:t>
            </w:r>
          </w:p>
        </w:tc>
        <w:tc>
          <w:tcPr>
            <w:tcW w:w="4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520" w:type="dxa"/>
            <w:vAlign w:val="bottom"/>
            <w:gridSpan w:val="4"/>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2"/>
        </w:trPr>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ind w:right="9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-736600</wp:posOffset>
            </wp:positionV>
            <wp:extent cx="76835" cy="2660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26606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-736600</wp:posOffset>
            </wp:positionV>
            <wp:extent cx="137160" cy="2660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26606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-736600</wp:posOffset>
            </wp:positionV>
            <wp:extent cx="68580" cy="2660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-736600</wp:posOffset>
            </wp:positionV>
            <wp:extent cx="128905" cy="2660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26606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-736600</wp:posOffset>
            </wp:positionV>
            <wp:extent cx="68580" cy="2660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-736600</wp:posOffset>
            </wp:positionV>
            <wp:extent cx="128905" cy="2660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905" cy="26606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-736600</wp:posOffset>
            </wp:positionV>
            <wp:extent cx="68580" cy="2660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-736600</wp:posOffset>
            </wp:positionV>
            <wp:extent cx="128905" cy="2660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2660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82"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The Company derives a significant amount of its revenue from its operations in Illinois, New Mexico and New York. The percentages of segment revenue for each of these significant states were as follows:</w:t>
      </w:r>
    </w:p>
    <w:p>
      <w:pPr>
        <w:sectPr>
          <w:pgSz w:w="11900" w:h="16838" w:orient="portrait"/>
          <w:cols w:equalWidth="0" w:num="1">
            <w:col w:w="11240"/>
          </w:cols>
          <w:pgMar w:left="320" w:top="121" w:right="339" w:bottom="1440" w:gutter="0" w:footer="0" w:header="0"/>
        </w:sectPr>
      </w:pPr>
    </w:p>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Illinois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Mexico</w:t>
      </w:r>
    </w:p>
    <w:p>
      <w:pPr>
        <w:ind w:left="20"/>
        <w:spacing w:after="0" w:line="212" w:lineRule="auto"/>
        <w:rPr>
          <w:sz w:val="20"/>
          <w:szCs w:val="20"/>
          <w:color w:val="auto"/>
        </w:rPr>
      </w:pPr>
      <w:r>
        <w:rPr>
          <w:rFonts w:ascii="Arial" w:cs="Arial" w:eastAsia="Arial" w:hAnsi="Arial"/>
          <w:sz w:val="18"/>
          <w:szCs w:val="18"/>
          <w:color w:val="auto"/>
        </w:rPr>
        <w:t xml:space="preserve">New York </w:t>
      </w:r>
      <w:r>
        <w:rPr>
          <w:rFonts w:ascii="Arial" w:cs="Arial" w:eastAsia="Arial" w:hAnsi="Arial"/>
          <w:sz w:val="24"/>
          <w:szCs w:val="24"/>
          <w:color w:val="auto"/>
          <w:vertAlign w:val="superscript"/>
        </w:rPr>
        <w:t>(1)</w:t>
      </w:r>
    </w:p>
    <w:p>
      <w:pPr>
        <w:ind w:left="20"/>
        <w:spacing w:after="0"/>
        <w:rPr>
          <w:sz w:val="20"/>
          <w:szCs w:val="20"/>
          <w:color w:val="auto"/>
        </w:rPr>
      </w:pPr>
      <w:r>
        <w:rPr>
          <w:rFonts w:ascii="Arial" w:cs="Arial" w:eastAsia="Arial" w:hAnsi="Arial"/>
          <w:sz w:val="18"/>
          <w:szCs w:val="18"/>
          <w:color w:val="auto"/>
        </w:rPr>
        <w:t>All other states</w:t>
      </w:r>
    </w:p>
    <w:p>
      <w:pPr>
        <w:spacing w:after="0" w:line="7" w:lineRule="exact"/>
        <w:rPr>
          <w:sz w:val="20"/>
          <w:szCs w:val="20"/>
          <w:color w:val="auto"/>
        </w:rPr>
      </w:pPr>
    </w:p>
    <w:p>
      <w:pPr>
        <w:ind w:left="20"/>
        <w:spacing w:after="0" w:line="273" w:lineRule="auto"/>
        <w:rPr>
          <w:sz w:val="20"/>
          <w:szCs w:val="20"/>
          <w:color w:val="auto"/>
        </w:rPr>
      </w:pPr>
      <w:r>
        <w:rPr>
          <w:rFonts w:ascii="Arial" w:cs="Arial" w:eastAsia="Arial" w:hAnsi="Arial"/>
          <w:sz w:val="17"/>
          <w:szCs w:val="17"/>
          <w:color w:val="auto"/>
        </w:rPr>
        <w:t>Total personal care segment net service revenues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ind w:left="660"/>
              <w:spacing w:after="0"/>
              <w:rPr>
                <w:sz w:val="20"/>
                <w:szCs w:val="20"/>
                <w:color w:val="auto"/>
              </w:rPr>
            </w:pPr>
            <w:r>
              <w:rPr>
                <w:rFonts w:ascii="Arial" w:cs="Arial" w:eastAsia="Arial" w:hAnsi="Arial"/>
                <w:sz w:val="13"/>
                <w:szCs w:val="13"/>
                <w:b w:val="1"/>
                <w:bCs w:val="1"/>
                <w:color w:val="auto"/>
                <w:w w:val="95"/>
              </w:rPr>
              <w:t>For the Three Months Ended September 30,</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Nine Months Ended September 30,</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5"/>
        </w:trPr>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2022</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2022</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16"/>
        </w:trPr>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r>
      <w:tr>
        <w:trPr>
          <w:trHeight w:val="149"/>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Segment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Segment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Segment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30"/>
              <w:spacing w:after="0"/>
              <w:rPr>
                <w:sz w:val="20"/>
                <w:szCs w:val="20"/>
                <w:color w:val="auto"/>
              </w:rPr>
            </w:pPr>
            <w:r>
              <w:rPr>
                <w:rFonts w:ascii="Arial" w:cs="Arial" w:eastAsia="Arial" w:hAnsi="Arial"/>
                <w:sz w:val="13"/>
                <w:szCs w:val="13"/>
                <w:b w:val="1"/>
                <w:bCs w:val="1"/>
                <w:color w:val="auto"/>
                <w:w w:val="90"/>
              </w:rPr>
              <w:t>Segment</w:t>
            </w:r>
          </w:p>
        </w:tc>
      </w:tr>
      <w:tr>
        <w:trPr>
          <w:trHeight w:val="135"/>
        </w:trPr>
        <w:tc>
          <w:tcPr>
            <w:tcW w:w="200" w:type="dxa"/>
            <w:vAlign w:val="bottom"/>
          </w:tcPr>
          <w:p>
            <w:pPr>
              <w:spacing w:after="0"/>
              <w:rPr>
                <w:sz w:val="11"/>
                <w:szCs w:val="11"/>
                <w:color w:val="auto"/>
              </w:rPr>
            </w:pPr>
          </w:p>
        </w:tc>
        <w:tc>
          <w:tcPr>
            <w:tcW w:w="102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Amount</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Net Service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Amount</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Net Service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Amount</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Net Service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Amount</w:t>
            </w:r>
          </w:p>
        </w:tc>
        <w:tc>
          <w:tcPr>
            <w:tcW w:w="880" w:type="dxa"/>
            <w:vAlign w:val="bottom"/>
            <w:gridSpan w:val="2"/>
          </w:tcPr>
          <w:p>
            <w:pPr>
              <w:jc w:val="center"/>
              <w:ind w:right="130"/>
              <w:spacing w:after="0" w:line="135" w:lineRule="exact"/>
              <w:rPr>
                <w:sz w:val="20"/>
                <w:szCs w:val="20"/>
                <w:color w:val="auto"/>
              </w:rPr>
            </w:pPr>
            <w:r>
              <w:rPr>
                <w:rFonts w:ascii="Arial" w:cs="Arial" w:eastAsia="Arial" w:hAnsi="Arial"/>
                <w:sz w:val="13"/>
                <w:szCs w:val="13"/>
                <w:b w:val="1"/>
                <w:bCs w:val="1"/>
                <w:color w:val="auto"/>
                <w:w w:val="93"/>
              </w:rPr>
              <w:t>Net Service</w:t>
            </w:r>
          </w:p>
        </w:tc>
      </w:tr>
      <w:tr>
        <w:trPr>
          <w:trHeight w:val="182"/>
        </w:trPr>
        <w:tc>
          <w:tcPr>
            <w:tcW w:w="12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(in Thousands)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20" w:type="dxa"/>
            <w:vAlign w:val="bottom"/>
          </w:tcPr>
          <w:p>
            <w:pPr>
              <w:spacing w:after="0"/>
              <w:rPr>
                <w:sz w:val="15"/>
                <w:szCs w:val="15"/>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2"/>
              </w:rPr>
              <w:t>(in Thousands)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00" w:type="dxa"/>
            <w:vAlign w:val="bottom"/>
          </w:tcPr>
          <w:p>
            <w:pPr>
              <w:spacing w:after="0"/>
              <w:rPr>
                <w:sz w:val="15"/>
                <w:szCs w:val="15"/>
                <w:color w:val="auto"/>
              </w:rPr>
            </w:pPr>
          </w:p>
        </w:tc>
        <w:tc>
          <w:tcPr>
            <w:tcW w:w="11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(in Thousands)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00" w:type="dxa"/>
            <w:vAlign w:val="bottom"/>
          </w:tcPr>
          <w:p>
            <w:pPr>
              <w:spacing w:after="0"/>
              <w:rPr>
                <w:sz w:val="15"/>
                <w:szCs w:val="15"/>
                <w:color w:val="auto"/>
              </w:rPr>
            </w:pPr>
          </w:p>
        </w:tc>
        <w:tc>
          <w:tcPr>
            <w:tcW w:w="12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(in Thousands)</w:t>
            </w:r>
          </w:p>
        </w:tc>
        <w:tc>
          <w:tcPr>
            <w:tcW w:w="880" w:type="dxa"/>
            <w:vAlign w:val="bottom"/>
            <w:gridSpan w:val="2"/>
          </w:tcPr>
          <w:p>
            <w:pPr>
              <w:jc w:val="center"/>
              <w:ind w:right="130"/>
              <w:spacing w:after="0"/>
              <w:rPr>
                <w:sz w:val="20"/>
                <w:szCs w:val="20"/>
                <w:color w:val="auto"/>
              </w:rPr>
            </w:pPr>
            <w:r>
              <w:rPr>
                <w:rFonts w:ascii="Arial" w:cs="Arial" w:eastAsia="Arial" w:hAnsi="Arial"/>
                <w:sz w:val="13"/>
                <w:szCs w:val="13"/>
                <w:b w:val="1"/>
                <w:bCs w:val="1"/>
                <w:color w:val="auto"/>
                <w:w w:val="87"/>
              </w:rPr>
              <w:t>Revenues</w:t>
            </w:r>
          </w:p>
        </w:tc>
      </w:tr>
      <w:tr>
        <w:trPr>
          <w:trHeight w:val="202"/>
        </w:trPr>
        <w:tc>
          <w:tcPr>
            <w:tcW w:w="200" w:type="dxa"/>
            <w:vAlign w:val="bottom"/>
            <w:tcBorders>
              <w:top w:val="single" w:sz="8" w:color="auto"/>
            </w:tcBorders>
          </w:tcPr>
          <w:p>
            <w:pPr>
              <w:jc w:val="right"/>
              <w:ind w:right="18"/>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92,804</w:t>
            </w:r>
          </w:p>
        </w:tc>
        <w:tc>
          <w:tcPr>
            <w:tcW w:w="1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51.8</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tcPr>
          <w:p>
            <w:pPr>
              <w:jc w:val="right"/>
              <w:ind w:right="21"/>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81,959</w:t>
            </w: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48.3</w:t>
            </w: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tcBorders>
          </w:tcPr>
          <w:p>
            <w:pPr>
              <w:jc w:val="right"/>
              <w:ind w:right="1"/>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266,284</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50.9</w:t>
            </w: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tcPr>
          <w:p>
            <w:pPr>
              <w:jc w:val="right"/>
              <w:ind w:right="1"/>
              <w:spacing w:after="0" w:line="201"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240,131</w:t>
            </w: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47.0</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87"/>
              </w:rPr>
              <w:t>%</w:t>
            </w:r>
          </w:p>
        </w:tc>
      </w:tr>
      <w:tr>
        <w:trPr>
          <w:trHeight w:val="216"/>
        </w:trPr>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77,237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38,467</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39,309</w:t>
            </w: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114,523</w:t>
            </w: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120,085</w:t>
            </w: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20"/>
                <w:szCs w:val="20"/>
                <w:color w:val="auto"/>
              </w:rPr>
            </w:pPr>
          </w:p>
        </w:tc>
      </w:tr>
      <w:tr>
        <w:trPr>
          <w:trHeight w:val="358"/>
        </w:trPr>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179,180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jc w:val="right"/>
              <w:ind w:right="21"/>
              <w:spacing w:after="0"/>
              <w:rPr>
                <w:sz w:val="20"/>
                <w:szCs w:val="20"/>
                <w:color w:val="auto"/>
              </w:rPr>
            </w:pPr>
            <w:r>
              <w:rPr>
                <w:rFonts w:ascii="Arial" w:cs="Arial" w:eastAsia="Arial" w:hAnsi="Arial"/>
                <w:sz w:val="18"/>
                <w:szCs w:val="18"/>
                <w:color w:val="auto"/>
              </w:rPr>
              <w:t>100.0 % $</w:t>
            </w:r>
          </w:p>
        </w:tc>
        <w:tc>
          <w:tcPr>
            <w:tcW w:w="860" w:type="dxa"/>
            <w:vAlign w:val="bottom"/>
          </w:tcPr>
          <w:p>
            <w:pPr>
              <w:jc w:val="right"/>
              <w:spacing w:after="0"/>
              <w:rPr>
                <w:sz w:val="20"/>
                <w:szCs w:val="20"/>
                <w:color w:val="auto"/>
              </w:rPr>
            </w:pPr>
            <w:r>
              <w:rPr>
                <w:rFonts w:ascii="Arial" w:cs="Arial" w:eastAsia="Arial" w:hAnsi="Arial"/>
                <w:sz w:val="18"/>
                <w:szCs w:val="18"/>
                <w:color w:val="auto"/>
              </w:rPr>
              <w:t>169,609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3"/>
          </w:tcPr>
          <w:p>
            <w:pPr>
              <w:jc w:val="right"/>
              <w:ind w:right="1"/>
              <w:spacing w:after="0"/>
              <w:rPr>
                <w:sz w:val="20"/>
                <w:szCs w:val="20"/>
                <w:color w:val="auto"/>
              </w:rPr>
            </w:pPr>
            <w:r>
              <w:rPr>
                <w:rFonts w:ascii="Arial" w:cs="Arial" w:eastAsia="Arial" w:hAnsi="Arial"/>
                <w:sz w:val="18"/>
                <w:szCs w:val="18"/>
                <w:color w:val="auto"/>
              </w:rPr>
              <w:t>100.0 % $</w:t>
            </w:r>
          </w:p>
        </w:tc>
        <w:tc>
          <w:tcPr>
            <w:tcW w:w="860" w:type="dxa"/>
            <w:vAlign w:val="bottom"/>
          </w:tcPr>
          <w:p>
            <w:pPr>
              <w:jc w:val="right"/>
              <w:spacing w:after="0"/>
              <w:rPr>
                <w:sz w:val="20"/>
                <w:szCs w:val="20"/>
                <w:color w:val="auto"/>
              </w:rPr>
            </w:pPr>
            <w:r>
              <w:rPr>
                <w:rFonts w:ascii="Arial" w:cs="Arial" w:eastAsia="Arial" w:hAnsi="Arial"/>
                <w:sz w:val="18"/>
                <w:szCs w:val="18"/>
                <w:color w:val="auto"/>
              </w:rPr>
              <w:t>523,142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tcPr>
          <w:p>
            <w:pPr>
              <w:jc w:val="right"/>
              <w:ind w:right="1"/>
              <w:spacing w:after="0"/>
              <w:rPr>
                <w:sz w:val="20"/>
                <w:szCs w:val="20"/>
                <w:color w:val="auto"/>
              </w:rPr>
            </w:pPr>
            <w:r>
              <w:rPr>
                <w:rFonts w:ascii="Arial" w:cs="Arial" w:eastAsia="Arial" w:hAnsi="Arial"/>
                <w:sz w:val="18"/>
                <w:szCs w:val="18"/>
                <w:color w:val="auto"/>
              </w:rPr>
              <w:t>100.0 % $</w:t>
            </w:r>
          </w:p>
        </w:tc>
        <w:tc>
          <w:tcPr>
            <w:tcW w:w="840" w:type="dxa"/>
            <w:vAlign w:val="bottom"/>
          </w:tcPr>
          <w:p>
            <w:pPr>
              <w:jc w:val="right"/>
              <w:spacing w:after="0"/>
              <w:rPr>
                <w:sz w:val="20"/>
                <w:szCs w:val="20"/>
                <w:color w:val="auto"/>
              </w:rPr>
            </w:pPr>
            <w:r>
              <w:rPr>
                <w:rFonts w:ascii="Arial" w:cs="Arial" w:eastAsia="Arial" w:hAnsi="Arial"/>
                <w:sz w:val="18"/>
                <w:szCs w:val="18"/>
                <w:color w:val="auto"/>
              </w:rPr>
              <w:t>510,744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-814070</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-539750</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-256540</wp:posOffset>
            </wp:positionV>
            <wp:extent cx="7132320" cy="2571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2300" w:space="300"/>
            <w:col w:w="8640"/>
          </w:cols>
          <w:pgMar w:left="320" w:top="121" w:right="339" w:bottom="1440" w:gutter="0" w:footer="0" w:header="0"/>
          <w:type w:val="continuous"/>
        </w:sectPr>
      </w:pPr>
    </w:p>
    <w:p>
      <w:pPr>
        <w:spacing w:after="0" w:line="7" w:lineRule="exact"/>
        <w:rPr>
          <w:sz w:val="20"/>
          <w:szCs w:val="20"/>
          <w:color w:val="auto"/>
        </w:rPr>
      </w:pPr>
    </w:p>
    <w:p>
      <w:pPr>
        <w:ind w:left="760" w:right="40" w:hanging="378"/>
        <w:spacing w:after="0" w:line="241"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5"/>
          <w:szCs w:val="15"/>
          <w:color w:val="auto"/>
        </w:rPr>
        <w:t>In 2019, New York initiated a new Request For Offer (“RFO”) process to competitively procure CDPAP fiscal intermediaries. The Company was not selected in the initial RFO process. We submitted a formal protest in response to the selection process, which was filed and accepted in March 2021, but we have not received a response to the formal protest. The Company continues to consider other arrangements and to pursue our protest of the award. The New York fiscal year 2023 state budget, passed in April 2022, amends the current Fiscal Intermediary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if the fiscal intermediary submits an attestation and supporting information to the New York State Department of Health no later than November 29, 2022. Under this provision, the Company is allowed to continue to contract with all of its current payors for CDPAP services, as of the contract award date, which is anticipated to be January 15, 2023. The Company continues to assess the future of its participation in this program. Given the status of the program, the Company has suspended materially all of its new patient admissions under the New York CDPAP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-1116330</wp:posOffset>
            </wp:positionV>
            <wp:extent cx="17227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Hospice Segment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Borders>
              <w:bottom w:val="single" w:sz="8" w:color="auto"/>
            </w:tcBorders>
            <w:gridSpan w:val="4"/>
          </w:tcPr>
          <w:p>
            <w:pPr>
              <w:ind w:left="860"/>
              <w:spacing w:after="0"/>
              <w:rPr>
                <w:sz w:val="20"/>
                <w:szCs w:val="20"/>
                <w:color w:val="auto"/>
              </w:rPr>
            </w:pPr>
            <w:r>
              <w:rPr>
                <w:rFonts w:ascii="Arial" w:cs="Arial" w:eastAsia="Arial" w:hAnsi="Arial"/>
                <w:sz w:val="13"/>
                <w:szCs w:val="13"/>
                <w:b w:val="1"/>
                <w:bCs w:val="1"/>
                <w:color w:val="auto"/>
                <w:w w:val="95"/>
              </w:rPr>
              <w:t>For the Three Months Ended September 30,</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Nine Months Ended 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tcPr>
          <w:p>
            <w:pPr>
              <w:ind w:left="860"/>
              <w:spacing w:after="0"/>
              <w:rPr>
                <w:sz w:val="20"/>
                <w:szCs w:val="20"/>
                <w:color w:val="auto"/>
              </w:rPr>
            </w:pPr>
            <w:r>
              <w:rPr>
                <w:rFonts w:ascii="Arial" w:cs="Arial" w:eastAsia="Arial" w:hAnsi="Arial"/>
                <w:sz w:val="13"/>
                <w:szCs w:val="13"/>
                <w:b w:val="1"/>
                <w:bCs w:val="1"/>
                <w:color w:val="auto"/>
              </w:rPr>
              <w:t>2022</w:t>
            </w:r>
          </w:p>
        </w:tc>
        <w:tc>
          <w:tcPr>
            <w:tcW w:w="7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74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3"/>
              <w:spacing w:after="0" w:line="130"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35"/>
        </w:trPr>
        <w:tc>
          <w:tcPr>
            <w:tcW w:w="1200" w:type="dxa"/>
            <w:vAlign w:val="bottom"/>
            <w:vMerge w:val="restart"/>
          </w:tcPr>
          <w:p>
            <w:pPr>
              <w:jc w:val="center"/>
              <w:ind w:right="93"/>
              <w:spacing w:after="0"/>
              <w:rPr>
                <w:sz w:val="20"/>
                <w:szCs w:val="20"/>
                <w:color w:val="auto"/>
              </w:rPr>
            </w:pPr>
            <w:r>
              <w:rPr>
                <w:rFonts w:ascii="Arial" w:cs="Arial" w:eastAsia="Arial" w:hAnsi="Arial"/>
                <w:sz w:val="13"/>
                <w:szCs w:val="13"/>
                <w:b w:val="1"/>
                <w:bCs w:val="1"/>
                <w:color w:val="auto"/>
                <w:w w:val="97"/>
              </w:rPr>
              <w:t>Amount</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Segment</w:t>
            </w:r>
          </w:p>
        </w:tc>
        <w:tc>
          <w:tcPr>
            <w:tcW w:w="220" w:type="dxa"/>
            <w:vAlign w:val="bottom"/>
          </w:tcPr>
          <w:p>
            <w:pPr>
              <w:spacing w:after="0"/>
              <w:rPr>
                <w:sz w:val="11"/>
                <w:szCs w:val="11"/>
                <w:color w:val="auto"/>
              </w:rPr>
            </w:pPr>
          </w:p>
        </w:tc>
        <w:tc>
          <w:tcPr>
            <w:tcW w:w="124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w w:val="97"/>
              </w:rPr>
              <w:t>Amount</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Segment</w:t>
            </w:r>
          </w:p>
        </w:tc>
        <w:tc>
          <w:tcPr>
            <w:tcW w:w="200" w:type="dxa"/>
            <w:vAlign w:val="bottom"/>
          </w:tcPr>
          <w:p>
            <w:pPr>
              <w:spacing w:after="0"/>
              <w:rPr>
                <w:sz w:val="11"/>
                <w:szCs w:val="11"/>
                <w:color w:val="auto"/>
              </w:rPr>
            </w:pPr>
          </w:p>
        </w:tc>
        <w:tc>
          <w:tcPr>
            <w:tcW w:w="1180" w:type="dxa"/>
            <w:vAlign w:val="bottom"/>
            <w:vMerge w:val="restart"/>
          </w:tcPr>
          <w:p>
            <w:pPr>
              <w:jc w:val="center"/>
              <w:ind w:right="113"/>
              <w:spacing w:after="0"/>
              <w:rPr>
                <w:sz w:val="20"/>
                <w:szCs w:val="20"/>
                <w:color w:val="auto"/>
              </w:rPr>
            </w:pPr>
            <w:r>
              <w:rPr>
                <w:rFonts w:ascii="Arial" w:cs="Arial" w:eastAsia="Arial" w:hAnsi="Arial"/>
                <w:sz w:val="13"/>
                <w:szCs w:val="13"/>
                <w:b w:val="1"/>
                <w:bCs w:val="1"/>
                <w:color w:val="auto"/>
                <w:w w:val="97"/>
              </w:rPr>
              <w:t>Amount</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Segment</w:t>
            </w:r>
          </w:p>
        </w:tc>
        <w:tc>
          <w:tcPr>
            <w:tcW w:w="200" w:type="dxa"/>
            <w:vAlign w:val="bottom"/>
          </w:tcPr>
          <w:p>
            <w:pPr>
              <w:spacing w:after="0"/>
              <w:rPr>
                <w:sz w:val="11"/>
                <w:szCs w:val="11"/>
                <w:color w:val="auto"/>
              </w:rPr>
            </w:pPr>
          </w:p>
        </w:tc>
        <w:tc>
          <w:tcPr>
            <w:tcW w:w="1220" w:type="dxa"/>
            <w:vAlign w:val="bottom"/>
            <w:vMerge w:val="restart"/>
          </w:tcPr>
          <w:p>
            <w:pPr>
              <w:jc w:val="center"/>
              <w:ind w:right="133"/>
              <w:spacing w:after="0"/>
              <w:rPr>
                <w:sz w:val="20"/>
                <w:szCs w:val="20"/>
                <w:color w:val="auto"/>
              </w:rPr>
            </w:pPr>
            <w:r>
              <w:rPr>
                <w:rFonts w:ascii="Arial" w:cs="Arial" w:eastAsia="Arial" w:hAnsi="Arial"/>
                <w:sz w:val="13"/>
                <w:szCs w:val="13"/>
                <w:b w:val="1"/>
                <w:bCs w:val="1"/>
                <w:color w:val="auto"/>
                <w:w w:val="93"/>
              </w:rPr>
              <w:t>Amount</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Segment</w:t>
            </w:r>
          </w:p>
        </w:tc>
        <w:tc>
          <w:tcPr>
            <w:tcW w:w="0" w:type="dxa"/>
            <w:vAlign w:val="bottom"/>
          </w:tcPr>
          <w:p>
            <w:pPr>
              <w:spacing w:after="0"/>
              <w:rPr>
                <w:sz w:val="1"/>
                <w:szCs w:val="1"/>
                <w:color w:val="auto"/>
              </w:rPr>
            </w:pPr>
          </w:p>
        </w:tc>
      </w:tr>
      <w:tr>
        <w:trPr>
          <w:trHeight w:val="149"/>
        </w:trPr>
        <w:tc>
          <w:tcPr>
            <w:tcW w:w="1200" w:type="dxa"/>
            <w:vAlign w:val="bottom"/>
            <w:vMerge w:val="continue"/>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Net Service</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2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0" w:type="dxa"/>
            <w:vAlign w:val="bottom"/>
          </w:tcPr>
          <w:p>
            <w:pPr>
              <w:spacing w:after="0"/>
              <w:rPr>
                <w:sz w:val="1"/>
                <w:szCs w:val="1"/>
                <w:color w:val="auto"/>
              </w:rPr>
            </w:pPr>
          </w:p>
        </w:tc>
      </w:tr>
      <w:tr>
        <w:trPr>
          <w:trHeight w:val="174"/>
        </w:trPr>
        <w:tc>
          <w:tcPr>
            <w:tcW w:w="120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(in Thousands)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20" w:type="dxa"/>
            <w:vAlign w:val="bottom"/>
          </w:tcPr>
          <w:p>
            <w:pPr>
              <w:spacing w:after="0"/>
              <w:rPr>
                <w:sz w:val="15"/>
                <w:szCs w:val="15"/>
                <w:color w:val="auto"/>
              </w:rPr>
            </w:pPr>
          </w:p>
        </w:tc>
        <w:tc>
          <w:tcPr>
            <w:tcW w:w="1240" w:type="dxa"/>
            <w:vAlign w:val="bottom"/>
          </w:tcPr>
          <w:p>
            <w:pPr>
              <w:jc w:val="center"/>
              <w:ind w:right="113"/>
              <w:spacing w:after="0"/>
              <w:rPr>
                <w:sz w:val="20"/>
                <w:szCs w:val="20"/>
                <w:color w:val="auto"/>
              </w:rPr>
            </w:pPr>
            <w:r>
              <w:rPr>
                <w:rFonts w:ascii="Arial" w:cs="Arial" w:eastAsia="Arial" w:hAnsi="Arial"/>
                <w:sz w:val="13"/>
                <w:szCs w:val="13"/>
                <w:b w:val="1"/>
                <w:bCs w:val="1"/>
                <w:color w:val="auto"/>
                <w:w w:val="92"/>
              </w:rPr>
              <w:t>(in Thousands)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200" w:type="dxa"/>
            <w:vAlign w:val="bottom"/>
          </w:tcPr>
          <w:p>
            <w:pPr>
              <w:spacing w:after="0"/>
              <w:rPr>
                <w:sz w:val="15"/>
                <w:szCs w:val="15"/>
                <w:color w:val="auto"/>
              </w:rPr>
            </w:pPr>
          </w:p>
        </w:tc>
        <w:tc>
          <w:tcPr>
            <w:tcW w:w="1180" w:type="dxa"/>
            <w:vAlign w:val="bottom"/>
          </w:tcPr>
          <w:p>
            <w:pPr>
              <w:jc w:val="center"/>
              <w:ind w:right="93"/>
              <w:spacing w:after="0"/>
              <w:rPr>
                <w:sz w:val="20"/>
                <w:szCs w:val="20"/>
                <w:color w:val="auto"/>
              </w:rPr>
            </w:pPr>
            <w:r>
              <w:rPr>
                <w:rFonts w:ascii="Arial" w:cs="Arial" w:eastAsia="Arial" w:hAnsi="Arial"/>
                <w:sz w:val="13"/>
                <w:szCs w:val="13"/>
                <w:b w:val="1"/>
                <w:bCs w:val="1"/>
                <w:color w:val="auto"/>
                <w:w w:val="92"/>
              </w:rPr>
              <w:t>(in Thousands)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00" w:type="dxa"/>
            <w:vAlign w:val="bottom"/>
          </w:tcPr>
          <w:p>
            <w:pPr>
              <w:spacing w:after="0"/>
              <w:rPr>
                <w:sz w:val="15"/>
                <w:szCs w:val="15"/>
                <w:color w:val="auto"/>
              </w:rPr>
            </w:pPr>
          </w:p>
        </w:tc>
        <w:tc>
          <w:tcPr>
            <w:tcW w:w="1220" w:type="dxa"/>
            <w:vAlign w:val="bottom"/>
          </w:tcPr>
          <w:p>
            <w:pPr>
              <w:jc w:val="center"/>
              <w:ind w:right="93"/>
              <w:spacing w:after="0"/>
              <w:rPr>
                <w:sz w:val="20"/>
                <w:szCs w:val="20"/>
                <w:color w:val="auto"/>
              </w:rPr>
            </w:pPr>
            <w:r>
              <w:rPr>
                <w:rFonts w:ascii="Arial" w:cs="Arial" w:eastAsia="Arial" w:hAnsi="Arial"/>
                <w:sz w:val="13"/>
                <w:szCs w:val="13"/>
                <w:b w:val="1"/>
                <w:bCs w:val="1"/>
                <w:color w:val="auto"/>
                <w:w w:val="92"/>
              </w:rPr>
              <w:t>(in Thousands)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6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Ohio</w:t>
            </w:r>
          </w:p>
        </w:tc>
        <w:tc>
          <w:tcPr>
            <w:tcW w:w="340" w:type="dxa"/>
            <w:vAlign w:val="bottom"/>
            <w:shd w:val="clear" w:color="auto" w:fill="CFF0FC"/>
          </w:tcPr>
          <w:p>
            <w:pPr>
              <w:jc w:val="right"/>
              <w:ind w:right="150"/>
              <w:spacing w:after="0" w:line="19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18,139</w:t>
            </w:r>
          </w:p>
        </w:tc>
        <w:tc>
          <w:tcPr>
            <w:tcW w:w="120" w:type="dxa"/>
            <w:vAlign w:val="bottom"/>
            <w:shd w:val="clear" w:color="auto" w:fill="CFF0FC"/>
          </w:tcPr>
          <w:p>
            <w:pPr>
              <w:spacing w:after="0"/>
              <w:rPr>
                <w:sz w:val="16"/>
                <w:szCs w:val="16"/>
                <w:color w:val="auto"/>
              </w:rPr>
            </w:pPr>
          </w:p>
        </w:tc>
        <w:tc>
          <w:tcPr>
            <w:tcW w:w="1360" w:type="dxa"/>
            <w:vAlign w:val="bottom"/>
            <w:gridSpan w:val="3"/>
            <w:shd w:val="clear" w:color="auto" w:fill="CFF0FC"/>
          </w:tcPr>
          <w:p>
            <w:pPr>
              <w:jc w:val="right"/>
              <w:ind w:right="240"/>
              <w:spacing w:after="0" w:line="190" w:lineRule="exact"/>
              <w:rPr>
                <w:sz w:val="20"/>
                <w:szCs w:val="20"/>
                <w:color w:val="auto"/>
              </w:rPr>
            </w:pPr>
            <w:r>
              <w:rPr>
                <w:rFonts w:ascii="Arial" w:cs="Arial" w:eastAsia="Arial" w:hAnsi="Arial"/>
                <w:sz w:val="18"/>
                <w:szCs w:val="18"/>
                <w:color w:val="auto"/>
              </w:rPr>
              <w:t>35.3 % $</w:t>
            </w:r>
          </w:p>
        </w:tc>
        <w:tc>
          <w:tcPr>
            <w:tcW w:w="72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15,868</w:t>
            </w:r>
          </w:p>
        </w:tc>
        <w:tc>
          <w:tcPr>
            <w:tcW w:w="1220" w:type="dxa"/>
            <w:vAlign w:val="bottom"/>
            <w:gridSpan w:val="4"/>
            <w:shd w:val="clear" w:color="auto" w:fill="CFF0FC"/>
          </w:tcPr>
          <w:p>
            <w:pPr>
              <w:jc w:val="right"/>
              <w:spacing w:after="0" w:line="190" w:lineRule="exact"/>
              <w:rPr>
                <w:sz w:val="20"/>
                <w:szCs w:val="20"/>
                <w:color w:val="auto"/>
              </w:rPr>
            </w:pPr>
            <w:r>
              <w:rPr>
                <w:rFonts w:ascii="Arial" w:cs="Arial" w:eastAsia="Arial" w:hAnsi="Arial"/>
                <w:sz w:val="18"/>
                <w:szCs w:val="18"/>
                <w:color w:val="auto"/>
              </w:rPr>
              <w:t>40.6 % $</w:t>
            </w:r>
          </w:p>
        </w:tc>
        <w:tc>
          <w:tcPr>
            <w:tcW w:w="94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51,714</w:t>
            </w:r>
          </w:p>
        </w:tc>
        <w:tc>
          <w:tcPr>
            <w:tcW w:w="1360" w:type="dxa"/>
            <w:vAlign w:val="bottom"/>
            <w:gridSpan w:val="4"/>
            <w:shd w:val="clear" w:color="auto" w:fill="CFF0FC"/>
          </w:tcPr>
          <w:p>
            <w:pPr>
              <w:jc w:val="right"/>
              <w:ind w:right="160"/>
              <w:spacing w:after="0" w:line="190" w:lineRule="exact"/>
              <w:rPr>
                <w:sz w:val="20"/>
                <w:szCs w:val="20"/>
                <w:color w:val="auto"/>
              </w:rPr>
            </w:pPr>
            <w:r>
              <w:rPr>
                <w:rFonts w:ascii="Arial" w:cs="Arial" w:eastAsia="Arial" w:hAnsi="Arial"/>
                <w:sz w:val="18"/>
                <w:szCs w:val="18"/>
                <w:color w:val="auto"/>
              </w:rPr>
              <w:t>34.2 % $</w:t>
            </w:r>
          </w:p>
        </w:tc>
        <w:tc>
          <w:tcPr>
            <w:tcW w:w="760" w:type="dxa"/>
            <w:vAlign w:val="bottom"/>
            <w:shd w:val="clear" w:color="auto" w:fill="CFF0FC"/>
          </w:tcPr>
          <w:p>
            <w:pPr>
              <w:jc w:val="right"/>
              <w:spacing w:after="0" w:line="190" w:lineRule="exact"/>
              <w:rPr>
                <w:sz w:val="20"/>
                <w:szCs w:val="20"/>
                <w:color w:val="auto"/>
              </w:rPr>
            </w:pPr>
            <w:r>
              <w:rPr>
                <w:rFonts w:ascii="Arial" w:cs="Arial" w:eastAsia="Arial" w:hAnsi="Arial"/>
                <w:sz w:val="18"/>
                <w:szCs w:val="18"/>
                <w:color w:val="auto"/>
              </w:rPr>
              <w:t>44,676</w:t>
            </w:r>
          </w:p>
        </w:tc>
        <w:tc>
          <w:tcPr>
            <w:tcW w:w="1100" w:type="dxa"/>
            <w:vAlign w:val="bottom"/>
            <w:gridSpan w:val="3"/>
            <w:shd w:val="clear" w:color="auto" w:fill="CFF0FC"/>
          </w:tcPr>
          <w:p>
            <w:pPr>
              <w:jc w:val="right"/>
              <w:ind w:right="40"/>
              <w:spacing w:after="0" w:line="190" w:lineRule="exact"/>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594"/>
        </w:trPr>
        <w:tc>
          <w:tcPr>
            <w:tcW w:w="2600" w:type="dxa"/>
            <w:vAlign w:val="bottom"/>
          </w:tcPr>
          <w:p>
            <w:pPr>
              <w:ind w:left="20"/>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24"/>
                <w:szCs w:val="24"/>
                <w:color w:val="auto"/>
                <w:vertAlign w:val="superscript"/>
              </w:rPr>
              <w:t>(2)</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12,188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New Mexico</w:t>
            </w: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9,268</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23,867</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Arial" w:cs="Arial" w:eastAsia="Arial" w:hAnsi="Arial"/>
                <w:sz w:val="18"/>
                <w:szCs w:val="18"/>
                <w:color w:val="auto"/>
              </w:rPr>
              <w:t>All other states</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13,243</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13,959</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40,289</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40,206</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6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w w:val="93"/>
              </w:rPr>
              <w:t>Total hospice segment net service</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51,359</w:t>
            </w:r>
          </w:p>
        </w:tc>
        <w:tc>
          <w:tcPr>
            <w:tcW w:w="120" w:type="dxa"/>
            <w:vAlign w:val="bottom"/>
            <w:vMerge w:val="restart"/>
            <w:shd w:val="clear" w:color="auto" w:fill="CFF0FC"/>
          </w:tcPr>
          <w:p>
            <w:pPr>
              <w:spacing w:after="0"/>
              <w:rPr>
                <w:sz w:val="14"/>
                <w:szCs w:val="14"/>
                <w:color w:val="auto"/>
              </w:rPr>
            </w:pPr>
          </w:p>
        </w:tc>
        <w:tc>
          <w:tcPr>
            <w:tcW w:w="1360" w:type="dxa"/>
            <w:vAlign w:val="bottom"/>
            <w:gridSpan w:val="3"/>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100.0 % $</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39,095</w:t>
            </w:r>
          </w:p>
        </w:tc>
        <w:tc>
          <w:tcPr>
            <w:tcW w:w="1220" w:type="dxa"/>
            <w:vAlign w:val="bottom"/>
            <w:gridSpan w:val="4"/>
            <w:vMerge w:val="restart"/>
            <w:shd w:val="clear" w:color="auto" w:fill="CFF0FC"/>
          </w:tcPr>
          <w:p>
            <w:pPr>
              <w:jc w:val="right"/>
              <w:spacing w:after="0"/>
              <w:rPr>
                <w:sz w:val="20"/>
                <w:szCs w:val="20"/>
                <w:color w:val="auto"/>
              </w:rPr>
            </w:pPr>
            <w:r>
              <w:rPr>
                <w:rFonts w:ascii="Arial" w:cs="Arial" w:eastAsia="Arial" w:hAnsi="Arial"/>
                <w:sz w:val="18"/>
                <w:szCs w:val="18"/>
                <w:color w:val="auto"/>
              </w:rPr>
              <w:t>100.0 % $</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151,160</w:t>
            </w:r>
          </w:p>
        </w:tc>
        <w:tc>
          <w:tcPr>
            <w:tcW w:w="1360" w:type="dxa"/>
            <w:vAlign w:val="bottom"/>
            <w:gridSpan w:val="4"/>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100.0 % $</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112,098</w:t>
            </w:r>
          </w:p>
        </w:tc>
        <w:tc>
          <w:tcPr>
            <w:tcW w:w="110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0"/>
        </w:trPr>
        <w:tc>
          <w:tcPr>
            <w:tcW w:w="26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revenues</w:t>
            </w:r>
          </w:p>
        </w:tc>
        <w:tc>
          <w:tcPr>
            <w:tcW w:w="340" w:type="dxa"/>
            <w:vAlign w:val="bottom"/>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360" w:type="dxa"/>
            <w:vAlign w:val="bottom"/>
            <w:gridSpan w:val="3"/>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220" w:type="dxa"/>
            <w:vAlign w:val="bottom"/>
            <w:gridSpan w:val="4"/>
            <w:vMerge w:val="continue"/>
            <w:shd w:val="clear" w:color="auto" w:fill="CFF0FC"/>
          </w:tcPr>
          <w:p>
            <w:pPr>
              <w:spacing w:after="0"/>
              <w:rPr>
                <w:sz w:val="18"/>
                <w:szCs w:val="18"/>
                <w:color w:val="auto"/>
              </w:rPr>
            </w:pPr>
          </w:p>
        </w:tc>
        <w:tc>
          <w:tcPr>
            <w:tcW w:w="940" w:type="dxa"/>
            <w:vAlign w:val="bottom"/>
            <w:vMerge w:val="continue"/>
            <w:shd w:val="clear" w:color="auto" w:fill="CFF0FC"/>
          </w:tcPr>
          <w:p>
            <w:pPr>
              <w:spacing w:after="0"/>
              <w:rPr>
                <w:sz w:val="18"/>
                <w:szCs w:val="18"/>
                <w:color w:val="auto"/>
              </w:rPr>
            </w:pPr>
          </w:p>
        </w:tc>
        <w:tc>
          <w:tcPr>
            <w:tcW w:w="1360" w:type="dxa"/>
            <w:vAlign w:val="bottom"/>
            <w:gridSpan w:val="4"/>
            <w:vMerge w:val="continue"/>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100" w:type="dxa"/>
            <w:vAlign w:val="bottom"/>
            <w:gridSpan w:val="3"/>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-25400</wp:posOffset>
            </wp:positionV>
            <wp:extent cx="768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-8255</wp:posOffset>
            </wp:positionV>
            <wp:extent cx="768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-25400</wp:posOffset>
            </wp:positionV>
            <wp:extent cx="137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137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-25400</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-25400</wp:posOffset>
            </wp:positionV>
            <wp:extent cx="12890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1289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1289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1289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-25400</wp:posOffset>
            </wp:positionV>
            <wp:extent cx="1289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-8255</wp:posOffset>
            </wp:positionV>
            <wp:extent cx="12890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9"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6"/>
          <w:szCs w:val="16"/>
          <w:color w:val="auto"/>
        </w:rPr>
        <w:t>With the JourneyCare acquisition, the Company expanded its hospice services in the state of Illinois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-130175</wp:posOffset>
            </wp:positionV>
            <wp:extent cx="17227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Home Health Segment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140" w:type="dxa"/>
            <w:vAlign w:val="bottom"/>
            <w:tcBorders>
              <w:bottom w:val="single" w:sz="8" w:color="auto"/>
            </w:tcBorders>
            <w:gridSpan w:val="5"/>
          </w:tcPr>
          <w:p>
            <w:pPr>
              <w:ind w:left="840"/>
              <w:spacing w:after="0"/>
              <w:rPr>
                <w:sz w:val="20"/>
                <w:szCs w:val="20"/>
                <w:color w:val="auto"/>
              </w:rPr>
            </w:pPr>
            <w:r>
              <w:rPr>
                <w:rFonts w:ascii="Arial" w:cs="Arial" w:eastAsia="Arial" w:hAnsi="Arial"/>
                <w:sz w:val="13"/>
                <w:szCs w:val="13"/>
                <w:b w:val="1"/>
                <w:bCs w:val="1"/>
                <w:color w:val="auto"/>
              </w:rPr>
              <w:t>For the Three Months Ended September 30,</w:t>
            </w:r>
          </w:p>
        </w:tc>
        <w:tc>
          <w:tcPr>
            <w:tcW w:w="200" w:type="dxa"/>
            <w:vAlign w:val="bottom"/>
          </w:tcPr>
          <w:p>
            <w:pPr>
              <w:spacing w:after="0"/>
              <w:rPr>
                <w:sz w:val="15"/>
                <w:szCs w:val="15"/>
                <w:color w:val="auto"/>
              </w:rPr>
            </w:pPr>
          </w:p>
        </w:tc>
        <w:tc>
          <w:tcPr>
            <w:tcW w:w="33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Nine Months Ended September 30,</w:t>
            </w:r>
          </w:p>
        </w:tc>
        <w:tc>
          <w:tcPr>
            <w:tcW w:w="740" w:type="dxa"/>
            <w:vAlign w:val="bottom"/>
            <w:tcBorders>
              <w:bottom w:val="single" w:sz="8" w:color="auto"/>
            </w:tcBorders>
          </w:tcPr>
          <w:p>
            <w:pPr>
              <w:spacing w:after="0"/>
              <w:rPr>
                <w:sz w:val="15"/>
                <w:szCs w:val="15"/>
                <w:color w:val="auto"/>
              </w:rPr>
            </w:pPr>
          </w:p>
        </w:tc>
      </w:tr>
      <w:tr>
        <w:trPr>
          <w:trHeight w:val="175"/>
        </w:trPr>
        <w:tc>
          <w:tcPr>
            <w:tcW w:w="1200" w:type="dxa"/>
            <w:vAlign w:val="bottom"/>
          </w:tcPr>
          <w:p>
            <w:pPr>
              <w:ind w:left="860"/>
              <w:spacing w:after="0"/>
              <w:rPr>
                <w:sz w:val="20"/>
                <w:szCs w:val="20"/>
                <w:color w:val="auto"/>
              </w:rPr>
            </w:pPr>
            <w:r>
              <w:rPr>
                <w:rFonts w:ascii="Arial" w:cs="Arial" w:eastAsia="Arial" w:hAnsi="Arial"/>
                <w:sz w:val="13"/>
                <w:szCs w:val="13"/>
                <w:b w:val="1"/>
                <w:bCs w:val="1"/>
                <w:color w:val="auto"/>
              </w:rPr>
              <w:t>2022</w:t>
            </w:r>
          </w:p>
        </w:tc>
        <w:tc>
          <w:tcPr>
            <w:tcW w:w="8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spacing w:after="0"/>
              <w:rPr>
                <w:sz w:val="15"/>
                <w:szCs w:val="15"/>
                <w:color w:val="auto"/>
              </w:rPr>
            </w:pPr>
          </w:p>
        </w:tc>
      </w:tr>
      <w:tr>
        <w:trPr>
          <w:trHeight w:val="116"/>
        </w:trPr>
        <w:tc>
          <w:tcPr>
            <w:tcW w:w="1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3"/>
              <w:spacing w:after="0" w:line="116"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 of</w:t>
            </w:r>
          </w:p>
        </w:tc>
      </w:tr>
      <w:tr>
        <w:trPr>
          <w:trHeight w:val="148"/>
        </w:trPr>
        <w:tc>
          <w:tcPr>
            <w:tcW w:w="12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Segment</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Segment</w:t>
            </w: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Segment</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Segment</w:t>
            </w:r>
          </w:p>
        </w:tc>
      </w:tr>
      <w:tr>
        <w:trPr>
          <w:trHeight w:val="135"/>
        </w:trPr>
        <w:tc>
          <w:tcPr>
            <w:tcW w:w="120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97"/>
              </w:rPr>
              <w:t>Amount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Net Service</w:t>
            </w:r>
          </w:p>
        </w:tc>
        <w:tc>
          <w:tcPr>
            <w:tcW w:w="200" w:type="dxa"/>
            <w:vAlign w:val="bottom"/>
          </w:tcPr>
          <w:p>
            <w:pPr>
              <w:spacing w:after="0"/>
              <w:rPr>
                <w:sz w:val="11"/>
                <w:szCs w:val="11"/>
                <w:color w:val="auto"/>
              </w:rPr>
            </w:pPr>
          </w:p>
        </w:tc>
        <w:tc>
          <w:tcPr>
            <w:tcW w:w="118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93"/>
              </w:rPr>
              <w:t>Amount</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Net Service</w:t>
            </w:r>
          </w:p>
        </w:tc>
        <w:tc>
          <w:tcPr>
            <w:tcW w:w="200" w:type="dxa"/>
            <w:vAlign w:val="bottom"/>
          </w:tcPr>
          <w:p>
            <w:pPr>
              <w:spacing w:after="0"/>
              <w:rPr>
                <w:sz w:val="11"/>
                <w:szCs w:val="11"/>
                <w:color w:val="auto"/>
              </w:rPr>
            </w:pPr>
          </w:p>
        </w:tc>
        <w:tc>
          <w:tcPr>
            <w:tcW w:w="1220" w:type="dxa"/>
            <w:vAlign w:val="bottom"/>
          </w:tcPr>
          <w:p>
            <w:pPr>
              <w:jc w:val="center"/>
              <w:ind w:right="153"/>
              <w:spacing w:after="0" w:line="135" w:lineRule="exact"/>
              <w:rPr>
                <w:sz w:val="20"/>
                <w:szCs w:val="20"/>
                <w:color w:val="auto"/>
              </w:rPr>
            </w:pPr>
            <w:r>
              <w:rPr>
                <w:rFonts w:ascii="Arial" w:cs="Arial" w:eastAsia="Arial" w:hAnsi="Arial"/>
                <w:sz w:val="13"/>
                <w:szCs w:val="13"/>
                <w:b w:val="1"/>
                <w:bCs w:val="1"/>
                <w:color w:val="auto"/>
                <w:w w:val="97"/>
              </w:rPr>
              <w:t>Amount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Net Service</w:t>
            </w:r>
          </w:p>
        </w:tc>
        <w:tc>
          <w:tcPr>
            <w:tcW w:w="160" w:type="dxa"/>
            <w:vAlign w:val="bottom"/>
          </w:tcPr>
          <w:p>
            <w:pPr>
              <w:spacing w:after="0"/>
              <w:rPr>
                <w:sz w:val="11"/>
                <w:szCs w:val="11"/>
                <w:color w:val="auto"/>
              </w:rPr>
            </w:pPr>
          </w:p>
        </w:tc>
        <w:tc>
          <w:tcPr>
            <w:tcW w:w="1200" w:type="dxa"/>
            <w:vAlign w:val="bottom"/>
          </w:tcPr>
          <w:p>
            <w:pPr>
              <w:jc w:val="center"/>
              <w:ind w:right="113"/>
              <w:spacing w:after="0" w:line="135" w:lineRule="exact"/>
              <w:rPr>
                <w:sz w:val="20"/>
                <w:szCs w:val="20"/>
                <w:color w:val="auto"/>
              </w:rPr>
            </w:pPr>
            <w:r>
              <w:rPr>
                <w:rFonts w:ascii="Arial" w:cs="Arial" w:eastAsia="Arial" w:hAnsi="Arial"/>
                <w:sz w:val="13"/>
                <w:szCs w:val="13"/>
                <w:b w:val="1"/>
                <w:bCs w:val="1"/>
                <w:color w:val="auto"/>
                <w:w w:val="93"/>
              </w:rPr>
              <w:t>Amount</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Net Service</w:t>
            </w:r>
          </w:p>
        </w:tc>
      </w:tr>
      <w:tr>
        <w:trPr>
          <w:trHeight w:val="174"/>
        </w:trPr>
        <w:tc>
          <w:tcPr>
            <w:tcW w:w="120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00" w:type="dxa"/>
            <w:vAlign w:val="bottom"/>
          </w:tcPr>
          <w:p>
            <w:pPr>
              <w:spacing w:after="0"/>
              <w:rPr>
                <w:sz w:val="15"/>
                <w:szCs w:val="15"/>
                <w:color w:val="auto"/>
              </w:rPr>
            </w:pPr>
          </w:p>
        </w:tc>
        <w:tc>
          <w:tcPr>
            <w:tcW w:w="1180" w:type="dxa"/>
            <w:vAlign w:val="bottom"/>
          </w:tcPr>
          <w:p>
            <w:pPr>
              <w:jc w:val="center"/>
              <w:ind w:right="53"/>
              <w:spacing w:after="0"/>
              <w:rPr>
                <w:sz w:val="20"/>
                <w:szCs w:val="20"/>
                <w:color w:val="auto"/>
              </w:rPr>
            </w:pPr>
            <w:r>
              <w:rPr>
                <w:rFonts w:ascii="Arial" w:cs="Arial" w:eastAsia="Arial" w:hAnsi="Arial"/>
                <w:sz w:val="13"/>
                <w:szCs w:val="13"/>
                <w:b w:val="1"/>
                <w:bCs w:val="1"/>
                <w:color w:val="auto"/>
                <w:w w:val="92"/>
              </w:rPr>
              <w:t>(in Thousands)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200" w:type="dxa"/>
            <w:vAlign w:val="bottom"/>
          </w:tcPr>
          <w:p>
            <w:pPr>
              <w:spacing w:after="0"/>
              <w:rPr>
                <w:sz w:val="15"/>
                <w:szCs w:val="15"/>
                <w:color w:val="auto"/>
              </w:rPr>
            </w:pPr>
          </w:p>
        </w:tc>
        <w:tc>
          <w:tcPr>
            <w:tcW w:w="1220" w:type="dxa"/>
            <w:vAlign w:val="bottom"/>
          </w:tcPr>
          <w:p>
            <w:pPr>
              <w:jc w:val="center"/>
              <w:ind w:right="113"/>
              <w:spacing w:after="0"/>
              <w:rPr>
                <w:sz w:val="20"/>
                <w:szCs w:val="20"/>
                <w:color w:val="auto"/>
              </w:rPr>
            </w:pPr>
            <w:r>
              <w:rPr>
                <w:rFonts w:ascii="Arial" w:cs="Arial" w:eastAsia="Arial" w:hAnsi="Arial"/>
                <w:sz w:val="13"/>
                <w:szCs w:val="13"/>
                <w:b w:val="1"/>
                <w:bCs w:val="1"/>
                <w:color w:val="auto"/>
                <w:w w:val="94"/>
              </w:rPr>
              <w:t>(in Thousands)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160" w:type="dxa"/>
            <w:vAlign w:val="bottom"/>
          </w:tcPr>
          <w:p>
            <w:pPr>
              <w:spacing w:after="0"/>
              <w:rPr>
                <w:sz w:val="15"/>
                <w:szCs w:val="15"/>
                <w:color w:val="auto"/>
              </w:rPr>
            </w:pPr>
          </w:p>
        </w:tc>
        <w:tc>
          <w:tcPr>
            <w:tcW w:w="1200" w:type="dxa"/>
            <w:vAlign w:val="bottom"/>
          </w:tcPr>
          <w:p>
            <w:pPr>
              <w:jc w:val="center"/>
              <w:ind w:right="73"/>
              <w:spacing w:after="0"/>
              <w:rPr>
                <w:sz w:val="20"/>
                <w:szCs w:val="20"/>
                <w:color w:val="auto"/>
              </w:rPr>
            </w:pPr>
            <w:r>
              <w:rPr>
                <w:rFonts w:ascii="Arial" w:cs="Arial" w:eastAsia="Arial" w:hAnsi="Arial"/>
                <w:sz w:val="13"/>
                <w:szCs w:val="13"/>
                <w:b w:val="1"/>
                <w:bCs w:val="1"/>
                <w:color w:val="auto"/>
                <w:w w:val="92"/>
              </w:rPr>
              <w:t>(in Thousands)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Revenues</w:t>
            </w:r>
          </w:p>
        </w:tc>
      </w:tr>
    </w:tbl>
    <w:p>
      <w:pPr>
        <w:spacing w:after="0" w:line="20" w:lineRule="exact"/>
        <w:rPr>
          <w:sz w:val="20"/>
          <w:szCs w:val="20"/>
          <w:color w:val="auto"/>
        </w:rPr>
      </w:pPr>
    </w:p>
    <w:p>
      <w:pPr>
        <w:sectPr>
          <w:pgSz w:w="11900" w:h="16838" w:orient="portrait"/>
          <w:cols w:equalWidth="0" w:num="2">
            <w:col w:w="1860" w:space="720"/>
            <w:col w:w="86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8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New Mexico</w:t>
            </w:r>
          </w:p>
        </w:tc>
        <w:tc>
          <w:tcPr>
            <w:tcW w:w="380" w:type="dxa"/>
            <w:vAlign w:val="bottom"/>
            <w:shd w:val="clear" w:color="auto" w:fill="CFF0FC"/>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8,375</w:t>
            </w:r>
          </w:p>
        </w:tc>
        <w:tc>
          <w:tcPr>
            <w:tcW w:w="12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84.1 % $</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7,958</w:t>
            </w:r>
          </w:p>
        </w:tc>
        <w:tc>
          <w:tcPr>
            <w:tcW w:w="1420" w:type="dxa"/>
            <w:vAlign w:val="bottom"/>
            <w:gridSpan w:val="4"/>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100.0 % $</w:t>
            </w: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24,954</w:t>
            </w:r>
          </w:p>
        </w:tc>
        <w:tc>
          <w:tcPr>
            <w:tcW w:w="1460" w:type="dxa"/>
            <w:vAlign w:val="bottom"/>
            <w:gridSpan w:val="4"/>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83.8 %$</w:t>
            </w: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17,015</w:t>
            </w:r>
          </w:p>
        </w:tc>
        <w:tc>
          <w:tcPr>
            <w:tcW w:w="1100" w:type="dxa"/>
            <w:vAlign w:val="bottom"/>
            <w:gridSpan w:val="3"/>
            <w:shd w:val="clear" w:color="auto" w:fill="CFF0FC"/>
          </w:tcPr>
          <w:p>
            <w:pPr>
              <w:jc w:val="center"/>
              <w:ind w:left="350"/>
              <w:spacing w:after="0" w:line="203" w:lineRule="exact"/>
              <w:rPr>
                <w:sz w:val="20"/>
                <w:szCs w:val="20"/>
                <w:color w:val="auto"/>
              </w:rPr>
            </w:pPr>
            <w:r>
              <w:rPr>
                <w:rFonts w:ascii="Arial" w:cs="Arial" w:eastAsia="Arial" w:hAnsi="Arial"/>
                <w:sz w:val="18"/>
                <w:szCs w:val="18"/>
                <w:color w:val="auto"/>
                <w:w w:val="87"/>
              </w:rPr>
              <w:t>100.0 %</w:t>
            </w:r>
          </w:p>
        </w:tc>
        <w:tc>
          <w:tcPr>
            <w:tcW w:w="0" w:type="dxa"/>
            <w:vAlign w:val="bottom"/>
          </w:tcPr>
          <w:p>
            <w:pPr>
              <w:spacing w:after="0"/>
              <w:rPr>
                <w:sz w:val="1"/>
                <w:szCs w:val="1"/>
                <w:color w:val="auto"/>
              </w:rPr>
            </w:pPr>
          </w:p>
        </w:tc>
      </w:tr>
      <w:tr>
        <w:trPr>
          <w:trHeight w:val="594"/>
        </w:trPr>
        <w:tc>
          <w:tcPr>
            <w:tcW w:w="2580" w:type="dxa"/>
            <w:vAlign w:val="bottom"/>
          </w:tcPr>
          <w:p>
            <w:pPr>
              <w:ind w:left="20"/>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24"/>
                <w:szCs w:val="24"/>
                <w:color w:val="auto"/>
                <w:vertAlign w:val="superscript"/>
              </w:rPr>
              <w:t>(3)</w:t>
            </w: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58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Total home health segment net</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9,956</w:t>
            </w:r>
          </w:p>
        </w:tc>
        <w:tc>
          <w:tcPr>
            <w:tcW w:w="120" w:type="dxa"/>
            <w:vAlign w:val="bottom"/>
            <w:vMerge w:val="restart"/>
            <w:shd w:val="clear" w:color="auto" w:fill="CFF0FC"/>
          </w:tcPr>
          <w:p>
            <w:pPr>
              <w:spacing w:after="0"/>
              <w:rPr>
                <w:sz w:val="14"/>
                <w:szCs w:val="14"/>
                <w:color w:val="auto"/>
              </w:rPr>
            </w:pPr>
          </w:p>
        </w:tc>
        <w:tc>
          <w:tcPr>
            <w:tcW w:w="1360" w:type="dxa"/>
            <w:vAlign w:val="bottom"/>
            <w:gridSpan w:val="3"/>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100.0 % $</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7,958</w:t>
            </w:r>
          </w:p>
        </w:tc>
        <w:tc>
          <w:tcPr>
            <w:tcW w:w="1420" w:type="dxa"/>
            <w:vAlign w:val="bottom"/>
            <w:gridSpan w:val="4"/>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100.0 % $</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29,768</w:t>
            </w:r>
          </w:p>
        </w:tc>
        <w:tc>
          <w:tcPr>
            <w:tcW w:w="1460" w:type="dxa"/>
            <w:vAlign w:val="bottom"/>
            <w:gridSpan w:val="4"/>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100.0 %$</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1100" w:type="dxa"/>
            <w:vAlign w:val="bottom"/>
            <w:gridSpan w:val="3"/>
            <w:vMerge w:val="restart"/>
            <w:shd w:val="clear" w:color="auto" w:fill="CFF0FC"/>
          </w:tcPr>
          <w:p>
            <w:pPr>
              <w:jc w:val="center"/>
              <w:ind w:left="350"/>
              <w:spacing w:after="0"/>
              <w:rPr>
                <w:sz w:val="20"/>
                <w:szCs w:val="20"/>
                <w:color w:val="auto"/>
              </w:rPr>
            </w:pPr>
            <w:r>
              <w:rPr>
                <w:rFonts w:ascii="Arial" w:cs="Arial" w:eastAsia="Arial" w:hAnsi="Arial"/>
                <w:sz w:val="18"/>
                <w:szCs w:val="18"/>
                <w:color w:val="auto"/>
                <w:w w:val="87"/>
              </w:rPr>
              <w:t>100.0 %</w:t>
            </w:r>
          </w:p>
        </w:tc>
        <w:tc>
          <w:tcPr>
            <w:tcW w:w="0" w:type="dxa"/>
            <w:vAlign w:val="bottom"/>
          </w:tcPr>
          <w:p>
            <w:pPr>
              <w:spacing w:after="0"/>
              <w:rPr>
                <w:sz w:val="1"/>
                <w:szCs w:val="1"/>
                <w:color w:val="auto"/>
              </w:rPr>
            </w:pPr>
          </w:p>
        </w:tc>
      </w:tr>
      <w:tr>
        <w:trPr>
          <w:trHeight w:val="210"/>
        </w:trPr>
        <w:tc>
          <w:tcPr>
            <w:tcW w:w="258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service revenues</w:t>
            </w:r>
          </w:p>
        </w:tc>
        <w:tc>
          <w:tcPr>
            <w:tcW w:w="380" w:type="dxa"/>
            <w:vAlign w:val="bottom"/>
            <w:vMerge w:val="continue"/>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360" w:type="dxa"/>
            <w:vAlign w:val="bottom"/>
            <w:gridSpan w:val="3"/>
            <w:vMerge w:val="continue"/>
            <w:shd w:val="clear" w:color="auto" w:fill="CFF0FC"/>
          </w:tcPr>
          <w:p>
            <w:pPr>
              <w:spacing w:after="0"/>
              <w:rPr>
                <w:sz w:val="18"/>
                <w:szCs w:val="18"/>
                <w:color w:val="auto"/>
              </w:rPr>
            </w:pPr>
          </w:p>
        </w:tc>
        <w:tc>
          <w:tcPr>
            <w:tcW w:w="680" w:type="dxa"/>
            <w:vAlign w:val="bottom"/>
            <w:vMerge w:val="continue"/>
            <w:shd w:val="clear" w:color="auto" w:fill="CFF0FC"/>
          </w:tcPr>
          <w:p>
            <w:pPr>
              <w:spacing w:after="0"/>
              <w:rPr>
                <w:sz w:val="18"/>
                <w:szCs w:val="18"/>
                <w:color w:val="auto"/>
              </w:rPr>
            </w:pPr>
          </w:p>
        </w:tc>
        <w:tc>
          <w:tcPr>
            <w:tcW w:w="1420" w:type="dxa"/>
            <w:vAlign w:val="bottom"/>
            <w:gridSpan w:val="4"/>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460" w:type="dxa"/>
            <w:vAlign w:val="bottom"/>
            <w:gridSpan w:val="4"/>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1100" w:type="dxa"/>
            <w:vAlign w:val="bottom"/>
            <w:gridSpan w:val="3"/>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-24765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-24765</wp:posOffset>
            </wp:positionV>
            <wp:extent cx="137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137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1289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1289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1028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028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9" w:lineRule="exact"/>
        <w:rPr>
          <w:sz w:val="20"/>
          <w:szCs w:val="20"/>
          <w:color w:val="auto"/>
        </w:rPr>
      </w:pPr>
    </w:p>
    <w:p>
      <w:pPr>
        <w:jc w:val="center"/>
        <w:ind w:left="5540" w:right="380" w:hanging="5158"/>
        <w:spacing w:after="0" w:line="501" w:lineRule="auto"/>
        <w:tabs>
          <w:tab w:leader="none" w:pos="753" w:val="left"/>
        </w:tabs>
        <w:numPr>
          <w:ilvl w:val="0"/>
          <w:numId w:val="8"/>
        </w:numPr>
        <w:rPr>
          <w:rFonts w:ascii="Arial" w:cs="Arial" w:eastAsia="Arial" w:hAnsi="Arial"/>
          <w:sz w:val="18"/>
          <w:szCs w:val="18"/>
          <w:color w:val="auto"/>
        </w:rPr>
      </w:pPr>
      <w:r>
        <w:rPr>
          <w:rFonts w:ascii="Arial" w:cs="Arial" w:eastAsia="Arial" w:hAnsi="Arial"/>
          <w:sz w:val="16"/>
          <w:szCs w:val="16"/>
          <w:color w:val="auto"/>
        </w:rPr>
        <w:t>With the acquisition of Summit Home Health, LLC (“Summit”) on October 1, 2021, the Company expanded its home health services in the state of Illinois</w:t>
      </w:r>
      <w:r>
        <w:rPr>
          <w:rFonts w:ascii="Arial" w:cs="Arial" w:eastAsia="Arial" w:hAnsi="Arial"/>
          <w:sz w:val="17"/>
          <w:szCs w:val="17"/>
          <w:color w:val="auto"/>
        </w:rPr>
        <w:t>.</w:t>
      </w:r>
      <w:r>
        <w:rPr>
          <w:rFonts w:ascii="Arial" w:cs="Arial" w:eastAsia="Arial" w:hAnsi="Arial"/>
          <w:sz w:val="16"/>
          <w:szCs w:val="16"/>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-532130</wp:posOffset>
            </wp:positionV>
            <wp:extent cx="17227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98"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A substantial portion of the Company’s revenue and accounts receivable are derived from services performed for federal, state and local governmental agencies. We derive a significant amount of our net service revenues in Illinois, which represented 44.3%, and 37.8% of our net service revenues for the three months ended September 30, 2022, and 2021, respectively, and accounted for 43.5% and 37.5% of our net service revenues for the nine months ended September 30, 2022 and 2021, respectively. The Illinois Department on Aging, the largest payor program for the Company’s Illinois personal care operations, accounted for 21.0% and 21.3% of the Company’s net service revenues for the three months ended September 30, 2022 and 2021, respectively, and accounted for 20.8% and 21.4% of the Company’s net service revenues for the nine months ended September 30, 2022 and 2021, respectively.</w:t>
      </w:r>
    </w:p>
    <w:p>
      <w:pPr>
        <w:spacing w:after="0" w:line="181"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related receivables due from the Illinois Department on Aging represented 15.3% and 16.1% of the Company’s net accounts receivable at September 30, 2022 and December 31, 2021,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00" w:lineRule="exact"/>
        <w:rPr>
          <w:sz w:val="20"/>
          <w:szCs w:val="20"/>
          <w:color w:val="auto"/>
        </w:rPr>
      </w:pPr>
    </w:p>
    <w:p>
      <w:pPr>
        <w:spacing w:after="0" w:line="218"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On October 1, 2022, we completed the acquisition of Apple Home HealthCare, LTD ("Apple Home") for approximately $12.2 million, with funding provided by drawing on the Company's revolving credit facility. In addition to the initial consideration, the total purchase price also includes potential additional contingent consideration to the previous owners of Apple Home of up to approximately $2 million. The contingent consideration will vary based upon performance relative to certain agreed upon earnings targets in 2022 and 2023. With the purchase of Apple Home, the Company expanded clinical services to its home health segment in Illinois. The initial accounting is not yet complete, therefore the related business combination disclosures have not been presented as the Company is currently in the process of valuing the assets acquired and liabilities assumed in the transaction.</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anticipated impact to our business with respect to developments related to the COVID-19 pandemic, including, without limitation, those related to the length and severity of the pandemic, as well as the timing, availability and acceptance of effective medical treatments, vaccines and booster shots; the spread of potentially more contagious and/or virulent forms of the virus; the pandemic’s impact on our operations, reimbursement and our consumer population; measures we are taking to respond to the pandemic; the impact of government regulation, stimulus and relief measures, including the Coronavirus Aid, Relief, and Economic Security Act (“CARES Act”), Paycheck Protection Program and Health Care Enhancement Act (“PPPHCE Act”), the Consolidated Appropriations Act, 2021 (“CAA”), the COVID-Related Tax Relief Act of 2020, the American Rescue Plan of 2021 (“ARPA”) and any other stimulus or relief legislation, along with the related uncertainties regarding such measures and any future measures related to COVID-19; negative economic conditions in the United States, including inflationary conditions; higher interest rates, increased expenses related to personal protective equipment (“PPE”), labor, supply chain, or other expenditures, including as a result of inflationary conditions; workforce disruptions, including shortages and increased labor expenses, associated with competitive labor market conditions; the impact of vaccine mandates on the workforce; and supply shortages and disruptions; changes in operational and reimbursement processes and payment structures at the state or federal levels; changes in Medicaid, Medicare, other government program and managed care organizations policies and payment rates;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the overall economic conditions, and deficit spending by federal and state governments; cost containment initiatives undertaken by federal, state and other third-party payors; our ability to access financing through the capital and credit markets; our ability to meet debt service requirements and comply with covenants in debt agreements; business disruptions due to natural disasters, acts of terrorism, pandemics, riots, civil insurrection or social unrest, looting, protests, strikes or street demonstrations; our ability to integrate and manage our information systems; our ability to prevent cyber-attacks or security breaches to protect our information technology systems and confidential consumer data; our expectations regarding the size and growth of the market for our services; the acceptance of privatized social services; our expectations regarding changes in reimbursement rates; eligibility standards and limits on services imposed by state governmental agencies; the potential for litigation; discretionary determinations by government officials; our ability to successfully implement our business model to grow our business; our ability to continue identifying, pursuing, consummating and integrating acquisition opportunities and expand into new geographic markets; the impact of acquisitions and dispositions on our business, including the potential inability to realize the benefits of potential acquisitions; the effectiveness, quality and cost of our services; our ability to successfully execute our growth strategy; changes in tax rates; the impact of public health emergencies, including the COVID-19 pandemic; the impact of inclement weather or natural disasters; and various other matters, many of which are beyond our control. In addition, these forward-looking statements are subject to the risk factors set forth in Part I, Item 1A of our Annual Report on Form 10-K for the period ended December 31, 2021, filed with the SEC on February 25, 2022.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36.2% and 36.7% of our net service revenues during the three months ended September 30, 2022 and 2021, respectively, and 35.9% and 37.3% of our net service revenues during the nine months ended September 30, 2022 and 2021, respectively.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certain consolidated financial results is provided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54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For the Three Months Ended September</w:t>
            </w:r>
          </w:p>
        </w:tc>
        <w:tc>
          <w:tcPr>
            <w:tcW w:w="240" w:type="dxa"/>
            <w:vAlign w:val="bottom"/>
          </w:tcPr>
          <w:p>
            <w:pPr>
              <w:spacing w:after="0"/>
              <w:rPr>
                <w:sz w:val="14"/>
                <w:szCs w:val="14"/>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For the Nine Months Ended September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vMerge w:val="restart"/>
          </w:tcPr>
          <w:p>
            <w:pPr>
              <w:ind w:left="20"/>
              <w:spacing w:after="0"/>
              <w:rPr>
                <w:sz w:val="20"/>
                <w:szCs w:val="20"/>
                <w:color w:val="auto"/>
              </w:rPr>
            </w:pPr>
            <w:r>
              <w:rPr>
                <w:rFonts w:ascii="Arial" w:cs="Arial" w:eastAsia="Arial" w:hAnsi="Arial"/>
                <w:sz w:val="18"/>
                <w:szCs w:val="18"/>
                <w:color w:val="auto"/>
              </w:rPr>
              <w:t>Net service revenues by segment:</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0"/>
              </w:rPr>
              <w:t>(Amounts 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Personal care</w:t>
            </w:r>
          </w:p>
        </w:tc>
        <w:tc>
          <w:tcPr>
            <w:tcW w:w="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179,180</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169,609</w:t>
            </w:r>
          </w:p>
        </w:tc>
        <w:tc>
          <w:tcPr>
            <w:tcW w:w="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523,142</w:t>
            </w:r>
          </w:p>
        </w:tc>
        <w:tc>
          <w:tcPr>
            <w:tcW w:w="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Hospice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51,359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39,095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151,160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Home health</w:t>
            </w: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9,956</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29,768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8"/>
                <w:szCs w:val="18"/>
                <w:color w:val="auto"/>
              </w:rPr>
              <w:t>Total net service revenues</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240,495</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216,662</w:t>
            </w:r>
          </w:p>
        </w:tc>
        <w:tc>
          <w:tcPr>
            <w:tcW w:w="24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704,070</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gridSpan w:val="2"/>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11,543</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11,577</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31,263</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-454025</wp:posOffset>
            </wp:positionV>
            <wp:extent cx="76835"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-454025</wp:posOffset>
            </wp:positionV>
            <wp:extent cx="6858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-454025</wp:posOffset>
            </wp:positionV>
            <wp:extent cx="6858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0" w:lineRule="exact"/>
        <w:rPr>
          <w:sz w:val="20"/>
          <w:szCs w:val="20"/>
          <w:color w:val="auto"/>
        </w:rPr>
      </w:pPr>
    </w:p>
    <w:p>
      <w:pPr>
        <w:ind w:right="440" w:firstLine="509"/>
        <w:spacing w:after="0" w:line="248" w:lineRule="auto"/>
        <w:rPr>
          <w:sz w:val="20"/>
          <w:szCs w:val="20"/>
          <w:color w:val="auto"/>
        </w:rPr>
      </w:pPr>
      <w:r>
        <w:rPr>
          <w:rFonts w:ascii="Arial" w:cs="Arial" w:eastAsia="Arial" w:hAnsi="Arial"/>
          <w:sz w:val="18"/>
          <w:szCs w:val="18"/>
          <w:color w:val="auto"/>
        </w:rPr>
        <w:t>As of September 30, 2022, we provided our services in 22 states through 206 offices. We served approximately 62,000 and 64,000 discrete individuals, respectively, during the nine months ended September 30, 2022 and 2021. Our personal care segment also includes staffing services, with clients including assisted living facilities, nursing homes and hospice facilities.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 Update</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Although the United States has experienced a moderation of infection and related hospitalization rates, there continues to be a significant number of COVID-19 cases and deaths in the United States and throughout the world. The long-term trends of new cases and deaths in the United States and the future impact of the pandemic continue to be unknown.</w:t>
      </w:r>
    </w:p>
    <w:p>
      <w:pPr>
        <w:spacing w:after="0" w:line="189" w:lineRule="exact"/>
        <w:rPr>
          <w:sz w:val="20"/>
          <w:szCs w:val="20"/>
          <w:color w:val="auto"/>
        </w:rPr>
      </w:pPr>
    </w:p>
    <w:p>
      <w:pPr>
        <w:ind w:right="160" w:firstLine="509"/>
        <w:spacing w:after="0" w:line="278" w:lineRule="auto"/>
        <w:rPr>
          <w:sz w:val="20"/>
          <w:szCs w:val="20"/>
          <w:color w:val="auto"/>
        </w:rPr>
      </w:pPr>
      <w:r>
        <w:rPr>
          <w:rFonts w:ascii="Arial" w:cs="Arial" w:eastAsia="Arial" w:hAnsi="Arial"/>
          <w:sz w:val="16"/>
          <w:szCs w:val="16"/>
          <w:color w:val="auto"/>
        </w:rPr>
        <w:t>CMS issued an interim rule in November 2021 requiring COVID-19 vaccinations for Medicare- and Medicaid-certified providers and suppliers, including hospices and home health agencies, which covers clinical staff, individuals providing services under arrangements, volunteers and staff who are not involved in direct patient care. Additionally, some states have implemented, or may implement in the future, vaccine mandates with respect to healthcare personnel. These rules have impacted, and we expect that they will continue to impact, our home health and hospice segments.</w:t>
      </w:r>
    </w:p>
    <w:p>
      <w:pPr>
        <w:spacing w:after="0" w:line="160"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For the three and nine months ended September 30, 2022, COVID-19-related expenses in our personal care segment were approximately $0.9 million and $3.7 million, respectively, and are included in cost of service revenues on the Consolidated Statements of Income. For the three and nine months ended September 30, 2021, COVID-19-related expenses in our personal care segment were approximately $1.3 million and $14.6 million, respectively, which were offset by $0.4 million and $11.7 million, respectively, related to the utilization of a portion of the funds received from the Provider Relief Fund in November 2020 and included in cost of service revenues on the Condensed Consolidated Statements of Income. Additionally, we recognized revenue of $1.3 million and $4.3 million attributable to temporary rate increases from certain payors in our personal care segment for the three and nine months ended September 30, 2022, respectively, and $1.3 million and $6.1 million for the three and nine months ended September 30, 2021, respectively.</w:t>
      </w:r>
    </w:p>
    <w:p>
      <w:pPr>
        <w:spacing w:after="0" w:line="181"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For the three and nine months ended September 30, 2021, COVID-19-related expenses in our hospice segment were approximately $1.9 million, which were offset by $1.9 million, related to the utilization of a portion of the funds received from the Queen City Hospice Provider Relief Fund and included in cost of service revenues on the Condensed Consolidated Statements of Income.</w:t>
      </w:r>
    </w:p>
    <w:p>
      <w:pPr>
        <w:spacing w:after="0" w:line="168"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As of September 30, 2022, the Company deferred the recognition of $4.9 million of payments received from payors for COVID-19 reimbursement, included within accrued expenses, which will be recognized as we incur specific expenses related to the pandemic, such as expenses related to acquiring additional PPE and COVID-19 related paid time off, or will be returned to the extent COVID-19-related expenses are not incurred. We are not able to reasonably predict the total costs we will incur related to the COVID-19 pandemic, and such costs could be substantial.</w:t>
      </w:r>
    </w:p>
    <w:p>
      <w:pPr>
        <w:spacing w:after="0" w:line="142" w:lineRule="exact"/>
        <w:rPr>
          <w:sz w:val="20"/>
          <w:szCs w:val="20"/>
          <w:color w:val="auto"/>
        </w:rPr>
      </w:pPr>
    </w:p>
    <w:p>
      <w:pPr>
        <w:ind w:firstLine="509"/>
        <w:spacing w:after="0" w:line="262" w:lineRule="auto"/>
        <w:rPr>
          <w:sz w:val="20"/>
          <w:szCs w:val="20"/>
          <w:color w:val="auto"/>
        </w:rPr>
      </w:pPr>
      <w:r>
        <w:rPr>
          <w:rFonts w:ascii="Arial" w:cs="Arial" w:eastAsia="Arial" w:hAnsi="Arial"/>
          <w:sz w:val="16"/>
          <w:szCs w:val="16"/>
          <w:color w:val="auto"/>
        </w:rPr>
        <w:t>Federal and state agencies continue to issue regulations and guidance related to the COVID-19 pandemic, but have shifted to reducing or terminating certain temporary measures that were implemented to ease delivery of care earlier in the COVID-19 public health emergency. The public health situation continues to evolve, and, therefore, we cannot currently predict with certainty the extent to which our business, results of operations, financial condition or liquidity will ultimately be impacted by the pandemic. We will continue to assess the impact and consequences of the COVID-19 pandemic and government responses to the pandemic, including the implementation of the CARES Act, the PPPHCE Act, the CAA, the ARPA, other stimulus and relief legislation, the President’s National COVID-19 Preparedness Plan, and existing and potential additional federal, state and local vaccine mandates, on our business, results of operations, financial condition and cash flows. Given the dynamic nature of these circumstances, the related financial effect cannot be reasonably estimated at this time but is not expected to materially adversely impact our business. See Part I, Item 1A—Risk Factors — “</w:t>
      </w:r>
      <w:r>
        <w:rPr>
          <w:rFonts w:ascii="Arial" w:cs="Arial" w:eastAsia="Arial" w:hAnsi="Arial"/>
          <w:sz w:val="16"/>
          <w:szCs w:val="16"/>
          <w:i w:val="1"/>
          <w:iCs w:val="1"/>
          <w:color w:val="auto"/>
        </w:rPr>
        <w:t>The COVID-19</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i w:val="1"/>
          <w:iCs w:val="1"/>
          <w:color w:val="auto"/>
        </w:rPr>
        <w:t>pandemic could negatively affect our operations, business and financial condition, and our liquidity could also be negatively impacted, particularly if the U.S. economic and/or public health conditions deteriorate in connection with the pandemic</w:t>
      </w:r>
      <w:r>
        <w:rPr>
          <w:rFonts w:ascii="Arial" w:cs="Arial" w:eastAsia="Arial" w:hAnsi="Arial"/>
          <w:sz w:val="16"/>
          <w:szCs w:val="16"/>
          <w:color w:val="auto"/>
        </w:rPr>
        <w:t>” of our Annual Report on Form 10-K for the year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filed with the SEC on February 25, 2022.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3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“Liquidity and Capital Resources” below for additional information regarding funds received related to COVID-19 pandemic relief.</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Recruiting</w:t>
      </w:r>
    </w:p>
    <w:p>
      <w:pPr>
        <w:spacing w:after="0" w:line="117"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auto"/>
        </w:rPr>
        <w:t>As the labor market has tightened and unemployment has declined in comparison to earlier levels, the competition for new caregivers, including skilled healthcare staff, and support staff has increased. In addition, the United States economy continues to experience significant inflationary pressures and a competitive labor market. To the extent that we continue to experience a shortage of caregivers, it may hinder our ability to fully meet the continuing demand for both our non-clinical and clinical services. The increased staffing challenges, including COVID-19 related quarantine requirements and inflationary pressures, resulted in increased labor costs to satisfy our staffing requirements during the three and nine months ended September 30, 2022 compared to 2021 in our non-clinical and clinical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04"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p>
    <w:p>
      <w:pPr>
        <w:spacing w:after="0" w:line="175"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On August 1, 2021, we completed the acquisition of Armada Skilled Homecare of New Mexico LLC, Armada Hospice of New Mexico LLC and Armada Hospice of Santa Fe LLC (collectively, “Armada”) for approximately $29.8 million, including the amount of acquired excess cash held by Armada at the closing of the acquisition (approximately $0.7 million), with funding provided by our revolving credit facility. With the purchase of Armada, we expanded our home health and hospice services in the state of New Mexico.</w:t>
      </w:r>
    </w:p>
    <w:p>
      <w:pPr>
        <w:spacing w:after="0" w:line="181" w:lineRule="exact"/>
        <w:rPr>
          <w:sz w:val="20"/>
          <w:szCs w:val="20"/>
          <w:color w:val="auto"/>
        </w:rPr>
      </w:pPr>
    </w:p>
    <w:p>
      <w:pPr>
        <w:ind w:right="640" w:firstLine="509"/>
        <w:spacing w:after="0" w:line="308" w:lineRule="auto"/>
        <w:rPr>
          <w:sz w:val="20"/>
          <w:szCs w:val="20"/>
          <w:color w:val="auto"/>
        </w:rPr>
      </w:pPr>
      <w:r>
        <w:rPr>
          <w:rFonts w:ascii="Arial" w:cs="Arial" w:eastAsia="Arial" w:hAnsi="Arial"/>
          <w:sz w:val="17"/>
          <w:szCs w:val="17"/>
          <w:color w:val="auto"/>
        </w:rPr>
        <w:t>On October 1, 2021, we completed the acquisition of Summit Home Health, LLC (“Summit”) for approximately $8.1 million, with funding provided by available cash. With the purchase of Summit, we added clinical services in Illinois to our home health segment.</w:t>
      </w:r>
    </w:p>
    <w:p>
      <w:pPr>
        <w:spacing w:after="0" w:line="133"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On February 1, 2022, we completed the acquisition of the hospice and palliative operations of JourneyCare, Inc. (“JourneyCare”) for approximately $86.6 million, including the amount of acquired excess cash held by JourneyCare at the closing of the acquisition (approximately $0.5 million) plus the finalization of net working capital payable to seller of $1.6 million, with funding provided through a combination of a $35.0 million draw under the revolving credit facility and available cash on hand. With the JourneyCare acquisition, we added hospice services in Illinois.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revenue by payor and significant states by segment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Personal Care Segment</w:t>
            </w:r>
          </w:p>
        </w:tc>
        <w:tc>
          <w:tcPr>
            <w:tcW w:w="1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rPr>
              <w:t>For the Three Months Ended September 30,</w:t>
            </w:r>
          </w:p>
        </w:tc>
        <w:tc>
          <w:tcPr>
            <w:tcW w:w="8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For the Nine Months Ended September 30,</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Net Service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State, local and other</w:t>
            </w:r>
          </w:p>
        </w:tc>
        <w:tc>
          <w:tcPr>
            <w:tcW w:w="140" w:type="dxa"/>
            <w:vAlign w:val="bottom"/>
            <w:tcBorders>
              <w:top w:val="single" w:sz="8" w:color="auto"/>
            </w:tcBorders>
            <w:shd w:val="clear" w:color="auto" w:fill="CFF0FC"/>
          </w:tcPr>
          <w:p>
            <w:pPr>
              <w:spacing w:after="0"/>
              <w:rPr>
                <w:sz w:val="24"/>
                <w:szCs w:val="24"/>
                <w:color w:val="auto"/>
              </w:rPr>
            </w:pPr>
          </w:p>
        </w:tc>
        <w:tc>
          <w:tcPr>
            <w:tcW w:w="1100" w:type="dxa"/>
            <w:vAlign w:val="bottom"/>
            <w:tcBorders>
              <w:top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900" w:type="dxa"/>
            <w:vAlign w:val="bottom"/>
            <w:tcBorders>
              <w:top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82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920" w:type="dxa"/>
            <w:vAlign w:val="bottom"/>
            <w:tcBorders>
              <w:top w:val="single" w:sz="8" w:color="auto"/>
            </w:tcBorders>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900" w:type="dxa"/>
            <w:vAlign w:val="bottom"/>
            <w:tcBorders>
              <w:top w:val="single" w:sz="8" w:color="auto"/>
            </w:tcBorders>
            <w:shd w:val="clear" w:color="auto" w:fill="CFF0FC"/>
          </w:tcPr>
          <w:p>
            <w:pPr>
              <w:spacing w:after="0"/>
              <w:rPr>
                <w:sz w:val="24"/>
                <w:szCs w:val="24"/>
                <w:color w:val="auto"/>
              </w:rPr>
            </w:pPr>
          </w:p>
        </w:tc>
        <w:tc>
          <w:tcPr>
            <w:tcW w:w="140" w:type="dxa"/>
            <w:vAlign w:val="bottom"/>
            <w:tcBorders>
              <w:right w:val="single" w:sz="8" w:color="CFF0FC"/>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governmental programs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88,448</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83,821</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6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w w:val="9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257,817</w:t>
            </w: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3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253,052</w:t>
            </w:r>
          </w:p>
        </w:tc>
        <w:tc>
          <w:tcPr>
            <w:tcW w:w="140" w:type="dxa"/>
            <w:vAlign w:val="bottom"/>
            <w:tcBorders>
              <w:right w:val="single" w:sz="8" w:color="CFF0FC"/>
            </w:tcBorders>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w w:val="95"/>
              </w:rPr>
              <w:t>Managed care organizations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83,199</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76,890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241,164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231,211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Private pay</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4,521</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4,934</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13,758</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14,883</w:t>
            </w:r>
          </w:p>
        </w:tc>
        <w:tc>
          <w:tcPr>
            <w:tcW w:w="14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Commercial insurance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5,988</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20"/>
              <w:spacing w:after="0" w:line="168" w:lineRule="exact"/>
              <w:rPr>
                <w:sz w:val="20"/>
                <w:szCs w:val="20"/>
                <w:color w:val="auto"/>
              </w:rPr>
            </w:pPr>
            <w:r>
              <w:rPr>
                <w:rFonts w:ascii="Arial" w:cs="Arial" w:eastAsia="Arial" w:hAnsi="Arial"/>
                <w:sz w:val="18"/>
                <w:szCs w:val="18"/>
                <w:color w:val="auto"/>
                <w:w w:val="94"/>
              </w:rPr>
              <w:t>Total personal care segment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179,180</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169,609</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vMerge w:val="restart"/>
          </w:tcPr>
          <w:p>
            <w:pPr>
              <w:jc w:val="right"/>
              <w:ind w:right="19"/>
              <w:spacing w:after="0"/>
              <w:rPr>
                <w:sz w:val="20"/>
                <w:szCs w:val="20"/>
                <w:color w:val="auto"/>
              </w:rPr>
            </w:pPr>
            <w:r>
              <w:rPr>
                <w:rFonts w:ascii="Arial" w:cs="Arial" w:eastAsia="Arial" w:hAnsi="Arial"/>
                <w:sz w:val="18"/>
                <w:szCs w:val="18"/>
                <w:color w:val="auto"/>
                <w:w w:val="92"/>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523,142</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510,744</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0"/>
        </w:trPr>
        <w:tc>
          <w:tcPr>
            <w:tcW w:w="2200" w:type="dxa"/>
            <w:vAlign w:val="bottom"/>
          </w:tcPr>
          <w:p>
            <w:pPr>
              <w:ind w:left="20"/>
              <w:spacing w:after="0" w:line="190" w:lineRule="exact"/>
              <w:rPr>
                <w:sz w:val="20"/>
                <w:szCs w:val="20"/>
                <w:color w:val="auto"/>
              </w:rPr>
            </w:pPr>
            <w:r>
              <w:rPr>
                <w:rFonts w:ascii="Arial" w:cs="Arial" w:eastAsia="Arial" w:hAnsi="Arial"/>
                <w:sz w:val="18"/>
                <w:szCs w:val="18"/>
                <w:color w:val="auto"/>
              </w:rPr>
              <w:t>net service revenues</w:t>
            </w: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Illinois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92,804</w:t>
            </w: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51.8</w:t>
            </w: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81,959</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48.3</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266,284</w:t>
            </w: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w:t>
            </w:r>
          </w:p>
        </w:tc>
        <w:tc>
          <w:tcPr>
            <w:tcW w:w="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74"/>
              </w:rPr>
              <w:t>%</w:t>
            </w:r>
          </w:p>
        </w:tc>
        <w:tc>
          <w:tcPr>
            <w:tcW w:w="22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240,131</w:t>
            </w:r>
          </w:p>
        </w:tc>
        <w:tc>
          <w:tcPr>
            <w:tcW w:w="14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47.1</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New Mexico</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26,912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24,214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78,825</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73,291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New York </w:t>
            </w:r>
            <w:r>
              <w:rPr>
                <w:rFonts w:ascii="Arial" w:cs="Arial" w:eastAsia="Arial" w:hAnsi="Arial"/>
                <w:sz w:val="24"/>
                <w:szCs w:val="24"/>
                <w:color w:val="auto"/>
                <w:vertAlign w:val="superscript"/>
              </w:rPr>
              <w:t>(1)</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24,127</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63,510</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77,237</w:t>
            </w:r>
          </w:p>
        </w:tc>
        <w:tc>
          <w:tcPr>
            <w:tcW w:w="14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All other states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38,467</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39,309</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114,523</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120,085</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w w:val="94"/>
              </w:rPr>
              <w:t>Total personal care segment</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179,180</w:t>
            </w:r>
          </w:p>
        </w:tc>
        <w:tc>
          <w:tcPr>
            <w:tcW w:w="10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 $</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169,609</w:t>
            </w:r>
          </w:p>
        </w:tc>
        <w:tc>
          <w:tcPr>
            <w:tcW w:w="10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vMerge w:val="restart"/>
            <w:shd w:val="clear" w:color="auto" w:fill="CFF0FC"/>
          </w:tcPr>
          <w:p>
            <w:pPr>
              <w:jc w:val="right"/>
              <w:ind w:right="19"/>
              <w:spacing w:after="0"/>
              <w:rPr>
                <w:sz w:val="20"/>
                <w:szCs w:val="20"/>
                <w:color w:val="auto"/>
              </w:rPr>
            </w:pPr>
            <w:r>
              <w:rPr>
                <w:rFonts w:ascii="Arial" w:cs="Arial" w:eastAsia="Arial" w:hAnsi="Arial"/>
                <w:sz w:val="18"/>
                <w:szCs w:val="18"/>
                <w:color w:val="auto"/>
                <w:w w:val="92"/>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523,142</w:t>
            </w:r>
          </w:p>
        </w:tc>
        <w:tc>
          <w:tcPr>
            <w:tcW w:w="8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510,744</w:t>
            </w:r>
          </w:p>
        </w:tc>
        <w:tc>
          <w:tcPr>
            <w:tcW w:w="140" w:type="dxa"/>
            <w:vAlign w:val="bottom"/>
            <w:tcBorders>
              <w:right w:val="single" w:sz="8" w:color="CFF0FC"/>
            </w:tcBorders>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net service revenues</w:t>
            </w:r>
          </w:p>
        </w:tc>
        <w:tc>
          <w:tcPr>
            <w:tcW w:w="140" w:type="dxa"/>
            <w:vAlign w:val="bottom"/>
            <w:vMerge w:val="continue"/>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-1079500</wp:posOffset>
            </wp:positionV>
            <wp:extent cx="68580" cy="2654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-1079500</wp:posOffset>
            </wp:positionV>
            <wp:extent cx="111125" cy="2654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26543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-1079500</wp:posOffset>
            </wp:positionV>
            <wp:extent cx="60325" cy="2654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-1079500</wp:posOffset>
            </wp:positionV>
            <wp:extent cx="102870" cy="2654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-1079500</wp:posOffset>
            </wp:positionV>
            <wp:extent cx="60325" cy="2654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-1079500</wp:posOffset>
            </wp:positionV>
            <wp:extent cx="102870" cy="2654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-1079500</wp:posOffset>
            </wp:positionV>
            <wp:extent cx="60325" cy="265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-1079500</wp:posOffset>
            </wp:positionV>
            <wp:extent cx="102870" cy="2654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-24765</wp:posOffset>
            </wp:positionV>
            <wp:extent cx="1111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111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1028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1028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1028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1028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-24765</wp:posOffset>
            </wp:positionV>
            <wp:extent cx="603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03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1028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ind w:left="1360" w:hanging="514"/>
        <w:spacing w:after="0"/>
        <w:tabs>
          <w:tab w:leader="none" w:pos="1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suspended materially all of its new patient admissions under the New York CDPAP program as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-109855</wp:posOffset>
            </wp:positionV>
            <wp:extent cx="14312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Hospice Segment</w:t>
            </w:r>
          </w:p>
        </w:tc>
        <w:tc>
          <w:tcPr>
            <w:tcW w:w="1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ind w:left="760"/>
              <w:spacing w:after="0"/>
              <w:rPr>
                <w:sz w:val="20"/>
                <w:szCs w:val="20"/>
                <w:color w:val="auto"/>
              </w:rPr>
            </w:pPr>
            <w:r>
              <w:rPr>
                <w:rFonts w:ascii="Arial" w:cs="Arial" w:eastAsia="Arial" w:hAnsi="Arial"/>
                <w:sz w:val="14"/>
                <w:szCs w:val="14"/>
                <w:b w:val="1"/>
                <w:bCs w:val="1"/>
                <w:color w:val="auto"/>
                <w:w w:val="97"/>
              </w:rPr>
              <w:t>For the Three Months Ended September 30,</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7"/>
          </w:tcPr>
          <w:p>
            <w:pPr>
              <w:jc w:val="center"/>
              <w:ind w:left="454"/>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87"/>
              </w:rPr>
              <w:t>Segment</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18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Amount</w:t>
            </w: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Net Service</w:t>
            </w:r>
          </w:p>
        </w:tc>
        <w:tc>
          <w:tcPr>
            <w:tcW w:w="0" w:type="dxa"/>
            <w:vAlign w:val="bottom"/>
          </w:tcPr>
          <w:p>
            <w:pPr>
              <w:spacing w:after="0"/>
              <w:rPr>
                <w:sz w:val="1"/>
                <w:szCs w:val="1"/>
                <w:color w:val="auto"/>
              </w:rPr>
            </w:pPr>
          </w:p>
        </w:tc>
      </w:tr>
      <w:tr>
        <w:trPr>
          <w:trHeight w:val="185"/>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5"/>
              <w:spacing w:after="0"/>
              <w:rPr>
                <w:sz w:val="20"/>
                <w:szCs w:val="20"/>
                <w:color w:val="auto"/>
              </w:rPr>
            </w:pPr>
            <w:r>
              <w:rPr>
                <w:rFonts w:ascii="Arial" w:cs="Arial" w:eastAsia="Arial" w:hAnsi="Arial"/>
                <w:sz w:val="14"/>
                <w:szCs w:val="14"/>
                <w:b w:val="1"/>
                <w:bCs w:val="1"/>
                <w:color w:val="auto"/>
                <w:w w:val="95"/>
              </w:rPr>
              <w:t>(in Thousands)</w:t>
            </w:r>
          </w:p>
        </w:tc>
        <w:tc>
          <w:tcPr>
            <w:tcW w:w="120" w:type="dxa"/>
            <w:vAlign w:val="bottom"/>
          </w:tcPr>
          <w:p>
            <w:pPr>
              <w:spacing w:after="0"/>
              <w:rPr>
                <w:sz w:val="16"/>
                <w:szCs w:val="16"/>
                <w:color w:val="auto"/>
              </w:rPr>
            </w:pPr>
          </w:p>
        </w:tc>
        <w:tc>
          <w:tcPr>
            <w:tcW w:w="118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7"/>
              </w:rPr>
              <w:t>Revenues</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Revenues</w:t>
            </w:r>
          </w:p>
        </w:tc>
        <w:tc>
          <w:tcPr>
            <w:tcW w:w="0" w:type="dxa"/>
            <w:vAlign w:val="bottom"/>
          </w:tcPr>
          <w:p>
            <w:pPr>
              <w:spacing w:after="0"/>
              <w:rPr>
                <w:sz w:val="1"/>
                <w:szCs w:val="1"/>
                <w:color w:val="auto"/>
              </w:rPr>
            </w:pPr>
          </w:p>
        </w:tc>
      </w:tr>
      <w:tr>
        <w:trPr>
          <w:trHeight w:val="209"/>
        </w:trPr>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Medicare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46,537</w:t>
            </w:r>
          </w:p>
        </w:tc>
        <w:tc>
          <w:tcPr>
            <w:tcW w:w="12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36,280</w:t>
            </w:r>
          </w:p>
        </w:tc>
        <w:tc>
          <w:tcPr>
            <w:tcW w:w="1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137,174</w:t>
            </w:r>
          </w:p>
        </w:tc>
        <w:tc>
          <w:tcPr>
            <w:tcW w:w="8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104,715</w:t>
            </w:r>
          </w:p>
        </w:tc>
        <w:tc>
          <w:tcPr>
            <w:tcW w:w="140" w:type="dxa"/>
            <w:vAlign w:val="bottom"/>
            <w:tcBorders>
              <w:right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Commercial insurance</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Managed care organizations</w:t>
            </w: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5,498</w:t>
            </w: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4,396</w:t>
            </w:r>
          </w:p>
        </w:tc>
        <w:tc>
          <w:tcPr>
            <w:tcW w:w="14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Total hospice segment net</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51,359</w:t>
            </w:r>
          </w:p>
        </w:tc>
        <w:tc>
          <w:tcPr>
            <w:tcW w:w="120" w:type="dxa"/>
            <w:vAlign w:val="bottom"/>
            <w:vMerge w:val="restart"/>
            <w:shd w:val="clear" w:color="auto" w:fill="CFF0FC"/>
          </w:tcPr>
          <w:p>
            <w:pPr>
              <w:spacing w:after="0"/>
              <w:rPr>
                <w:sz w:val="14"/>
                <w:szCs w:val="14"/>
                <w:color w:val="auto"/>
              </w:rPr>
            </w:pPr>
          </w:p>
        </w:tc>
        <w:tc>
          <w:tcPr>
            <w:tcW w:w="118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100.0 % $</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39,095</w:t>
            </w:r>
          </w:p>
        </w:tc>
        <w:tc>
          <w:tcPr>
            <w:tcW w:w="100" w:type="dxa"/>
            <w:vAlign w:val="bottom"/>
            <w:shd w:val="clear" w:color="auto" w:fill="CFF0FC"/>
          </w:tcPr>
          <w:p>
            <w:pPr>
              <w:spacing w:after="0"/>
              <w:rPr>
                <w:sz w:val="14"/>
                <w:szCs w:val="14"/>
                <w:color w:val="auto"/>
              </w:rPr>
            </w:pPr>
          </w:p>
        </w:tc>
        <w:tc>
          <w:tcPr>
            <w:tcW w:w="1160" w:type="dxa"/>
            <w:vAlign w:val="bottom"/>
            <w:gridSpan w:val="3"/>
            <w:vMerge w:val="restart"/>
            <w:shd w:val="clear" w:color="auto" w:fill="CFF0FC"/>
          </w:tcPr>
          <w:p>
            <w:pPr>
              <w:jc w:val="right"/>
              <w:ind w:right="19"/>
              <w:spacing w:after="0"/>
              <w:rPr>
                <w:sz w:val="20"/>
                <w:szCs w:val="20"/>
                <w:color w:val="auto"/>
              </w:rPr>
            </w:pPr>
            <w:r>
              <w:rPr>
                <w:rFonts w:ascii="Arial" w:cs="Arial" w:eastAsia="Arial" w:hAnsi="Arial"/>
                <w:sz w:val="18"/>
                <w:szCs w:val="18"/>
                <w:color w:val="auto"/>
              </w:rPr>
              <w:t>100.1 %$</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151,160</w:t>
            </w:r>
          </w:p>
        </w:tc>
        <w:tc>
          <w:tcPr>
            <w:tcW w:w="80" w:type="dxa"/>
            <w:vAlign w:val="bottom"/>
            <w:shd w:val="clear" w:color="auto" w:fill="CFF0FC"/>
          </w:tcPr>
          <w:p>
            <w:pPr>
              <w:spacing w:after="0"/>
              <w:rPr>
                <w:sz w:val="14"/>
                <w:szCs w:val="14"/>
                <w:color w:val="auto"/>
              </w:rPr>
            </w:pPr>
          </w:p>
        </w:tc>
        <w:tc>
          <w:tcPr>
            <w:tcW w:w="1180" w:type="dxa"/>
            <w:vAlign w:val="bottom"/>
            <w:gridSpan w:val="3"/>
            <w:vMerge w:val="restart"/>
            <w:shd w:val="clear" w:color="auto" w:fill="CFF0FC"/>
          </w:tcPr>
          <w:p>
            <w:pPr>
              <w:jc w:val="right"/>
              <w:ind w:right="19"/>
              <w:spacing w:after="0"/>
              <w:rPr>
                <w:sz w:val="20"/>
                <w:szCs w:val="20"/>
                <w:color w:val="auto"/>
              </w:rPr>
            </w:pPr>
            <w:r>
              <w:rPr>
                <w:rFonts w:ascii="Arial" w:cs="Arial" w:eastAsia="Arial" w:hAnsi="Arial"/>
                <w:sz w:val="18"/>
                <w:szCs w:val="18"/>
                <w:color w:val="auto"/>
              </w:rPr>
              <w:t>100.0 %$</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112,098</w:t>
            </w:r>
          </w:p>
        </w:tc>
        <w:tc>
          <w:tcPr>
            <w:tcW w:w="140" w:type="dxa"/>
            <w:vAlign w:val="bottom"/>
            <w:tcBorders>
              <w:right w:val="single" w:sz="8" w:color="CFF0FC"/>
            </w:tcBorders>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service revenues</w:t>
            </w:r>
          </w:p>
        </w:tc>
        <w:tc>
          <w:tcPr>
            <w:tcW w:w="140" w:type="dxa"/>
            <w:vAlign w:val="bottom"/>
            <w:vMerge w:val="continue"/>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3"/>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80" w:type="dxa"/>
            <w:vAlign w:val="bottom"/>
            <w:gridSpan w:val="3"/>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920" w:type="dxa"/>
            <w:vAlign w:val="bottom"/>
            <w:gridSpan w:val="2"/>
            <w:vMerge w:val="continue"/>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Pr>
          <w:p>
            <w:pPr>
              <w:ind w:left="20"/>
              <w:spacing w:after="0" w:line="196" w:lineRule="exact"/>
              <w:rPr>
                <w:sz w:val="20"/>
                <w:szCs w:val="20"/>
                <w:color w:val="auto"/>
              </w:rPr>
            </w:pPr>
            <w:r>
              <w:rPr>
                <w:rFonts w:ascii="Arial" w:cs="Arial" w:eastAsia="Arial" w:hAnsi="Arial"/>
                <w:sz w:val="18"/>
                <w:szCs w:val="18"/>
                <w:color w:val="auto"/>
              </w:rPr>
              <w:t>Ohio</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18,139</w:t>
            </w:r>
          </w:p>
        </w:tc>
        <w:tc>
          <w:tcPr>
            <w:tcW w:w="120" w:type="dxa"/>
            <w:vAlign w:val="bottom"/>
          </w:tcPr>
          <w:p>
            <w:pPr>
              <w:spacing w:after="0"/>
              <w:rPr>
                <w:sz w:val="17"/>
                <w:szCs w:val="17"/>
                <w:color w:val="auto"/>
              </w:rPr>
            </w:pPr>
          </w:p>
        </w:tc>
        <w:tc>
          <w:tcPr>
            <w:tcW w:w="11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xml:space="preserve">35.3 </w:t>
            </w:r>
            <w:r>
              <w:rPr>
                <w:rFonts w:ascii="Arial" w:cs="Arial" w:eastAsia="Arial" w:hAnsi="Arial"/>
                <w:sz w:val="18"/>
                <w:szCs w:val="18"/>
                <w:color w:val="auto"/>
                <w:highlight w:val="white"/>
              </w:rPr>
              <w:t>%</w:t>
            </w:r>
            <w:r>
              <w:rPr>
                <w:rFonts w:ascii="Arial" w:cs="Arial" w:eastAsia="Arial" w:hAnsi="Arial"/>
                <w:sz w:val="18"/>
                <w:szCs w:val="18"/>
                <w:color w:val="auto"/>
              </w:rPr>
              <w:t xml:space="preserve"> $</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15,868</w:t>
            </w:r>
          </w:p>
        </w:tc>
        <w:tc>
          <w:tcPr>
            <w:tcW w:w="100" w:type="dxa"/>
            <w:vAlign w:val="bottom"/>
          </w:tcPr>
          <w:p>
            <w:pPr>
              <w:spacing w:after="0"/>
              <w:rPr>
                <w:sz w:val="17"/>
                <w:szCs w:val="17"/>
                <w:color w:val="auto"/>
              </w:rPr>
            </w:pPr>
          </w:p>
        </w:tc>
        <w:tc>
          <w:tcPr>
            <w:tcW w:w="1160" w:type="dxa"/>
            <w:vAlign w:val="bottom"/>
            <w:gridSpan w:val="3"/>
          </w:tcPr>
          <w:p>
            <w:pPr>
              <w:jc w:val="right"/>
              <w:ind w:right="19"/>
              <w:spacing w:after="0" w:line="196" w:lineRule="exact"/>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51,714</w:t>
            </w:r>
          </w:p>
        </w:tc>
        <w:tc>
          <w:tcPr>
            <w:tcW w:w="80" w:type="dxa"/>
            <w:vAlign w:val="bottom"/>
          </w:tcPr>
          <w:p>
            <w:pPr>
              <w:spacing w:after="0"/>
              <w:rPr>
                <w:sz w:val="17"/>
                <w:szCs w:val="17"/>
                <w:color w:val="auto"/>
              </w:rPr>
            </w:pPr>
          </w:p>
        </w:tc>
        <w:tc>
          <w:tcPr>
            <w:tcW w:w="1180" w:type="dxa"/>
            <w:vAlign w:val="bottom"/>
            <w:gridSpan w:val="3"/>
          </w:tcPr>
          <w:p>
            <w:pPr>
              <w:jc w:val="right"/>
              <w:ind w:right="19"/>
              <w:spacing w:after="0" w:line="196" w:lineRule="exact"/>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44,676</w:t>
            </w:r>
          </w:p>
        </w:tc>
        <w:tc>
          <w:tcPr>
            <w:tcW w:w="14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 xml:space="preserve">39.8 </w:t>
            </w:r>
            <w:r>
              <w:rPr>
                <w:rFonts w:ascii="Arial" w:cs="Arial" w:eastAsia="Arial" w:hAnsi="Arial"/>
                <w:sz w:val="18"/>
                <w:szCs w:val="18"/>
                <w:color w:val="auto"/>
                <w:highlight w:val="white"/>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24"/>
                <w:szCs w:val="24"/>
                <w:color w:val="auto"/>
                <w:vertAlign w:val="superscript"/>
              </w:rPr>
              <w:t>(2)</w:t>
            </w:r>
          </w:p>
        </w:tc>
        <w:tc>
          <w:tcPr>
            <w:tcW w:w="14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center"/>
              <w:ind w:left="554"/>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35,290</w:t>
            </w:r>
          </w:p>
        </w:tc>
        <w:tc>
          <w:tcPr>
            <w:tcW w:w="8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40" w:type="dxa"/>
            <w:vAlign w:val="bottom"/>
            <w:tcBorders>
              <w:right w:val="single" w:sz="8" w:color="CFF0FC"/>
            </w:tcBorders>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20"/>
              <w:spacing w:after="0"/>
              <w:rPr>
                <w:sz w:val="20"/>
                <w:szCs w:val="20"/>
                <w:color w:val="auto"/>
              </w:rPr>
            </w:pPr>
            <w:r>
              <w:rPr>
                <w:rFonts w:ascii="Arial" w:cs="Arial" w:eastAsia="Arial" w:hAnsi="Arial"/>
                <w:sz w:val="18"/>
                <w:szCs w:val="18"/>
                <w:color w:val="auto"/>
              </w:rPr>
              <w:t>New Mexico</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9,268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23,867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27,216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states</w:t>
            </w: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13,243</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13,959</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40,289</w:t>
            </w:r>
          </w:p>
        </w:tc>
        <w:tc>
          <w:tcPr>
            <w:tcW w:w="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40,206</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20"/>
              <w:spacing w:after="0" w:line="168" w:lineRule="exact"/>
              <w:rPr>
                <w:sz w:val="20"/>
                <w:szCs w:val="20"/>
                <w:color w:val="auto"/>
              </w:rPr>
            </w:pPr>
            <w:r>
              <w:rPr>
                <w:rFonts w:ascii="Arial" w:cs="Arial" w:eastAsia="Arial" w:hAnsi="Arial"/>
                <w:sz w:val="18"/>
                <w:szCs w:val="18"/>
                <w:color w:val="auto"/>
              </w:rPr>
              <w:t>Total hospice segment net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51,359</w:t>
            </w:r>
          </w:p>
        </w:tc>
        <w:tc>
          <w:tcPr>
            <w:tcW w:w="1300" w:type="dxa"/>
            <w:vAlign w:val="bottom"/>
            <w:gridSpan w:val="4"/>
            <w:vMerge w:val="restart"/>
          </w:tcPr>
          <w:p>
            <w:pPr>
              <w:jc w:val="right"/>
              <w:spacing w:after="0"/>
              <w:rPr>
                <w:sz w:val="20"/>
                <w:szCs w:val="20"/>
                <w:color w:val="auto"/>
              </w:rPr>
            </w:pPr>
            <w:r>
              <w:rPr>
                <w:rFonts w:ascii="Arial" w:cs="Arial" w:eastAsia="Arial" w:hAnsi="Arial"/>
                <w:sz w:val="18"/>
                <w:szCs w:val="18"/>
                <w:color w:val="auto"/>
              </w:rPr>
              <w:t>100.0 % $</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39,095</w:t>
            </w:r>
          </w:p>
        </w:tc>
        <w:tc>
          <w:tcPr>
            <w:tcW w:w="100" w:type="dxa"/>
            <w:vAlign w:val="bottom"/>
          </w:tcPr>
          <w:p>
            <w:pPr>
              <w:spacing w:after="0"/>
              <w:rPr>
                <w:sz w:val="14"/>
                <w:szCs w:val="14"/>
                <w:color w:val="auto"/>
              </w:rPr>
            </w:pPr>
          </w:p>
        </w:tc>
        <w:tc>
          <w:tcPr>
            <w:tcW w:w="11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100.0 %$</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151,160</w:t>
            </w:r>
          </w:p>
        </w:tc>
        <w:tc>
          <w:tcPr>
            <w:tcW w:w="80" w:type="dxa"/>
            <w:vAlign w:val="bottom"/>
          </w:tcPr>
          <w:p>
            <w:pPr>
              <w:spacing w:after="0"/>
              <w:rPr>
                <w:sz w:val="14"/>
                <w:szCs w:val="14"/>
                <w:color w:val="auto"/>
              </w:rPr>
            </w:pPr>
          </w:p>
        </w:tc>
        <w:tc>
          <w:tcPr>
            <w:tcW w:w="118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100.0 %$</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112,098</w:t>
            </w:r>
          </w:p>
        </w:tc>
        <w:tc>
          <w:tcPr>
            <w:tcW w:w="140" w:type="dxa"/>
            <w:vAlign w:val="bottom"/>
          </w:tcPr>
          <w:p>
            <w:pPr>
              <w:spacing w:after="0"/>
              <w:rPr>
                <w:sz w:val="14"/>
                <w:szCs w:val="14"/>
                <w:color w:val="auto"/>
              </w:rPr>
            </w:pPr>
          </w:p>
        </w:tc>
        <w:tc>
          <w:tcPr>
            <w:tcW w:w="9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90"/>
        </w:trPr>
        <w:tc>
          <w:tcPr>
            <w:tcW w:w="2200" w:type="dxa"/>
            <w:vAlign w:val="bottom"/>
          </w:tcPr>
          <w:p>
            <w:pPr>
              <w:ind w:left="20"/>
              <w:spacing w:after="0" w:line="190" w:lineRule="exact"/>
              <w:rPr>
                <w:sz w:val="20"/>
                <w:szCs w:val="20"/>
                <w:color w:val="auto"/>
              </w:rPr>
            </w:pPr>
            <w:r>
              <w:rPr>
                <w:rFonts w:ascii="Arial" w:cs="Arial" w:eastAsia="Arial" w:hAnsi="Arial"/>
                <w:sz w:val="18"/>
                <w:szCs w:val="18"/>
                <w:color w:val="auto"/>
              </w:rPr>
              <w:t>service revenues</w:t>
            </w:r>
          </w:p>
        </w:tc>
        <w:tc>
          <w:tcPr>
            <w:tcW w:w="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-1079500</wp:posOffset>
            </wp:positionV>
            <wp:extent cx="4911725" cy="162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11725" cy="16256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-265430</wp:posOffset>
            </wp:positionV>
            <wp:extent cx="68580" cy="2660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26606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-265430</wp:posOffset>
            </wp:positionV>
            <wp:extent cx="111125" cy="2660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11125" cy="26606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-265430</wp:posOffset>
            </wp:positionV>
            <wp:extent cx="60325" cy="2660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26606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-265430</wp:posOffset>
            </wp:positionV>
            <wp:extent cx="102870" cy="2660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02870" cy="26606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-265430</wp:posOffset>
            </wp:positionV>
            <wp:extent cx="60325" cy="2660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26606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-265430</wp:posOffset>
            </wp:positionV>
            <wp:extent cx="102870" cy="2660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26606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-265430</wp:posOffset>
            </wp:positionV>
            <wp:extent cx="60325" cy="2660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26606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-265430</wp:posOffset>
            </wp:positionV>
            <wp:extent cx="102870" cy="2660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266065"/>
                    </a:xfrm>
                    <a:prstGeom prst="rect">
                      <a:avLst/>
                    </a:prstGeom>
                    <a:noFill/>
                  </pic:spPr>
                </pic:pic>
              </a:graphicData>
            </a:graphic>
          </wp:anchor>
        </w:drawing>
      </w:r>
    </w:p>
    <w:p>
      <w:pPr>
        <w:spacing w:after="0" w:line="200" w:lineRule="exact"/>
        <w:rPr>
          <w:sz w:val="20"/>
          <w:szCs w:val="20"/>
          <w:color w:val="auto"/>
        </w:rPr>
      </w:pPr>
    </w:p>
    <w:p>
      <w:pPr>
        <w:ind w:left="5540" w:right="3360" w:hanging="4694"/>
        <w:spacing w:after="0" w:line="557" w:lineRule="auto"/>
        <w:tabs>
          <w:tab w:leader="none" w:pos="13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the JourneyCare acquisition, the Company expanded its hospice services in the state of Illinois.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-535305</wp:posOffset>
            </wp:positionV>
            <wp:extent cx="14312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Home Health Segment</w:t>
            </w:r>
          </w:p>
        </w:tc>
        <w:tc>
          <w:tcPr>
            <w:tcW w:w="1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For the Three Months Ended September 30,</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Net Service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160" w:type="dxa"/>
            <w:vAlign w:val="bottom"/>
          </w:tcPr>
          <w:p>
            <w:pPr>
              <w:spacing w:after="0"/>
              <w:rPr>
                <w:sz w:val="16"/>
                <w:szCs w:val="16"/>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Medicare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7,320</w:t>
            </w:r>
          </w:p>
        </w:tc>
        <w:tc>
          <w:tcPr>
            <w:tcW w:w="10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w:t>
            </w:r>
          </w:p>
        </w:tc>
        <w:tc>
          <w:tcPr>
            <w:tcW w:w="140" w:type="dxa"/>
            <w:vAlign w:val="bottom"/>
            <w:tcBorders>
              <w:right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21,727</w:t>
            </w:r>
          </w:p>
        </w:tc>
        <w:tc>
          <w:tcPr>
            <w:tcW w:w="1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13,699</w:t>
            </w:r>
          </w:p>
        </w:tc>
        <w:tc>
          <w:tcPr>
            <w:tcW w:w="140" w:type="dxa"/>
            <w:vAlign w:val="bottom"/>
            <w:tcBorders>
              <w:right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
              <w:spacing w:after="0"/>
              <w:rPr>
                <w:sz w:val="20"/>
                <w:szCs w:val="20"/>
                <w:color w:val="auto"/>
              </w:rPr>
            </w:pPr>
            <w:r>
              <w:rPr>
                <w:rFonts w:ascii="Arial" w:cs="Arial" w:eastAsia="Arial" w:hAnsi="Arial"/>
                <w:sz w:val="18"/>
                <w:szCs w:val="18"/>
                <w:color w:val="auto"/>
              </w:rPr>
              <w:t>Managed care organizations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460" w:type="dxa"/>
            <w:vAlign w:val="bottom"/>
          </w:tcPr>
          <w:p>
            <w:pPr>
              <w:ind w:left="20"/>
              <w:spacing w:after="0" w:line="168" w:lineRule="exact"/>
              <w:rPr>
                <w:sz w:val="20"/>
                <w:szCs w:val="20"/>
                <w:color w:val="auto"/>
              </w:rPr>
            </w:pPr>
            <w:r>
              <w:rPr>
                <w:rFonts w:ascii="Arial" w:cs="Arial" w:eastAsia="Arial" w:hAnsi="Arial"/>
                <w:sz w:val="18"/>
                <w:szCs w:val="18"/>
                <w:color w:val="auto"/>
                <w:w w:val="97"/>
              </w:rPr>
              <w:t>Total home health segment net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7,958</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vMerge w:val="restart"/>
          </w:tcPr>
          <w:p>
            <w:pPr>
              <w:jc w:val="right"/>
              <w:ind w:right="16"/>
              <w:spacing w:after="0"/>
              <w:rPr>
                <w:sz w:val="20"/>
                <w:szCs w:val="20"/>
                <w:color w:val="auto"/>
              </w:rPr>
            </w:pPr>
            <w:r>
              <w:rPr>
                <w:rFonts w:ascii="Arial" w:cs="Arial" w:eastAsia="Arial" w:hAnsi="Arial"/>
                <w:sz w:val="18"/>
                <w:szCs w:val="18"/>
                <w:color w:val="auto"/>
                <w:w w:val="92"/>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29,768</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17,015</w:t>
            </w: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0"/>
        </w:trPr>
        <w:tc>
          <w:tcPr>
            <w:tcW w:w="2460" w:type="dxa"/>
            <w:vAlign w:val="bottom"/>
          </w:tcPr>
          <w:p>
            <w:pPr>
              <w:ind w:left="20"/>
              <w:spacing w:after="0" w:line="190" w:lineRule="exact"/>
              <w:rPr>
                <w:sz w:val="20"/>
                <w:szCs w:val="20"/>
                <w:color w:val="auto"/>
              </w:rPr>
            </w:pPr>
            <w:r>
              <w:rPr>
                <w:rFonts w:ascii="Arial" w:cs="Arial" w:eastAsia="Arial" w:hAnsi="Arial"/>
                <w:sz w:val="18"/>
                <w:szCs w:val="18"/>
                <w:color w:val="auto"/>
              </w:rPr>
              <w:t>service revenues</w:t>
            </w: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New Mexico</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8,375</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84.1</w:t>
            </w:r>
          </w:p>
        </w:tc>
        <w:tc>
          <w:tcPr>
            <w:tcW w:w="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7,958</w:t>
            </w:r>
          </w:p>
        </w:tc>
        <w:tc>
          <w:tcPr>
            <w:tcW w:w="1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24,954</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83.8</w:t>
            </w:r>
          </w:p>
        </w:tc>
        <w:tc>
          <w:tcPr>
            <w:tcW w:w="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74"/>
              </w:rPr>
              <w:t>%</w:t>
            </w:r>
          </w:p>
        </w:tc>
        <w:tc>
          <w:tcPr>
            <w:tcW w:w="20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17,015</w:t>
            </w:r>
          </w:p>
        </w:tc>
        <w:tc>
          <w:tcPr>
            <w:tcW w:w="14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2460" w:type="dxa"/>
            <w:vAlign w:val="bottom"/>
          </w:tcPr>
          <w:p>
            <w:pPr>
              <w:ind w:left="20"/>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24"/>
                <w:szCs w:val="24"/>
                <w:color w:val="auto"/>
                <w:vertAlign w:val="superscript"/>
              </w:rPr>
              <w:t>(3)</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6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w w:val="97"/>
              </w:rPr>
              <w:t>Total home health segment net</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9,956</w:t>
            </w:r>
          </w:p>
        </w:tc>
        <w:tc>
          <w:tcPr>
            <w:tcW w:w="10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 $</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7,958</w:t>
            </w:r>
          </w:p>
        </w:tc>
        <w:tc>
          <w:tcPr>
            <w:tcW w:w="140" w:type="dxa"/>
            <w:vAlign w:val="bottom"/>
            <w:tcBorders>
              <w:right w:val="single" w:sz="8" w:color="CFF0FC"/>
            </w:tcBorders>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vMerge w:val="restart"/>
            <w:shd w:val="clear" w:color="auto" w:fill="CFF0FC"/>
          </w:tcPr>
          <w:p>
            <w:pPr>
              <w:jc w:val="right"/>
              <w:ind w:right="16"/>
              <w:spacing w:after="0"/>
              <w:rPr>
                <w:sz w:val="20"/>
                <w:szCs w:val="20"/>
                <w:color w:val="auto"/>
              </w:rPr>
            </w:pPr>
            <w:r>
              <w:rPr>
                <w:rFonts w:ascii="Arial" w:cs="Arial" w:eastAsia="Arial" w:hAnsi="Arial"/>
                <w:sz w:val="18"/>
                <w:szCs w:val="18"/>
                <w:color w:val="auto"/>
                <w:w w:val="92"/>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29,768</w:t>
            </w:r>
          </w:p>
        </w:tc>
        <w:tc>
          <w:tcPr>
            <w:tcW w:w="10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17,015</w:t>
            </w:r>
          </w:p>
        </w:tc>
        <w:tc>
          <w:tcPr>
            <w:tcW w:w="140" w:type="dxa"/>
            <w:vAlign w:val="bottom"/>
            <w:tcBorders>
              <w:right w:val="single" w:sz="8" w:color="CFF0FC"/>
            </w:tcBorders>
            <w:shd w:val="clear" w:color="auto" w:fill="CFF0FC"/>
          </w:tcPr>
          <w:p>
            <w:pPr>
              <w:spacing w:after="0"/>
              <w:rPr>
                <w:sz w:val="14"/>
                <w:szCs w:val="14"/>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service revenues</w:t>
            </w:r>
          </w:p>
        </w:tc>
        <w:tc>
          <w:tcPr>
            <w:tcW w:w="12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-1045210</wp:posOffset>
            </wp:positionV>
            <wp:extent cx="68580" cy="2654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-1045210</wp:posOffset>
            </wp:positionV>
            <wp:extent cx="111125" cy="265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125" cy="26543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-1045210</wp:posOffset>
            </wp:positionV>
            <wp:extent cx="68580" cy="2654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-1045210</wp:posOffset>
            </wp:positionV>
            <wp:extent cx="102870" cy="2654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-1045210</wp:posOffset>
            </wp:positionV>
            <wp:extent cx="60325" cy="2654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-1045210</wp:posOffset>
            </wp:positionV>
            <wp:extent cx="102870" cy="2654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-1045210</wp:posOffset>
            </wp:positionV>
            <wp:extent cx="60325" cy="2654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26543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-1045210</wp:posOffset>
            </wp:positionV>
            <wp:extent cx="102870" cy="265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2870" cy="26543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-25400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-25400</wp:posOffset>
            </wp:positionV>
            <wp:extent cx="1111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1111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1028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1028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1028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1028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-25400</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03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ind w:left="1360" w:hanging="514"/>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the acquisition of Summit, the Company expanded its home health services in the state of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-109855</wp:posOffset>
            </wp:positionV>
            <wp:extent cx="14312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9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We derive a significant amount of our net service revenues in Illinois, which represented 44.3% and 37.8% of our net service revenues for the three months ended September 30, 2022 and 2021, respectively, and accounted for 43.5% and 37.5% of our net service revenues for the nine months ended September 30, 2022 and 2021, respectively.</w:t>
      </w:r>
    </w:p>
    <w:p>
      <w:pPr>
        <w:spacing w:after="0" w:line="175" w:lineRule="exact"/>
        <w:rPr>
          <w:sz w:val="20"/>
          <w:szCs w:val="20"/>
          <w:color w:val="auto"/>
        </w:rPr>
      </w:pPr>
    </w:p>
    <w:p>
      <w:pPr>
        <w:jc w:val="both"/>
        <w:ind w:right="220" w:firstLine="509"/>
        <w:spacing w:after="0" w:line="249" w:lineRule="auto"/>
        <w:rPr>
          <w:sz w:val="20"/>
          <w:szCs w:val="20"/>
          <w:color w:val="auto"/>
        </w:rPr>
      </w:pPr>
      <w:r>
        <w:rPr>
          <w:rFonts w:ascii="Arial" w:cs="Arial" w:eastAsia="Arial" w:hAnsi="Arial"/>
          <w:sz w:val="18"/>
          <w:szCs w:val="18"/>
          <w:color w:val="auto"/>
        </w:rPr>
        <w:t>A significant amount of our net service revenues are derived from one payor, the Illinois Department on Aging, the largest payor program for our Illinois personal care operations, which accounted for 21.0% and 21.3% of our net service revenues for the three months ended September 30, 2022 and 2021, respectively, and accounted for 20.8% and 21.4% of the Company’s net service revenues for the nine months ended September 30, 2022 and 2021,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Reimbursement Rates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Illinois</w:t>
      </w:r>
    </w:p>
    <w:p>
      <w:pPr>
        <w:spacing w:after="0" w:line="104"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On November 26, 2019, the City of Chicago voted to approve additional increases in the Chicago minimum wage to $14 per hour beginning July 1, 2020 and to $15 per hour beginning July 1, 2021. In subsequent years, minimum wage will be increased through a cost of living adjustment capped at 2.5%.</w:t>
      </w:r>
    </w:p>
    <w:p>
      <w:pPr>
        <w:spacing w:after="0" w:line="175" w:lineRule="exact"/>
        <w:rPr>
          <w:sz w:val="20"/>
          <w:szCs w:val="20"/>
          <w:color w:val="auto"/>
        </w:rPr>
      </w:pPr>
    </w:p>
    <w:p>
      <w:pPr>
        <w:jc w:val="both"/>
        <w:ind w:right="60" w:firstLine="509"/>
        <w:spacing w:after="0" w:line="249" w:lineRule="auto"/>
        <w:rPr>
          <w:sz w:val="20"/>
          <w:szCs w:val="20"/>
          <w:color w:val="auto"/>
        </w:rPr>
      </w:pPr>
      <w:r>
        <w:rPr>
          <w:rFonts w:ascii="Arial" w:cs="Arial" w:eastAsia="Arial" w:hAnsi="Arial"/>
          <w:sz w:val="18"/>
          <w:szCs w:val="18"/>
          <w:color w:val="auto"/>
        </w:rPr>
        <w:t>Effective January 1, 2021, the state of Illinois fiscal year 2021 budget increased hourly in-home care rates through the Community Care Program by 7.1%, to $23.40 from $21.84. However, the rate increase was delayed and did not take effect until April 1, 2021, as a result of the failure of the November 2020 referendum to revise the Illinois income tax code. The Company recognized $2.0 million related to the rate increase for the year ended December 31, 2021, which was received during the three and nine months ended September 30, 2022.</w:t>
      </w:r>
    </w:p>
    <w:p>
      <w:pPr>
        <w:spacing w:after="0" w:line="181"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Originally, the Illinois fiscal year 2022 budget included a scheduled increase of hourly in-home care rates to $24.96, to be effective January 1, 2022. On July 12, 2021, in connection with the temporary increase in federal funding for Medicaid HCBS authorized by the ARPA, Illinois submitted its Initial Spending Plan and Narrative to CMS for approval. This plan included the acceleration of the rate increase to $24.96 to November 1, 2021 from January 1, 2022 (i.e., two months earlier). CMS granted partial approval of the Illinois plan, including the acceleration of the rate increase to November 1, 2021. However, CMS noted that the state will need to submit an amendment for certain Medicaid waiver programs with regard to any rate change methodology and has highlighted that pay increases for providers of HCBS funded through the temporary increase in federal matching funds available under the ARPA will require an updated rate methodology. We recognized revenue of $3.6 million related to the rate increase for the year ended December 31, 2021, of which $3.2 million was received during the nine months ended September 30, 2022. The remainder is expected to be received during the fourth quarter of 2022.</w:t>
      </w:r>
    </w:p>
    <w:p>
      <w:pPr>
        <w:spacing w:after="0" w:line="18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Illinois fiscal year 2023 budget was signed into law by the Governor on April 19, 2022 and includes a $0.70 rate increase effective January 1, 2023. The Chicago minimum wage increased by 2.5% effective July 1, 2022.</w:t>
      </w:r>
    </w:p>
    <w:p>
      <w:pPr>
        <w:spacing w:after="0" w:line="157"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Our business will benefit from the rate increases noted above as planned for 2023, but there is no assurance that there will be additional offsetting rate increases in Illinois for fiscal years beyond fiscal year 2023, and our financial performance will be adversely impacted for any periods in which an additional offsetting reimbursement rate increase is not in effect.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172"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CMS updates the HHPPS payment rates each calendar year. For calendar year 2022, CMS increased HHPPS rates by an estimated 3.2%, which reflects a 3.1% market basket update and a productivity adjustment of negative 0.5 percentage points, among other changes. Home health providers that do not comply with quality data reporting requirements are subject to a 2-percentage point reduction to their market basket update. In addition, beginning January 1, 2022,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156"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Effective January 1, 2022, CMS began implementing a nationwide expansion of the Home Health Value-Based Purchasing (“HHVBP”) Model. Under the model, home health agencies will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is the first performance year under the expanded HHVBP Model, which will affect payments in calendar year 2025.</w:t>
      </w:r>
    </w:p>
    <w:p>
      <w:pPr>
        <w:spacing w:after="0" w:line="19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applies to home health agencies in Illinois, Ohio, North Carolina, Florida and Texas and may expand, in the future, into additional states. Providers in states subject to the Review Choice Demonstration may initially select from the following claims review and approval processes: pre-claim review, post-payment review or a minimal post-payment review with a 25% payment reduction. Home health agencies that maintain high compliance levels will be eligible for additional options that may be less burdensome. We are currently unable to predict what impact, if any, this program may have on our result of operations or financial position.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104"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2022, CMS increased hospice payment rates by 3.8%. This reflects a 4.1% market basket increase and a negative 0.3 percentage point productivity adjustment. Hospices that do not satisfy quality reporting requirements are subject to a 2 percentage point reduction to the market basket update. Beginning in 2024, the reduction to the market basket update for failure to report quality data will increase to 4 percentage points.</w:t>
      </w:r>
    </w:p>
    <w:p>
      <w:pPr>
        <w:spacing w:after="0" w:line="184" w:lineRule="exact"/>
        <w:rPr>
          <w:sz w:val="20"/>
          <w:szCs w:val="20"/>
          <w:color w:val="auto"/>
        </w:rPr>
      </w:pPr>
    </w:p>
    <w:p>
      <w:pPr>
        <w:jc w:val="both"/>
        <w:ind w:right="40" w:firstLine="509"/>
        <w:spacing w:after="0" w:line="245" w:lineRule="auto"/>
        <w:rPr>
          <w:sz w:val="20"/>
          <w:szCs w:val="20"/>
          <w:color w:val="auto"/>
        </w:rPr>
      </w:pPr>
      <w:r>
        <w:rPr>
          <w:rFonts w:ascii="Arial" w:cs="Arial" w:eastAsia="Arial" w:hAnsi="Arial"/>
          <w:sz w:val="18"/>
          <w:szCs w:val="18"/>
          <w:color w:val="auto"/>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$32,486.92 for federal fiscal year 2023, which began October 1, 2022. If a hospice’s Medicare payments exceed its inpatient or aggregate caps, it must repay Medicare the excess amount.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CDPAP</w:t>
      </w:r>
    </w:p>
    <w:p>
      <w:pPr>
        <w:spacing w:after="0" w:line="104"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The New York Consumer Directed Personal Assistance Program (“CDPAP”) is a self-directed care alternative program that allows eligible individuals who need help with activities of daily living or skilled nursing services to choose their caregivers. We provide support services as a CDPAP fiscal intermediary. In 2021, the Company was not selected to enter into contracts as a Lead Fiscal Intermediary and submitted a formal protest in response to the selection process, which was filed and accepted on March 19, 2021. The Company has not received a response to the formal protest.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98" w:lineRule="exact"/>
        <w:rPr>
          <w:sz w:val="20"/>
          <w:szCs w:val="20"/>
          <w:color w:val="auto"/>
        </w:rPr>
      </w:pPr>
    </w:p>
    <w:p>
      <w:pPr>
        <w:ind w:right="40" w:firstLine="509"/>
        <w:spacing w:after="0" w:line="250" w:lineRule="auto"/>
        <w:rPr>
          <w:sz w:val="20"/>
          <w:szCs w:val="20"/>
          <w:color w:val="auto"/>
        </w:rPr>
      </w:pPr>
      <w:r>
        <w:rPr>
          <w:rFonts w:ascii="Arial" w:cs="Arial" w:eastAsia="Arial" w:hAnsi="Arial"/>
          <w:sz w:val="17"/>
          <w:szCs w:val="17"/>
          <w:color w:val="auto"/>
        </w:rPr>
        <w:t>The New York fiscal year 2023 state budget, passed in April 2022, amends the current Fiscal Intermediary Request For Offer (“RFO”) process to authorize all fiscal intermediaries that submitted an RFO application and served at least 200 clients in New York City or 50 clients in other counties between January 1, 2020 and March 31, 2020 to contract with the New York State Department of Health and continue to operate in all counties contained in their application if the fiscal intermediary submits an attestation and supporting information to the New York State Department of Health no later than November 29, 2022. Under this provision, the Company is allowed to continue to contract with all of its current payors for CDPAP services as of the contract award date, which is anticipated to be January 15, 2023. The Company continues to assess the future of its participation in this program. Given the status of the program, the Company suspended materially all of its new patient admissions under the New York CDPAP.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Service Revenues</w:t>
      </w:r>
    </w:p>
    <w:p>
      <w:pPr>
        <w:spacing w:after="0" w:line="104"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spacing w:after="0" w:line="155" w:lineRule="exact"/>
        <w:rPr>
          <w:sz w:val="20"/>
          <w:szCs w:val="20"/>
          <w:color w:val="auto"/>
        </w:rPr>
      </w:pPr>
    </w:p>
    <w:p>
      <w:pPr>
        <w:ind w:right="100" w:firstLine="509"/>
        <w:spacing w:after="0" w:line="234" w:lineRule="auto"/>
        <w:rPr>
          <w:sz w:val="20"/>
          <w:szCs w:val="20"/>
          <w:color w:val="auto"/>
        </w:rPr>
      </w:pPr>
      <w:r>
        <w:rPr>
          <w:rFonts w:ascii="Arial" w:cs="Arial" w:eastAsia="Arial" w:hAnsi="Arial"/>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Service Revenues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w:t>
      </w:r>
    </w:p>
    <w:p>
      <w:pPr>
        <w:ind w:right="480"/>
        <w:spacing w:after="0" w:line="243" w:lineRule="auto"/>
        <w:rPr>
          <w:sz w:val="20"/>
          <w:szCs w:val="20"/>
          <w:color w:val="auto"/>
        </w:rPr>
      </w:pPr>
      <w:r>
        <w:rPr>
          <w:rFonts w:ascii="Arial" w:cs="Arial" w:eastAsia="Arial" w:hAnsi="Arial"/>
          <w:sz w:val="18"/>
          <w:szCs w:val="18"/>
          <w:color w:val="auto"/>
        </w:rPr>
        <w:t>compensation and general liability coverage for our employees. Employees are also reimbursed for their travel time and related travel costs in certain instances.</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0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is reported when incurred and principally consists of interest and unused credit line fees on the credit facility.</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9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The effective income tax rate was 23.7% and 26.6% for the three months ended September 30, 2022 and 2021, respectively. The effective income tax rates are 25.4% and 24.7% for the nine months ended September 30, 2022 and 2021, respectively, compared to our federal statutory rate of 21%. The difference between our federal statutory and effective income tax rates was principally due to the inclusion of state taxes, non-deductible compensation, excess tax expense/benefit and the use of federal employment tax credits.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Three Months Ended September 30, 2022 Compared to Three Months Ended September 30,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unaudited condensed consolidated results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10"/>
          </w:tcPr>
          <w:p>
            <w:pPr>
              <w:jc w:val="right"/>
              <w:ind w:right="653"/>
              <w:spacing w:after="0"/>
              <w:rPr>
                <w:sz w:val="20"/>
                <w:szCs w:val="20"/>
                <w:color w:val="auto"/>
              </w:rPr>
            </w:pPr>
            <w:r>
              <w:rPr>
                <w:rFonts w:ascii="Arial" w:cs="Arial" w:eastAsia="Arial" w:hAnsi="Arial"/>
                <w:sz w:val="14"/>
                <w:szCs w:val="14"/>
                <w:b w:val="1"/>
                <w:bCs w:val="1"/>
                <w:color w:val="auto"/>
              </w:rPr>
              <w:t>For the Three Months Ended September 30,</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0"/>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6"/>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71"/>
              </w:rPr>
              <w:t>(Amounts</w:t>
            </w:r>
          </w:p>
        </w:tc>
        <w:tc>
          <w:tcPr>
            <w:tcW w:w="2400" w:type="dxa"/>
            <w:vAlign w:val="bottom"/>
            <w:gridSpan w:val="7"/>
          </w:tcPr>
          <w:p>
            <w:pPr>
              <w:jc w:val="right"/>
              <w:spacing w:after="0"/>
              <w:rPr>
                <w:sz w:val="20"/>
                <w:szCs w:val="20"/>
                <w:color w:val="auto"/>
              </w:rPr>
            </w:pPr>
            <w:r>
              <w:rPr>
                <w:rFonts w:ascii="Arial" w:cs="Arial" w:eastAsia="Arial" w:hAnsi="Arial"/>
                <w:sz w:val="14"/>
                <w:szCs w:val="14"/>
                <w:b w:val="1"/>
                <w:bCs w:val="1"/>
                <w:color w:val="auto"/>
                <w:w w:val="97"/>
              </w:rPr>
              <w:t>in Thousands, Except Percentages)</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240,495</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216,662</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Cost of service revenues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165,310</w:t>
            </w: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149,616</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75,185</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67,046</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54,228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46,280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57,669</w:t>
            </w: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49,686</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17,516</w:t>
            </w: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(83 )</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(46 )</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15,127</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(622 )</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(14.8 )</w:t>
            </w:r>
          </w:p>
        </w:tc>
        <w:tc>
          <w:tcPr>
            <w:tcW w:w="180" w:type="dxa"/>
            <w:vAlign w:val="bottom"/>
          </w:tcPr>
          <w:p>
            <w:pPr>
              <w:spacing w:after="0"/>
              <w:rPr>
                <w:sz w:val="18"/>
                <w:szCs w:val="18"/>
                <w:color w:val="auto"/>
              </w:rPr>
            </w:pPr>
          </w:p>
        </w:tc>
      </w:tr>
      <w:tr>
        <w:trPr>
          <w:trHeight w:val="24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11,543</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4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FF0FC"/>
            </w:tcBorders>
            <w:gridSpan w:val="2"/>
            <w:shd w:val="clear" w:color="auto" w:fill="CFF0FC"/>
          </w:tcPr>
          <w:p>
            <w:pPr>
              <w:jc w:val="right"/>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-1174115</wp:posOffset>
            </wp:positionV>
            <wp:extent cx="7747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-1174115</wp:posOffset>
            </wp:positionV>
            <wp:extent cx="76835" cy="154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-1174115</wp:posOffset>
            </wp:positionV>
            <wp:extent cx="6858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-1174115</wp:posOffset>
            </wp:positionV>
            <wp:extent cx="6858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-1174115</wp:posOffset>
            </wp:positionV>
            <wp:extent cx="6858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-1174115</wp:posOffset>
            </wp:positionV>
            <wp:extent cx="68580" cy="154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-882650</wp:posOffset>
            </wp:positionV>
            <wp:extent cx="77470" cy="146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-882650</wp:posOffset>
            </wp:positionV>
            <wp:extent cx="76835" cy="146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-882650</wp:posOffset>
            </wp:positionV>
            <wp:extent cx="68580" cy="146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-882650</wp:posOffset>
            </wp:positionV>
            <wp:extent cx="68580" cy="146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-882650</wp:posOffset>
            </wp:positionV>
            <wp:extent cx="68580" cy="146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-882650</wp:posOffset>
            </wp:positionV>
            <wp:extent cx="68580" cy="146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-599440</wp:posOffset>
            </wp:positionV>
            <wp:extent cx="7747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-599440</wp:posOffset>
            </wp:positionV>
            <wp:extent cx="76835" cy="154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-599440</wp:posOffset>
            </wp:positionV>
            <wp:extent cx="68580"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-599440</wp:posOffset>
            </wp:positionV>
            <wp:extent cx="6858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-599440</wp:posOffset>
            </wp:positionV>
            <wp:extent cx="6858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-599440</wp:posOffset>
            </wp:positionV>
            <wp:extent cx="6858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77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774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768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Net service revenues increased by 11.0% to $240.5 million for the three months ended September 30, 2022 compared to $216.7 million for the three months ended September 30, 2021. Revenue increased by $12.3 million in our hospice segment and by $2.0 million in our home health segment during the three months ended September 30, 2022, compared to the same period in 2021. The increase in our hospice segment revenue was due to organic growth and the acquisitions of the operations of JourneyCare on February 1, 2022 and Armada on August 1, 2021.</w:t>
      </w:r>
    </w:p>
    <w:p>
      <w:pPr>
        <w:spacing w:after="0" w:line="172"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Gross profit, expressed as a percentage of net service revenues, increased to 31.3% for the three months ended September 30, 2022, compared to 30.9% for the same period in 2021 due to growth in our higher margin hospice segment.</w:t>
      </w:r>
    </w:p>
    <w:p>
      <w:pPr>
        <w:spacing w:after="0" w:line="17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General and administrative expenses increased to $54.2 million for the three months ended September 30, 2022, as compared to $46.3 million for the three months ended September 30, 2021. The increase in general and administrative expenses was primarily due to acquisitions that resulted in an increase in administrative employee wages, taxes and benefit costs of $5.9 million and an increase in rent expense of $0.4 million. General and administrative expenses, expressed as a percentage of net service revenues increased to 22.5% for the three months ended September 30, 2022, from 21.4% for the three months ended September 30, 2021.</w:t>
      </w:r>
    </w:p>
    <w:p>
      <w:pPr>
        <w:spacing w:after="0" w:line="18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Interest expense increased to $2.5 million for the three months ended September 30, 2022 from $1.6 million for the three months ended September 30, 2021. The increase in interest expense was primarily due to higher average outstanding borrowings due to additional borrowings used to fund acquisitions and increased interest rates under our credit facility for the three months ended September 30, 2022 compared to the three months ended September 30, 2021.</w:t>
      </w:r>
    </w:p>
    <w:p>
      <w:pPr>
        <w:spacing w:after="0" w:line="18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The effective income tax rate was 23.7% and 26.6% for the three months ended September 30, 2022 and 2021, respectively. The difference between the federal statutory and our effective income tax rates was principally due to the inclusion of state taxes, non-deductible compensation, excess tax expense/benefit and the use of federal employment tax credits.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Nine Months Ended September 30, 2022 Compared to Nine Months Ended September 30,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03"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For the Nine Months</w:t>
      </w:r>
    </w:p>
    <w:p>
      <w:pPr>
        <w:spacing w:after="0" w:line="4"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8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780" w:type="dxa"/>
            <w:vAlign w:val="bottom"/>
            <w:tcBorders>
              <w:top w:val="single" w:sz="8" w:color="auto"/>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Change</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 Of</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75"/>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Net Service</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4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Revenues</w:t>
            </w: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Revenues</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72"/>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3"/>
        </w:trPr>
        <w:tc>
          <w:tcPr>
            <w:tcW w:w="4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60" w:type="dxa"/>
            <w:vAlign w:val="bottom"/>
            <w:gridSpan w:val="7"/>
          </w:tcPr>
          <w:p>
            <w:pPr>
              <w:jc w:val="center"/>
              <w:spacing w:after="0"/>
              <w:rPr>
                <w:sz w:val="20"/>
                <w:szCs w:val="20"/>
                <w:color w:val="auto"/>
              </w:rPr>
            </w:pPr>
            <w:r>
              <w:rPr>
                <w:rFonts w:ascii="Arial" w:cs="Arial" w:eastAsia="Arial" w:hAnsi="Arial"/>
                <w:sz w:val="13"/>
                <w:szCs w:val="13"/>
                <w:b w:val="1"/>
                <w:bCs w:val="1"/>
                <w:color w:val="auto"/>
                <w:w w:val="91"/>
              </w:rPr>
              <w:t>(Amounts in Thousands, Except Percentages)</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service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704,070</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639,857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64,213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Cost of service revenues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483,100</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442,804</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220,970</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197,053</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23,917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162,476</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139,881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10,571</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10,594</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(23 )</w:t>
            </w:r>
          </w:p>
        </w:tc>
        <w:tc>
          <w:tcPr>
            <w:tcW w:w="2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180" w:type="dxa"/>
            <w:vAlign w:val="bottom"/>
            <w:shd w:val="clear" w:color="auto" w:fill="CFF0FC"/>
          </w:tcPr>
          <w:p>
            <w:pPr>
              <w:spacing w:after="0"/>
              <w:rPr>
                <w:sz w:val="18"/>
                <w:szCs w:val="18"/>
                <w:color w:val="auto"/>
              </w:rPr>
            </w:pPr>
          </w:p>
        </w:tc>
      </w:tr>
      <w:tr>
        <w:trPr>
          <w:trHeight w:val="210"/>
        </w:trPr>
        <w:tc>
          <w:tcPr>
            <w:tcW w:w="44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173,047</w:t>
            </w:r>
          </w:p>
        </w:tc>
        <w:tc>
          <w:tcPr>
            <w:tcW w:w="240" w:type="dxa"/>
            <w:vAlign w:val="bottom"/>
            <w:tcBorders>
              <w:top w:val="single" w:sz="8" w:color="CFF0FC"/>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150,475</w:t>
            </w:r>
          </w:p>
        </w:tc>
        <w:tc>
          <w:tcPr>
            <w:tcW w:w="220" w:type="dxa"/>
            <w:vAlign w:val="bottom"/>
            <w:tcBorders>
              <w:top w:val="single" w:sz="8" w:color="CFF0FC"/>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22,572</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r>
      <w:tr>
        <w:trPr>
          <w:trHeight w:val="20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47,923</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4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46,578</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(249 )</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(90 )</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(159 )</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6,278</w:t>
            </w:r>
          </w:p>
        </w:tc>
        <w:tc>
          <w:tcPr>
            <w:tcW w:w="24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4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w:t>
            </w:r>
          </w:p>
        </w:tc>
        <w:tc>
          <w:tcPr>
            <w:tcW w:w="2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rPr>
              <w:t>Total interest expense, net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41,894</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42,576</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10,631</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10,508</w:t>
            </w:r>
          </w:p>
        </w:tc>
        <w:tc>
          <w:tcPr>
            <w:tcW w:w="2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31,263</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32,068</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gridSpan w:val="2"/>
            <w:shd w:val="clear" w:color="auto" w:fill="CFF0FC"/>
          </w:tcPr>
          <w:p>
            <w:pPr>
              <w:jc w:val="right"/>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-1174115</wp:posOffset>
            </wp:positionV>
            <wp:extent cx="77470" cy="154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-1174115</wp:posOffset>
            </wp:positionV>
            <wp:extent cx="76835"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-1174115</wp:posOffset>
            </wp:positionV>
            <wp:extent cx="68580" cy="154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-1174115</wp:posOffset>
            </wp:positionV>
            <wp:extent cx="68580" cy="154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-1174115</wp:posOffset>
            </wp:positionV>
            <wp:extent cx="68580" cy="154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-1174115</wp:posOffset>
            </wp:positionV>
            <wp:extent cx="68580" cy="154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-882650</wp:posOffset>
            </wp:positionV>
            <wp:extent cx="77470" cy="146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-882650</wp:posOffset>
            </wp:positionV>
            <wp:extent cx="76835" cy="146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-882650</wp:posOffset>
            </wp:positionV>
            <wp:extent cx="68580" cy="146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-882650</wp:posOffset>
            </wp:positionV>
            <wp:extent cx="68580" cy="146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-882650</wp:posOffset>
            </wp:positionV>
            <wp:extent cx="68580" cy="146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-882650</wp:posOffset>
            </wp:positionV>
            <wp:extent cx="68580" cy="146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-599440</wp:posOffset>
            </wp:positionV>
            <wp:extent cx="77470" cy="154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-599440</wp:posOffset>
            </wp:positionV>
            <wp:extent cx="76835" cy="1543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-599440</wp:posOffset>
            </wp:positionV>
            <wp:extent cx="68580"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-599440</wp:posOffset>
            </wp:positionV>
            <wp:extent cx="68580" cy="154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-599440</wp:posOffset>
            </wp:positionV>
            <wp:extent cx="68580" cy="154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-599440</wp:posOffset>
            </wp:positionV>
            <wp:extent cx="68580" cy="154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-8255</wp:posOffset>
            </wp:positionV>
            <wp:extent cx="774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768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-8255</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Net service revenues increased by 10.0% to $704.1 million for the nine months ended September 30, 2022 compared to $639.9 million for the nine months ended September 30, 2021. Net service revenue increased by $39.1 million in our hospice segment and by $12.8 million in our home health segment during the nine months ended September 30, 2022, compared to the same period in 2021. During the nine months ended September 30, 2022, the increase in our hospice segment revenue was primarily due to an increase in revenue per patient day, attributable to the acquisitions of the operations of JourneyCare on February 1, 2022 and Armada on August 1, 2021, compared to the same period in 2021. Net service revenue increased by $12.4 million in our personal care segment due to an increase in revenues per billable hour for the nine months ended September 30, 2022 compared to 2021, partially offset by a decrease in the New York CDPAP program patient admissions.</w:t>
      </w:r>
    </w:p>
    <w:p>
      <w:pPr>
        <w:spacing w:after="0" w:line="180" w:lineRule="exact"/>
        <w:rPr>
          <w:sz w:val="20"/>
          <w:szCs w:val="20"/>
          <w:color w:val="auto"/>
        </w:rPr>
      </w:pPr>
    </w:p>
    <w:p>
      <w:pPr>
        <w:ind w:right="360" w:firstLine="509"/>
        <w:spacing w:after="0" w:line="324" w:lineRule="auto"/>
        <w:rPr>
          <w:sz w:val="20"/>
          <w:szCs w:val="20"/>
          <w:color w:val="auto"/>
        </w:rPr>
      </w:pPr>
      <w:r>
        <w:rPr>
          <w:rFonts w:ascii="Arial" w:cs="Arial" w:eastAsia="Arial" w:hAnsi="Arial"/>
          <w:sz w:val="16"/>
          <w:szCs w:val="16"/>
          <w:color w:val="auto"/>
        </w:rPr>
        <w:t>Gross profit, expressed as a percentage of net service revenues, increased to 31.4% for the nine months ended September 30, 2022, compared to 30.8% for the same period in 2021. The increase was mainly attributed to the acquisition of a relatively higher margin hospice business in 2022.</w:t>
      </w:r>
    </w:p>
    <w:p>
      <w:pPr>
        <w:spacing w:after="0" w:line="124"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General and administrative expenses increased to $162.5 million for the nine months ended September 30, 2022 as compared to $139.9 million for the nine months ended September 30, 2021. The increase in general and administrative expenses was primarily due to acquisitions and wage increases that resulted in an increase in administrative employee wages, taxes and benefit costs of $16.7 million and an increase in rent expense of $1.8 million. General and administrative expenses, expressed as a percentage of net service revenues increased to 23.1% for the nine months ended September 30, 2022, from 21.9% for the nine months ended September 30, 2021.</w:t>
      </w:r>
    </w:p>
    <w:p>
      <w:pPr>
        <w:spacing w:after="0" w:line="189" w:lineRule="exact"/>
        <w:rPr>
          <w:sz w:val="20"/>
          <w:szCs w:val="20"/>
          <w:color w:val="auto"/>
        </w:rPr>
      </w:pPr>
    </w:p>
    <w:p>
      <w:pPr>
        <w:ind w:right="140" w:firstLine="509"/>
        <w:spacing w:after="0" w:line="278" w:lineRule="auto"/>
        <w:rPr>
          <w:sz w:val="20"/>
          <w:szCs w:val="20"/>
          <w:color w:val="auto"/>
        </w:rPr>
      </w:pPr>
      <w:r>
        <w:rPr>
          <w:rFonts w:ascii="Arial" w:cs="Arial" w:eastAsia="Arial" w:hAnsi="Arial"/>
          <w:sz w:val="17"/>
          <w:szCs w:val="17"/>
          <w:color w:val="auto"/>
        </w:rPr>
        <w:t>Interest expense increased to $6.3 million from $4.1 million for the nine months ended September 30, 2022, as compared to the nine months ended September 30, 2021. The increase in interest expense was primarily due to higher average outstanding borrowings and increased interest rates under our credit facility for the nine months ended September 30, 2022, compared to the nine months ended September 30, 2021.</w:t>
      </w:r>
    </w:p>
    <w:p>
      <w:pPr>
        <w:spacing w:after="0" w:line="158"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auto"/>
        </w:rPr>
        <w:t>All of our income is from domestic sources. We incur state and local taxes in states in which we operate. The effective income tax rate was 25.4% and 24.7% for the nine months ended September 30, 2022 and 2021, respectively. For the nine months ended September 30, 2022, the difference between our federal statutory and effective income tax rates was principally due to the inclusion of state taxes, non-deductible compensation, and excess tax expense, partially offset by the use of federal employment tax credits. For the nine months ended September 30, 2021, the difference between our federal statutory and effective income tax rates was principally due to the inclusion of state taxes and non-deductible compensation, partially offset by the use of federal employment tax credits and excess tax benefit. For the nine months ended September 30, 2022 and 2021, the effective tax rates were inclusive of an excess tax expense of 0.8% and an excess tax benefit of 2.1%, respectively. The excess tax expense/benefit is a discrete item, related to the vesting of equity shares, which requires the Company to recognize the expense/benefit fully in the period.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20" w:type="dxa"/>
            <w:vAlign w:val="bottom"/>
            <w:gridSpan w:val="8"/>
          </w:tcPr>
          <w:p>
            <w:pPr>
              <w:ind w:left="100"/>
              <w:spacing w:after="0"/>
              <w:rPr>
                <w:sz w:val="20"/>
                <w:szCs w:val="20"/>
                <w:color w:val="auto"/>
              </w:rPr>
            </w:pPr>
            <w:r>
              <w:rPr>
                <w:rFonts w:ascii="Arial" w:cs="Arial" w:eastAsia="Arial" w:hAnsi="Arial"/>
                <w:sz w:val="13"/>
                <w:szCs w:val="13"/>
                <w:b w:val="1"/>
                <w:bCs w:val="1"/>
                <w:color w:val="auto"/>
              </w:rPr>
              <w:t>For the Three Months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7"/>
          </w:tcPr>
          <w:p>
            <w:pPr>
              <w:jc w:val="right"/>
              <w:ind w:right="480"/>
              <w:spacing w:after="0"/>
              <w:rPr>
                <w:sz w:val="20"/>
                <w:szCs w:val="20"/>
                <w:color w:val="auto"/>
              </w:rPr>
            </w:pPr>
            <w:r>
              <w:rPr>
                <w:rFonts w:ascii="Arial" w:cs="Arial" w:eastAsia="Arial" w:hAnsi="Arial"/>
                <w:sz w:val="13"/>
                <w:szCs w:val="13"/>
                <w:b w:val="1"/>
                <w:bCs w:val="1"/>
                <w:color w:val="auto"/>
                <w:w w:val="92"/>
              </w:rPr>
              <w:t>For the Nine Months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3"/>
                <w:szCs w:val="13"/>
                <w:b w:val="1"/>
                <w:bCs w:val="1"/>
                <w:color w:val="auto"/>
                <w:w w:val="93"/>
              </w:rPr>
              <w:t>Ended September 30,</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3"/>
                <w:szCs w:val="13"/>
                <w:b w:val="1"/>
                <w:bCs w:val="1"/>
                <w:color w:val="auto"/>
                <w:w w:val="87"/>
              </w:rPr>
              <w:t>Ended September 30,</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w w:val="92"/>
              </w:rPr>
              <w:t>Change</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3"/>
                <w:szCs w:val="13"/>
                <w:b w:val="1"/>
                <w:bCs w:val="1"/>
                <w:color w:val="auto"/>
                <w:w w:val="82"/>
              </w:rPr>
              <w:t>2022</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3"/>
                <w:szCs w:val="13"/>
                <w:b w:val="1"/>
                <w:bCs w:val="1"/>
                <w:color w:val="auto"/>
                <w:w w:val="82"/>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w w:val="83"/>
              </w:rPr>
              <w:t>Change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Segment</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Segment</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117"/>
              <w:spacing w:after="0" w:line="135" w:lineRule="exact"/>
              <w:rPr>
                <w:sz w:val="20"/>
                <w:szCs w:val="20"/>
                <w:color w:val="auto"/>
              </w:rPr>
            </w:pPr>
            <w:r>
              <w:rPr>
                <w:rFonts w:ascii="Arial" w:cs="Arial" w:eastAsia="Arial" w:hAnsi="Arial"/>
                <w:sz w:val="13"/>
                <w:szCs w:val="13"/>
                <w:b w:val="1"/>
                <w:bCs w:val="1"/>
                <w:color w:val="auto"/>
                <w:w w:val="83"/>
              </w:rPr>
              <w:t>Segment</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Segment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Net Service</w:t>
            </w: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Net Service</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vMerge w:val="restart"/>
          </w:tcPr>
          <w:p>
            <w:pPr>
              <w:spacing w:after="0"/>
              <w:rPr>
                <w:sz w:val="11"/>
                <w:szCs w:val="11"/>
                <w:color w:val="auto"/>
              </w:rPr>
            </w:pPr>
          </w:p>
        </w:tc>
        <w:tc>
          <w:tcPr>
            <w:tcW w:w="140" w:type="dxa"/>
            <w:vAlign w:val="bottom"/>
            <w:vMerge w:val="restart"/>
          </w:tcPr>
          <w:p>
            <w:pPr>
              <w:spacing w:after="0"/>
              <w:rPr>
                <w:sz w:val="11"/>
                <w:szCs w:val="11"/>
                <w:color w:val="auto"/>
              </w:rPr>
            </w:pPr>
          </w:p>
        </w:tc>
        <w:tc>
          <w:tcPr>
            <w:tcW w:w="3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5"/>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117"/>
              <w:spacing w:after="0" w:line="135" w:lineRule="exact"/>
              <w:rPr>
                <w:sz w:val="20"/>
                <w:szCs w:val="20"/>
                <w:color w:val="auto"/>
              </w:rPr>
            </w:pPr>
            <w:r>
              <w:rPr>
                <w:rFonts w:ascii="Arial" w:cs="Arial" w:eastAsia="Arial" w:hAnsi="Arial"/>
                <w:sz w:val="13"/>
                <w:szCs w:val="13"/>
                <w:b w:val="1"/>
                <w:bCs w:val="1"/>
                <w:color w:val="auto"/>
                <w:w w:val="87"/>
              </w:rPr>
              <w:t>Net Service</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5"/>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Net Service</w:t>
            </w:r>
          </w:p>
        </w:tc>
        <w:tc>
          <w:tcPr>
            <w:tcW w:w="6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vMerge w:val="restart"/>
          </w:tcPr>
          <w:p>
            <w:pPr>
              <w:spacing w:after="0"/>
              <w:rPr>
                <w:sz w:val="11"/>
                <w:szCs w:val="11"/>
                <w:color w:val="auto"/>
              </w:rPr>
            </w:pPr>
          </w:p>
        </w:tc>
        <w:tc>
          <w:tcPr>
            <w:tcW w:w="40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(Amounts</w:t>
            </w:r>
          </w:p>
        </w:tc>
        <w:tc>
          <w:tcPr>
            <w:tcW w:w="760" w:type="dxa"/>
            <w:vAlign w:val="bottom"/>
            <w:gridSpan w:val="4"/>
          </w:tcPr>
          <w:p>
            <w:pPr>
              <w:ind w:left="100"/>
              <w:spacing w:after="0"/>
              <w:rPr>
                <w:sz w:val="20"/>
                <w:szCs w:val="20"/>
                <w:color w:val="auto"/>
              </w:rPr>
            </w:pPr>
            <w:r>
              <w:rPr>
                <w:rFonts w:ascii="Arial" w:cs="Arial" w:eastAsia="Arial" w:hAnsi="Arial"/>
                <w:sz w:val="13"/>
                <w:szCs w:val="13"/>
                <w:b w:val="1"/>
                <w:bCs w:val="1"/>
                <w:color w:val="auto"/>
                <w:w w:val="72"/>
              </w:rPr>
              <w:t>in Thousands,</w:t>
            </w:r>
          </w:p>
        </w:tc>
        <w:tc>
          <w:tcPr>
            <w:tcW w:w="120" w:type="dxa"/>
            <w:vAlign w:val="bottom"/>
          </w:tcPr>
          <w:p>
            <w:pPr>
              <w:spacing w:after="0"/>
              <w:rPr>
                <w:sz w:val="13"/>
                <w:szCs w:val="13"/>
                <w:color w:val="auto"/>
              </w:rPr>
            </w:pPr>
          </w:p>
        </w:tc>
        <w:tc>
          <w:tcPr>
            <w:tcW w:w="1740" w:type="dxa"/>
            <w:vAlign w:val="bottom"/>
            <w:gridSpan w:val="6"/>
          </w:tcPr>
          <w:p>
            <w:pPr>
              <w:spacing w:after="0"/>
              <w:rPr>
                <w:sz w:val="20"/>
                <w:szCs w:val="20"/>
                <w:color w:val="auto"/>
              </w:rPr>
            </w:pPr>
            <w:r>
              <w:rPr>
                <w:rFonts w:ascii="Arial" w:cs="Arial" w:eastAsia="Arial" w:hAnsi="Arial"/>
                <w:sz w:val="13"/>
                <w:szCs w:val="13"/>
                <w:b w:val="1"/>
                <w:bCs w:val="1"/>
                <w:color w:val="auto"/>
              </w:rPr>
              <w:t>Except Percentages)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(Amounts</w:t>
            </w:r>
          </w:p>
        </w:tc>
        <w:tc>
          <w:tcPr>
            <w:tcW w:w="100" w:type="dxa"/>
            <w:vAlign w:val="bottom"/>
          </w:tcPr>
          <w:p>
            <w:pPr>
              <w:spacing w:after="0"/>
              <w:rPr>
                <w:sz w:val="13"/>
                <w:szCs w:val="13"/>
                <w:color w:val="auto"/>
              </w:rPr>
            </w:pPr>
          </w:p>
        </w:tc>
        <w:tc>
          <w:tcPr>
            <w:tcW w:w="2380" w:type="dxa"/>
            <w:vAlign w:val="bottom"/>
            <w:gridSpan w:val="9"/>
          </w:tcPr>
          <w:p>
            <w:pPr>
              <w:ind w:left="20"/>
              <w:spacing w:after="0"/>
              <w:rPr>
                <w:sz w:val="20"/>
                <w:szCs w:val="20"/>
                <w:color w:val="auto"/>
              </w:rPr>
            </w:pPr>
            <w:r>
              <w:rPr>
                <w:rFonts w:ascii="Arial" w:cs="Arial" w:eastAsia="Arial" w:hAnsi="Arial"/>
                <w:sz w:val="13"/>
                <w:szCs w:val="13"/>
                <w:b w:val="1"/>
                <w:bCs w:val="1"/>
                <w:color w:val="auto"/>
              </w:rPr>
              <w:t>in Thousands, Except Percentages)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Operating Results</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20" w:type="dxa"/>
            <w:vAlign w:val="bottom"/>
          </w:tcPr>
          <w:p>
            <w:pPr>
              <w:ind w:left="20"/>
              <w:spacing w:after="0"/>
              <w:rPr>
                <w:sz w:val="20"/>
                <w:szCs w:val="20"/>
                <w:color w:val="auto"/>
              </w:rPr>
            </w:pPr>
            <w:r>
              <w:rPr>
                <w:rFonts w:ascii="Arial" w:cs="Arial" w:eastAsia="Arial" w:hAnsi="Arial"/>
                <w:sz w:val="13"/>
                <w:szCs w:val="13"/>
                <w:color w:val="auto"/>
              </w:rPr>
              <w:t>Net service revenues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179,180</w:t>
            </w:r>
          </w:p>
        </w:tc>
        <w:tc>
          <w:tcPr>
            <w:tcW w:w="1060" w:type="dxa"/>
            <w:vAlign w:val="bottom"/>
            <w:gridSpan w:val="4"/>
          </w:tcPr>
          <w:p>
            <w:pPr>
              <w:jc w:val="right"/>
              <w:spacing w:after="0"/>
              <w:rPr>
                <w:sz w:val="20"/>
                <w:szCs w:val="20"/>
                <w:color w:val="auto"/>
              </w:rPr>
            </w:pPr>
            <w:r>
              <w:rPr>
                <w:rFonts w:ascii="Arial" w:cs="Arial" w:eastAsia="Arial" w:hAnsi="Arial"/>
                <w:sz w:val="13"/>
                <w:szCs w:val="13"/>
                <w:color w:val="auto"/>
              </w:rPr>
              <w:t>100.0 % $</w:t>
            </w:r>
          </w:p>
        </w:tc>
        <w:tc>
          <w:tcPr>
            <w:tcW w:w="520" w:type="dxa"/>
            <w:vAlign w:val="bottom"/>
          </w:tcPr>
          <w:p>
            <w:pPr>
              <w:jc w:val="right"/>
              <w:spacing w:after="0"/>
              <w:rPr>
                <w:sz w:val="20"/>
                <w:szCs w:val="20"/>
                <w:color w:val="auto"/>
              </w:rPr>
            </w:pPr>
            <w:r>
              <w:rPr>
                <w:rFonts w:ascii="Arial" w:cs="Arial" w:eastAsia="Arial" w:hAnsi="Arial"/>
                <w:sz w:val="13"/>
                <w:szCs w:val="13"/>
                <w:color w:val="auto"/>
              </w:rPr>
              <w:t>169,609</w:t>
            </w:r>
          </w:p>
        </w:tc>
        <w:tc>
          <w:tcPr>
            <w:tcW w:w="1100" w:type="dxa"/>
            <w:vAlign w:val="bottom"/>
            <w:gridSpan w:val="5"/>
          </w:tcPr>
          <w:p>
            <w:pPr>
              <w:jc w:val="right"/>
              <w:spacing w:after="0"/>
              <w:rPr>
                <w:sz w:val="20"/>
                <w:szCs w:val="20"/>
                <w:color w:val="auto"/>
              </w:rPr>
            </w:pPr>
            <w:r>
              <w:rPr>
                <w:rFonts w:ascii="Arial" w:cs="Arial" w:eastAsia="Arial" w:hAnsi="Arial"/>
                <w:sz w:val="13"/>
                <w:szCs w:val="13"/>
                <w:color w:val="auto"/>
              </w:rPr>
              <w:t>100.0 % $</w:t>
            </w:r>
          </w:p>
        </w:tc>
        <w:tc>
          <w:tcPr>
            <w:tcW w:w="540" w:type="dxa"/>
            <w:vAlign w:val="bottom"/>
          </w:tcPr>
          <w:p>
            <w:pPr>
              <w:jc w:val="right"/>
              <w:spacing w:after="0"/>
              <w:rPr>
                <w:sz w:val="20"/>
                <w:szCs w:val="20"/>
                <w:color w:val="auto"/>
              </w:rPr>
            </w:pPr>
            <w:r>
              <w:rPr>
                <w:rFonts w:ascii="Arial" w:cs="Arial" w:eastAsia="Arial" w:hAnsi="Arial"/>
                <w:sz w:val="13"/>
                <w:szCs w:val="13"/>
                <w:color w:val="auto"/>
              </w:rPr>
              <w:t>9,571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5.6</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w w:val="84"/>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7"/>
              </w:rPr>
              <w:t>523,142</w:t>
            </w:r>
          </w:p>
        </w:tc>
        <w:tc>
          <w:tcPr>
            <w:tcW w:w="1040" w:type="dxa"/>
            <w:vAlign w:val="bottom"/>
            <w:gridSpan w:val="5"/>
          </w:tcPr>
          <w:p>
            <w:pPr>
              <w:jc w:val="right"/>
              <w:spacing w:after="0"/>
              <w:rPr>
                <w:sz w:val="20"/>
                <w:szCs w:val="20"/>
                <w:color w:val="auto"/>
              </w:rPr>
            </w:pPr>
            <w:r>
              <w:rPr>
                <w:rFonts w:ascii="Arial" w:cs="Arial" w:eastAsia="Arial" w:hAnsi="Arial"/>
                <w:sz w:val="13"/>
                <w:szCs w:val="13"/>
                <w:color w:val="auto"/>
              </w:rPr>
              <w:t>100.0 %$</w:t>
            </w:r>
          </w:p>
        </w:tc>
        <w:tc>
          <w:tcPr>
            <w:tcW w:w="520" w:type="dxa"/>
            <w:vAlign w:val="bottom"/>
          </w:tcPr>
          <w:p>
            <w:pPr>
              <w:jc w:val="right"/>
              <w:spacing w:after="0"/>
              <w:rPr>
                <w:sz w:val="20"/>
                <w:szCs w:val="20"/>
                <w:color w:val="auto"/>
              </w:rPr>
            </w:pPr>
            <w:r>
              <w:rPr>
                <w:rFonts w:ascii="Arial" w:cs="Arial" w:eastAsia="Arial" w:hAnsi="Arial"/>
                <w:sz w:val="13"/>
                <w:szCs w:val="13"/>
                <w:color w:val="auto"/>
                <w:w w:val="97"/>
              </w:rPr>
              <w:t>510,744</w:t>
            </w:r>
          </w:p>
        </w:tc>
        <w:tc>
          <w:tcPr>
            <w:tcW w:w="1060" w:type="dxa"/>
            <w:vAlign w:val="bottom"/>
            <w:gridSpan w:val="5"/>
          </w:tcPr>
          <w:p>
            <w:pPr>
              <w:jc w:val="right"/>
              <w:ind w:right="20"/>
              <w:spacing w:after="0"/>
              <w:rPr>
                <w:sz w:val="20"/>
                <w:szCs w:val="20"/>
                <w:color w:val="auto"/>
              </w:rPr>
            </w:pPr>
            <w:r>
              <w:rPr>
                <w:rFonts w:ascii="Arial" w:cs="Arial" w:eastAsia="Arial" w:hAnsi="Arial"/>
                <w:sz w:val="13"/>
                <w:szCs w:val="13"/>
                <w:color w:val="auto"/>
              </w:rPr>
              <w:t>100.0 %$</w:t>
            </w:r>
          </w:p>
        </w:tc>
        <w:tc>
          <w:tcPr>
            <w:tcW w:w="620" w:type="dxa"/>
            <w:vAlign w:val="bottom"/>
          </w:tcPr>
          <w:p>
            <w:pPr>
              <w:jc w:val="right"/>
              <w:spacing w:after="0"/>
              <w:rPr>
                <w:sz w:val="20"/>
                <w:szCs w:val="20"/>
                <w:color w:val="auto"/>
              </w:rPr>
            </w:pPr>
            <w:r>
              <w:rPr>
                <w:rFonts w:ascii="Arial" w:cs="Arial" w:eastAsia="Arial" w:hAnsi="Arial"/>
                <w:sz w:val="13"/>
                <w:szCs w:val="13"/>
                <w:color w:val="auto"/>
              </w:rPr>
              <w:t>12,398</w:t>
            </w:r>
          </w:p>
        </w:tc>
        <w:tc>
          <w:tcPr>
            <w:tcW w:w="10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Arial" w:cs="Arial" w:eastAsia="Arial" w:hAnsi="Arial"/>
                <w:sz w:val="13"/>
                <w:szCs w:val="13"/>
                <w:color w:val="auto"/>
                <w:w w:val="90"/>
              </w:rPr>
              <w:t>2.4 %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Cost of services revenues</w:t>
            </w: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131,968</w:t>
            </w: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73.7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125,647</w:t>
            </w:r>
          </w:p>
        </w:tc>
        <w:tc>
          <w:tcPr>
            <w:tcW w:w="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74.1</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6,321</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7"/>
              </w:rPr>
              <w:t>386,940</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74.0</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7"/>
              </w:rPr>
              <w:t>375,744</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73.6</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11,196</w:t>
            </w: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2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47,212</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43,962</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3,250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136,202</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135,000</w:t>
            </w: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26.4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1,202</w:t>
            </w:r>
          </w:p>
        </w:tc>
        <w:tc>
          <w:tcPr>
            <w:tcW w:w="100" w:type="dxa"/>
            <w:vAlign w:val="bottom"/>
          </w:tcPr>
          <w:p>
            <w:pPr>
              <w:spacing w:after="0"/>
              <w:rPr>
                <w:sz w:val="13"/>
                <w:szCs w:val="13"/>
                <w:color w:val="auto"/>
              </w:rPr>
            </w:pPr>
          </w:p>
        </w:tc>
        <w:tc>
          <w:tcPr>
            <w:tcW w:w="400" w:type="dxa"/>
            <w:vAlign w:val="bottom"/>
          </w:tcPr>
          <w:p>
            <w:pPr>
              <w:ind w:left="180"/>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6"/>
              </w:rPr>
              <w:t>General and administrative expenses</w:t>
            </w: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15,238</w:t>
            </w: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8.5</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15,166</w:t>
            </w:r>
          </w:p>
        </w:tc>
        <w:tc>
          <w:tcPr>
            <w:tcW w:w="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72</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45,688</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46,807</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(1,119)</w:t>
            </w: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3"/>
                <w:szCs w:val="13"/>
                <w:color w:val="auto"/>
                <w:w w:val="89"/>
              </w:rPr>
              <w:t>(2.4)</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20" w:type="dxa"/>
            <w:vAlign w:val="bottom"/>
          </w:tcPr>
          <w:p>
            <w:pPr>
              <w:ind w:left="20"/>
              <w:spacing w:after="0"/>
              <w:rPr>
                <w:sz w:val="20"/>
                <w:szCs w:val="20"/>
                <w:color w:val="auto"/>
              </w:rPr>
            </w:pPr>
            <w:r>
              <w:rPr>
                <w:rFonts w:ascii="Arial" w:cs="Arial" w:eastAsia="Arial" w:hAnsi="Arial"/>
                <w:sz w:val="13"/>
                <w:szCs w:val="13"/>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31,974</w:t>
            </w:r>
          </w:p>
        </w:tc>
        <w:tc>
          <w:tcPr>
            <w:tcW w:w="1060" w:type="dxa"/>
            <w:vAlign w:val="bottom"/>
            <w:gridSpan w:val="4"/>
          </w:tcPr>
          <w:p>
            <w:pPr>
              <w:jc w:val="right"/>
              <w:spacing w:after="0"/>
              <w:rPr>
                <w:sz w:val="20"/>
                <w:szCs w:val="20"/>
                <w:color w:val="auto"/>
              </w:rPr>
            </w:pPr>
            <w:r>
              <w:rPr>
                <w:rFonts w:ascii="Arial" w:cs="Arial" w:eastAsia="Arial" w:hAnsi="Arial"/>
                <w:sz w:val="13"/>
                <w:szCs w:val="13"/>
                <w:color w:val="auto"/>
              </w:rPr>
              <w:t>17.8 % $</w:t>
            </w:r>
          </w:p>
        </w:tc>
        <w:tc>
          <w:tcPr>
            <w:tcW w:w="520" w:type="dxa"/>
            <w:vAlign w:val="bottom"/>
          </w:tcPr>
          <w:p>
            <w:pPr>
              <w:jc w:val="right"/>
              <w:spacing w:after="0"/>
              <w:rPr>
                <w:sz w:val="20"/>
                <w:szCs w:val="20"/>
                <w:color w:val="auto"/>
              </w:rPr>
            </w:pPr>
            <w:r>
              <w:rPr>
                <w:rFonts w:ascii="Arial" w:cs="Arial" w:eastAsia="Arial" w:hAnsi="Arial"/>
                <w:sz w:val="13"/>
                <w:szCs w:val="13"/>
                <w:color w:val="auto"/>
              </w:rPr>
              <w:t>28,796</w:t>
            </w:r>
          </w:p>
        </w:tc>
        <w:tc>
          <w:tcPr>
            <w:tcW w:w="1100" w:type="dxa"/>
            <w:vAlign w:val="bottom"/>
            <w:gridSpan w:val="5"/>
          </w:tcPr>
          <w:p>
            <w:pPr>
              <w:jc w:val="right"/>
              <w:spacing w:after="0"/>
              <w:rPr>
                <w:sz w:val="20"/>
                <w:szCs w:val="20"/>
                <w:color w:val="auto"/>
              </w:rPr>
            </w:pPr>
            <w:r>
              <w:rPr>
                <w:rFonts w:ascii="Arial" w:cs="Arial" w:eastAsia="Arial" w:hAnsi="Arial"/>
                <w:sz w:val="13"/>
                <w:szCs w:val="13"/>
                <w:color w:val="auto"/>
              </w:rPr>
              <w:t>17.0 % $</w:t>
            </w:r>
          </w:p>
        </w:tc>
        <w:tc>
          <w:tcPr>
            <w:tcW w:w="540" w:type="dxa"/>
            <w:vAlign w:val="bottom"/>
          </w:tcPr>
          <w:p>
            <w:pPr>
              <w:jc w:val="right"/>
              <w:spacing w:after="0"/>
              <w:rPr>
                <w:sz w:val="20"/>
                <w:szCs w:val="20"/>
                <w:color w:val="auto"/>
              </w:rPr>
            </w:pPr>
            <w:r>
              <w:rPr>
                <w:rFonts w:ascii="Arial" w:cs="Arial" w:eastAsia="Arial" w:hAnsi="Arial"/>
                <w:sz w:val="13"/>
                <w:szCs w:val="13"/>
                <w:color w:val="auto"/>
              </w:rPr>
              <w:t>3,178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11.0</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w w:val="84"/>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90,514</w:t>
            </w:r>
          </w:p>
        </w:tc>
        <w:tc>
          <w:tcPr>
            <w:tcW w:w="1040" w:type="dxa"/>
            <w:vAlign w:val="bottom"/>
            <w:gridSpan w:val="5"/>
          </w:tcPr>
          <w:p>
            <w:pPr>
              <w:jc w:val="right"/>
              <w:spacing w:after="0"/>
              <w:rPr>
                <w:sz w:val="20"/>
                <w:szCs w:val="20"/>
                <w:color w:val="auto"/>
              </w:rPr>
            </w:pPr>
            <w:r>
              <w:rPr>
                <w:rFonts w:ascii="Arial" w:cs="Arial" w:eastAsia="Arial" w:hAnsi="Arial"/>
                <w:sz w:val="13"/>
                <w:szCs w:val="13"/>
                <w:color w:val="auto"/>
              </w:rPr>
              <w:t>17.3 %$</w:t>
            </w:r>
          </w:p>
        </w:tc>
        <w:tc>
          <w:tcPr>
            <w:tcW w:w="520" w:type="dxa"/>
            <w:vAlign w:val="bottom"/>
          </w:tcPr>
          <w:p>
            <w:pPr>
              <w:jc w:val="right"/>
              <w:spacing w:after="0"/>
              <w:rPr>
                <w:sz w:val="20"/>
                <w:szCs w:val="20"/>
                <w:color w:val="auto"/>
              </w:rPr>
            </w:pPr>
            <w:r>
              <w:rPr>
                <w:rFonts w:ascii="Arial" w:cs="Arial" w:eastAsia="Arial" w:hAnsi="Arial"/>
                <w:sz w:val="13"/>
                <w:szCs w:val="13"/>
                <w:color w:val="auto"/>
              </w:rPr>
              <w:t>88,193</w:t>
            </w:r>
          </w:p>
        </w:tc>
        <w:tc>
          <w:tcPr>
            <w:tcW w:w="1060" w:type="dxa"/>
            <w:vAlign w:val="bottom"/>
            <w:gridSpan w:val="5"/>
          </w:tcPr>
          <w:p>
            <w:pPr>
              <w:jc w:val="right"/>
              <w:ind w:right="20"/>
              <w:spacing w:after="0"/>
              <w:rPr>
                <w:sz w:val="20"/>
                <w:szCs w:val="20"/>
                <w:color w:val="auto"/>
              </w:rPr>
            </w:pPr>
            <w:r>
              <w:rPr>
                <w:rFonts w:ascii="Arial" w:cs="Arial" w:eastAsia="Arial" w:hAnsi="Arial"/>
                <w:sz w:val="13"/>
                <w:szCs w:val="13"/>
                <w:color w:val="auto"/>
              </w:rPr>
              <w:t>17.3 %$</w:t>
            </w:r>
          </w:p>
        </w:tc>
        <w:tc>
          <w:tcPr>
            <w:tcW w:w="620" w:type="dxa"/>
            <w:vAlign w:val="bottom"/>
          </w:tcPr>
          <w:p>
            <w:pPr>
              <w:jc w:val="right"/>
              <w:spacing w:after="0"/>
              <w:rPr>
                <w:sz w:val="20"/>
                <w:szCs w:val="20"/>
                <w:color w:val="auto"/>
              </w:rPr>
            </w:pPr>
            <w:r>
              <w:rPr>
                <w:rFonts w:ascii="Arial" w:cs="Arial" w:eastAsia="Arial" w:hAnsi="Arial"/>
                <w:sz w:val="13"/>
                <w:szCs w:val="13"/>
                <w:color w:val="auto"/>
              </w:rPr>
              <w:t>2,321</w:t>
            </w:r>
          </w:p>
        </w:tc>
        <w:tc>
          <w:tcPr>
            <w:tcW w:w="100" w:type="dxa"/>
            <w:vAlign w:val="bottom"/>
          </w:tcPr>
          <w:p>
            <w:pPr>
              <w:spacing w:after="0"/>
              <w:rPr>
                <w:sz w:val="13"/>
                <w:szCs w:val="13"/>
                <w:color w:val="auto"/>
              </w:rPr>
            </w:pPr>
          </w:p>
        </w:tc>
        <w:tc>
          <w:tcPr>
            <w:tcW w:w="500" w:type="dxa"/>
            <w:vAlign w:val="bottom"/>
            <w:gridSpan w:val="2"/>
          </w:tcPr>
          <w:p>
            <w:pPr>
              <w:ind w:left="180"/>
              <w:spacing w:after="0"/>
              <w:rPr>
                <w:sz w:val="20"/>
                <w:szCs w:val="20"/>
                <w:color w:val="auto"/>
              </w:rPr>
            </w:pPr>
            <w:r>
              <w:rPr>
                <w:rFonts w:ascii="Arial" w:cs="Arial" w:eastAsia="Arial" w:hAnsi="Arial"/>
                <w:sz w:val="13"/>
                <w:szCs w:val="13"/>
                <w:color w:val="auto"/>
                <w:w w:val="90"/>
              </w:rPr>
              <w:t>2.6 %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120" w:type="dxa"/>
            <w:vAlign w:val="bottom"/>
            <w:shd w:val="clear" w:color="auto" w:fill="CFF0FC"/>
          </w:tcPr>
          <w:p>
            <w:pPr>
              <w:ind w:left="20"/>
              <w:spacing w:after="0" w:line="98" w:lineRule="exact"/>
              <w:rPr>
                <w:sz w:val="20"/>
                <w:szCs w:val="20"/>
                <w:color w:val="auto"/>
              </w:rPr>
            </w:pPr>
            <w:r>
              <w:rPr>
                <w:rFonts w:ascii="Arial" w:cs="Arial" w:eastAsia="Arial" w:hAnsi="Arial"/>
                <w:sz w:val="10"/>
                <w:szCs w:val="10"/>
                <w:b w:val="1"/>
                <w:bCs w:val="1"/>
                <w:color w:val="auto"/>
              </w:rPr>
              <w:t>Business Metrics (Actual Numbers,</w:t>
            </w: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91"/>
              </w:rPr>
              <w:t>Except Billable Hours in Thousands)</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120" w:type="dxa"/>
            <w:vAlign w:val="bottom"/>
          </w:tcPr>
          <w:p>
            <w:pPr>
              <w:ind w:left="20"/>
              <w:spacing w:after="0"/>
              <w:rPr>
                <w:sz w:val="20"/>
                <w:szCs w:val="20"/>
                <w:color w:val="auto"/>
              </w:rPr>
            </w:pPr>
            <w:r>
              <w:rPr>
                <w:rFonts w:ascii="Arial" w:cs="Arial" w:eastAsia="Arial" w:hAnsi="Arial"/>
                <w:sz w:val="13"/>
                <w:szCs w:val="13"/>
                <w:color w:val="auto"/>
              </w:rPr>
              <w:t>Locations at period end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120" w:type="dxa"/>
            <w:vAlign w:val="bottom"/>
            <w:shd w:val="clear" w:color="auto" w:fill="CFF0FC"/>
          </w:tcPr>
          <w:p>
            <w:pPr>
              <w:ind w:left="20"/>
              <w:spacing w:after="0" w:line="164" w:lineRule="exact"/>
              <w:rPr>
                <w:sz w:val="20"/>
                <w:szCs w:val="20"/>
                <w:color w:val="auto"/>
              </w:rPr>
            </w:pPr>
            <w:r>
              <w:rPr>
                <w:rFonts w:ascii="Arial" w:cs="Arial" w:eastAsia="Arial" w:hAnsi="Arial"/>
                <w:sz w:val="13"/>
                <w:szCs w:val="13"/>
                <w:color w:val="auto"/>
              </w:rPr>
              <w:t xml:space="preserve">Average billable census * </w:t>
            </w:r>
            <w:r>
              <w:rPr>
                <w:rFonts w:ascii="Arial" w:cs="Arial" w:eastAsia="Arial" w:hAnsi="Arial"/>
                <w:sz w:val="16"/>
                <w:szCs w:val="16"/>
                <w:color w:val="auto"/>
                <w:vertAlign w:val="superscript"/>
              </w:rPr>
              <w:t>(1)</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37,677</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37,979</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gridSpan w:val="3"/>
            <w:shd w:val="clear" w:color="auto" w:fill="CFF0FC"/>
          </w:tcPr>
          <w:p>
            <w:pPr>
              <w:ind w:left="100"/>
              <w:spacing w:after="0"/>
              <w:rPr>
                <w:sz w:val="20"/>
                <w:szCs w:val="20"/>
                <w:color w:val="auto"/>
              </w:rPr>
            </w:pPr>
            <w:r>
              <w:rPr>
                <w:rFonts w:ascii="Arial" w:cs="Arial" w:eastAsia="Arial" w:hAnsi="Arial"/>
                <w:sz w:val="13"/>
                <w:szCs w:val="13"/>
                <w:color w:val="auto"/>
              </w:rPr>
              <w:t>(0.8) %</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37,253</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38,266</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(1,013)</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w w:val="81"/>
              </w:rPr>
              <w:t>(2.6)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Billable hours * </w:t>
            </w:r>
            <w:r>
              <w:rPr>
                <w:rFonts w:ascii="Arial" w:cs="Arial" w:eastAsia="Arial" w:hAnsi="Arial"/>
                <w:sz w:val="16"/>
                <w:szCs w:val="16"/>
                <w:color w:val="auto"/>
                <w:vertAlign w:val="superscript"/>
              </w:rPr>
              <w:t>(2)</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7,473</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7,537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3"/>
                <w:szCs w:val="13"/>
                <w:color w:val="auto"/>
                <w:w w:val="89"/>
              </w:rPr>
              <w:t>(0.8)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21,947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22,712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auto"/>
                <w:w w:val="89"/>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Average billable hours per census per</w:t>
            </w: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 xml:space="preserve">month * </w:t>
            </w:r>
            <w:r>
              <w:rPr>
                <w:rFonts w:ascii="Arial" w:cs="Arial" w:eastAsia="Arial" w:hAnsi="Arial"/>
                <w:sz w:val="16"/>
                <w:szCs w:val="16"/>
                <w:color w:val="auto"/>
                <w:vertAlign w:val="superscript"/>
              </w:rPr>
              <w:t>(2)</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65.8</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65.2</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w:t>
            </w: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FF0FC"/>
          </w:tcPr>
          <w:p>
            <w:pPr>
              <w:spacing w:after="0"/>
              <w:rPr>
                <w:sz w:val="16"/>
                <w:szCs w:val="16"/>
                <w:color w:val="auto"/>
              </w:rPr>
            </w:pPr>
          </w:p>
        </w:tc>
        <w:tc>
          <w:tcPr>
            <w:tcW w:w="400" w:type="dxa"/>
            <w:vAlign w:val="bottom"/>
            <w:shd w:val="clear" w:color="auto" w:fill="CFF0FC"/>
          </w:tcPr>
          <w:p>
            <w:pPr>
              <w:ind w:left="140"/>
              <w:spacing w:after="0"/>
              <w:rPr>
                <w:sz w:val="20"/>
                <w:szCs w:val="20"/>
                <w:color w:val="auto"/>
              </w:rPr>
            </w:pPr>
            <w:r>
              <w:rPr>
                <w:rFonts w:ascii="Arial" w:cs="Arial" w:eastAsia="Arial" w:hAnsi="Arial"/>
                <w:sz w:val="13"/>
                <w:szCs w:val="13"/>
                <w:color w:val="auto"/>
                <w:w w:val="89"/>
              </w:rPr>
              <w:t>(0.8)</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Billable hours per business day * </w:t>
            </w:r>
            <w:r>
              <w:rPr>
                <w:rFonts w:ascii="Arial" w:cs="Arial" w:eastAsia="Arial" w:hAnsi="Arial"/>
                <w:sz w:val="16"/>
                <w:szCs w:val="16"/>
                <w:color w:val="auto"/>
                <w:vertAlign w:val="superscript"/>
              </w:rPr>
              <w:t>(2)</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113,229</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114,195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3"/>
                <w:szCs w:val="13"/>
                <w:color w:val="auto"/>
                <w:w w:val="89"/>
              </w:rPr>
              <w:t>(0.8)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112,547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116,472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(3,925)</w:t>
            </w:r>
          </w:p>
        </w:tc>
        <w:tc>
          <w:tcPr>
            <w:tcW w:w="100" w:type="dxa"/>
            <w:vAlign w:val="bottom"/>
          </w:tcPr>
          <w:p>
            <w:pPr>
              <w:spacing w:after="0"/>
              <w:rPr>
                <w:sz w:val="14"/>
                <w:szCs w:val="14"/>
                <w:color w:val="auto"/>
              </w:rPr>
            </w:pPr>
          </w:p>
        </w:tc>
        <w:tc>
          <w:tcPr>
            <w:tcW w:w="400" w:type="dxa"/>
            <w:vAlign w:val="bottom"/>
          </w:tcPr>
          <w:p>
            <w:pPr>
              <w:ind w:left="140"/>
              <w:spacing w:after="0"/>
              <w:rPr>
                <w:sz w:val="20"/>
                <w:szCs w:val="20"/>
                <w:color w:val="auto"/>
              </w:rPr>
            </w:pPr>
            <w:r>
              <w:rPr>
                <w:rFonts w:ascii="Arial" w:cs="Arial" w:eastAsia="Arial" w:hAnsi="Arial"/>
                <w:sz w:val="13"/>
                <w:szCs w:val="13"/>
                <w:color w:val="auto"/>
                <w:w w:val="89"/>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rPr>
              <w:t xml:space="preserve">Revenues per billable hour * </w:t>
            </w:r>
            <w:r>
              <w:rPr>
                <w:rFonts w:ascii="Arial" w:cs="Arial" w:eastAsia="Arial" w:hAnsi="Arial"/>
                <w:sz w:val="16"/>
                <w:szCs w:val="16"/>
                <w:color w:val="auto"/>
                <w:vertAlign w:val="superscript"/>
              </w:rPr>
              <w:t>(2)</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23.92</w:t>
            </w: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22.47</w:t>
            </w:r>
          </w:p>
        </w:tc>
        <w:tc>
          <w:tcPr>
            <w:tcW w:w="110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84"/>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23.71</w:t>
            </w:r>
          </w:p>
        </w:tc>
        <w:tc>
          <w:tcPr>
            <w:tcW w:w="104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22.45</w:t>
            </w:r>
          </w:p>
        </w:tc>
        <w:tc>
          <w:tcPr>
            <w:tcW w:w="1060" w:type="dxa"/>
            <w:vAlign w:val="bottom"/>
            <w:gridSpan w:val="5"/>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w w:val="90"/>
              </w:rPr>
              <w:t>5.6 %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120" w:type="dxa"/>
            <w:vAlign w:val="bottom"/>
          </w:tcPr>
          <w:p>
            <w:pPr>
              <w:ind w:left="20"/>
              <w:spacing w:after="0"/>
              <w:rPr>
                <w:sz w:val="20"/>
                <w:szCs w:val="20"/>
                <w:color w:val="auto"/>
              </w:rPr>
            </w:pPr>
            <w:r>
              <w:rPr>
                <w:rFonts w:ascii="Arial" w:cs="Arial" w:eastAsia="Arial" w:hAnsi="Arial"/>
                <w:sz w:val="13"/>
                <w:szCs w:val="13"/>
                <w:color w:val="auto"/>
              </w:rPr>
              <w:t xml:space="preserve">Same store growth revenue % * </w:t>
            </w:r>
            <w:r>
              <w:rPr>
                <w:rFonts w:ascii="Arial" w:cs="Arial" w:eastAsia="Arial" w:hAnsi="Arial"/>
                <w:sz w:val="16"/>
                <w:szCs w:val="16"/>
                <w:color w:val="auto"/>
                <w:vertAlign w:val="superscript"/>
              </w:rPr>
              <w:t>(3)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3.5</w:t>
            </w:r>
          </w:p>
        </w:tc>
        <w:tc>
          <w:tcPr>
            <w:tcW w:w="860" w:type="dxa"/>
            <w:vAlign w:val="bottom"/>
            <w:gridSpan w:val="3"/>
          </w:tcPr>
          <w:p>
            <w:pPr>
              <w:jc w:val="right"/>
              <w:ind w:right="65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6.6</w:t>
            </w:r>
          </w:p>
        </w:tc>
        <w:tc>
          <w:tcPr>
            <w:tcW w:w="840" w:type="dxa"/>
            <w:vAlign w:val="bottom"/>
            <w:gridSpan w:val="3"/>
          </w:tcPr>
          <w:p>
            <w:pPr>
              <w:jc w:val="right"/>
              <w:ind w:right="63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-1380490</wp:posOffset>
            </wp:positionV>
            <wp:extent cx="76835" cy="1111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-1380490</wp:posOffset>
            </wp:positionV>
            <wp:extent cx="76835" cy="1111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-1380490</wp:posOffset>
            </wp:positionV>
            <wp:extent cx="77470" cy="1111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-1380490</wp:posOffset>
            </wp:positionV>
            <wp:extent cx="77470" cy="1111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-1380490</wp:posOffset>
            </wp:positionV>
            <wp:extent cx="68580" cy="1111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-1380490</wp:posOffset>
            </wp:positionV>
            <wp:extent cx="68580" cy="1111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-1380490</wp:posOffset>
            </wp:positionV>
            <wp:extent cx="68580" cy="1111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-1380490</wp:posOffset>
            </wp:positionV>
            <wp:extent cx="68580" cy="1111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-1380490</wp:posOffset>
            </wp:positionV>
            <wp:extent cx="68580" cy="1111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-1380490</wp:posOffset>
            </wp:positionV>
            <wp:extent cx="68580" cy="1111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-1380490</wp:posOffset>
            </wp:positionV>
            <wp:extent cx="68580" cy="1111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-1380490</wp:posOffset>
            </wp:positionV>
            <wp:extent cx="68580" cy="1111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-1166495</wp:posOffset>
            </wp:positionV>
            <wp:extent cx="76835" cy="1371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-1166495</wp:posOffset>
            </wp:positionV>
            <wp:extent cx="76835" cy="1371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-1166495</wp:posOffset>
            </wp:positionV>
            <wp:extent cx="77470" cy="1371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-1166495</wp:posOffset>
            </wp:positionV>
            <wp:extent cx="77470" cy="1371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-1166495</wp:posOffset>
            </wp:positionV>
            <wp:extent cx="68580" cy="1371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-1166495</wp:posOffset>
            </wp:positionV>
            <wp:extent cx="68580" cy="1371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-1166495</wp:posOffset>
            </wp:positionV>
            <wp:extent cx="6858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-1166495</wp:posOffset>
            </wp:positionV>
            <wp:extent cx="68580" cy="1371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-1166495</wp:posOffset>
            </wp:positionV>
            <wp:extent cx="68580"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-1166495</wp:posOffset>
            </wp:positionV>
            <wp:extent cx="68580" cy="1371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-1166495</wp:posOffset>
            </wp:positionV>
            <wp:extent cx="68580" cy="1371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-1166495</wp:posOffset>
            </wp:positionV>
            <wp:extent cx="68580"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17" w:lineRule="exact"/>
        <w:rPr>
          <w:sz w:val="20"/>
          <w:szCs w:val="20"/>
          <w:color w:val="auto"/>
        </w:rPr>
      </w:pPr>
    </w:p>
    <w:p>
      <w:pPr>
        <w:ind w:left="520" w:right="140" w:hanging="512"/>
        <w:spacing w:after="0" w:line="258"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 and is the total census divided by months in operation during the period.</w:t>
      </w:r>
    </w:p>
    <w:p>
      <w:pPr>
        <w:spacing w:after="0" w:line="49" w:lineRule="exact"/>
        <w:rPr>
          <w:rFonts w:ascii="Arial" w:cs="Arial" w:eastAsia="Arial" w:hAnsi="Arial"/>
          <w:sz w:val="16"/>
          <w:szCs w:val="16"/>
          <w:color w:val="auto"/>
        </w:rPr>
      </w:pPr>
    </w:p>
    <w:p>
      <w:pPr>
        <w:ind w:left="520" w:right="40" w:hanging="512"/>
        <w:spacing w:after="0" w:line="261"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47" w:lineRule="exact"/>
        <w:rPr>
          <w:rFonts w:ascii="Arial" w:cs="Arial" w:eastAsia="Arial" w:hAnsi="Arial"/>
          <w:sz w:val="16"/>
          <w:szCs w:val="16"/>
          <w:color w:val="auto"/>
        </w:rPr>
      </w:pPr>
    </w:p>
    <w:p>
      <w:pPr>
        <w:ind w:left="520" w:right="80" w:hanging="512"/>
        <w:spacing w:after="0" w:line="252"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Same store revenue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the revenue associated with New York CDPAP and the ARPA.</w:t>
      </w:r>
    </w:p>
    <w:p>
      <w:pPr>
        <w:spacing w:after="0" w:line="55" w:lineRule="exact"/>
        <w:rPr>
          <w:sz w:val="20"/>
          <w:szCs w:val="20"/>
          <w:color w:val="auto"/>
        </w:rPr>
      </w:pPr>
    </w:p>
    <w:p>
      <w:pPr>
        <w:ind w:right="100" w:firstLine="8"/>
        <w:spacing w:after="0" w:line="289" w:lineRule="auto"/>
        <w:tabs>
          <w:tab w:leader="none" w:pos="121"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64"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The personal care segment derives a significant amount of its net service revenues from operations in Illinois, which represented 44.3% and 37.8% of our net service revenues for the three months ended September 30, 2022 and 2021, respectively, and accounted for 43.5% and 37.5% of our net service revenues for the nine months ended September 30, 2022 and 2021, respectively. One payor, the Illinois Department on Aging, accounted for 21.0% and 21.3% of net service revenues for the three months ended September 30, 2022 and 2021, respectively, and accounted for 20.8% and 21.4% of net service revenues for the nine months ended September 30, 2022 and 2021, respectively.</w:t>
      </w:r>
    </w:p>
    <w:p>
      <w:pPr>
        <w:spacing w:after="0" w:line="17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Net service revenues from state, local and other governmental programs accounted for 49.4% and 49.5% of net service revenues for the three months ended September 30, 2022 and 2021, respectively. Managed care organizations accounted for 46.4% and 45.3% of net service revenues for the three months ended September 30, 2022 and 2021, respectively, with commercial insurance, private pay and other payors accounting for the remainder of net service revenues. Net service revenues from state, local and other governmental programs accounted for 49.4% and 49.5% of net service revenues for the nine months ended September 30, 2022 and 2021, respectively. Managed care organizations accounted for 46.1% and 45.3% of net service revenues for the nine months ended September 30, 2022 and 2021, respectively with commercial insurance, private pay and other payors accounting for the remainder of net service revenues.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Net service revenues increased by 5.6% and increased by 2.4% for the three and nine months ended September 30, 2022, respectively, compared to the three and nine months ended September 30, 2021. Net service revenues included a 6.5% and 5.6% increase in revenues per billable hour for the three and nine months ended September 30, 2022, respectively, mainly attributed to rate increases discussed above, as compared to the three and nine months ended September 30, 2021. The Company experienced a decrease in New York net service revenues of $3.1 million and $13.7 million for the three and nine months ended September 30, 2022, primarily driven by a decrease in participation in the New York CDPAP program as discussed above, compared to</w:t>
      </w:r>
    </w:p>
    <w:p>
      <w:pPr>
        <w:spacing w:after="0" w:line="1"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2021. Gross profit, expressed as a percentage of net service revenues, increased to 26.3% for the three months ended September 30, 2022 from 25.9% for the three months ended September 30, 2021 . This increase was primarily due to decreases in direct payroll and benefits as a percentage of net service revenues of 0.4% for the three months ended September 30, 2022. Gross profit expressed as a percentage of net service revenues, decreased to 26.0% for the nine months ended September 30, 2022 from 26.4% for the nine months ended September 30, 2021.This decrease was primarily due to an increase of 0.4% in direct payroll as a percentage of net service revenues for the three and nine months ended September 30, 2022 as compared to the three and nine months ended September 30, 2021 primarily related to the labor wage pressures discussed above.</w:t>
      </w:r>
    </w:p>
    <w:p>
      <w:pPr>
        <w:spacing w:after="0" w:line="16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General and administrative expenses, expressed as a percentage of net service revenues, was 8.7% and 9.2% for the nine months ended September 30, 2022 and 2021,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Hospice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9"/>
          </w:tcPr>
          <w:p>
            <w:pPr>
              <w:jc w:val="right"/>
              <w:ind w:right="117"/>
              <w:spacing w:after="0"/>
              <w:rPr>
                <w:sz w:val="20"/>
                <w:szCs w:val="20"/>
                <w:color w:val="auto"/>
              </w:rPr>
            </w:pPr>
            <w:r>
              <w:rPr>
                <w:rFonts w:ascii="Arial" w:cs="Arial" w:eastAsia="Arial" w:hAnsi="Arial"/>
                <w:sz w:val="13"/>
                <w:szCs w:val="13"/>
                <w:b w:val="1"/>
                <w:bCs w:val="1"/>
                <w:color w:val="auto"/>
                <w:w w:val="95"/>
              </w:rPr>
              <w:t>For the Three Months Ended September 30,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Nine Months Ended September 30,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3"/>
                <w:szCs w:val="13"/>
                <w:b w:val="1"/>
                <w:bCs w:val="1"/>
                <w:color w:val="auto"/>
                <w:w w:val="82"/>
              </w:rPr>
              <w:t>2022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w w:val="82"/>
              </w:rPr>
              <w:t>2021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w w:val="88"/>
              </w:rPr>
              <w:t>Change</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3"/>
                <w:szCs w:val="13"/>
                <w:b w:val="1"/>
                <w:bCs w:val="1"/>
                <w:color w:val="auto"/>
                <w:w w:val="89"/>
              </w:rPr>
              <w:t>2022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2"/>
              </w:rPr>
              <w:t>Change</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0"/>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58"/>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137"/>
              <w:spacing w:after="0" w:line="135" w:lineRule="exact"/>
              <w:rPr>
                <w:sz w:val="20"/>
                <w:szCs w:val="20"/>
                <w:color w:val="auto"/>
              </w:rPr>
            </w:pPr>
            <w:r>
              <w:rPr>
                <w:rFonts w:ascii="Arial" w:cs="Arial" w:eastAsia="Arial" w:hAnsi="Arial"/>
                <w:sz w:val="13"/>
                <w:szCs w:val="13"/>
                <w:b w:val="1"/>
                <w:bCs w:val="1"/>
                <w:color w:val="auto"/>
                <w:w w:val="83"/>
              </w:rPr>
              <w:t>Segment</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8"/>
              <w:spacing w:after="0" w:line="135" w:lineRule="exact"/>
              <w:rPr>
                <w:sz w:val="20"/>
                <w:szCs w:val="20"/>
                <w:color w:val="auto"/>
              </w:rPr>
            </w:pPr>
            <w:r>
              <w:rPr>
                <w:rFonts w:ascii="Arial" w:cs="Arial" w:eastAsia="Arial" w:hAnsi="Arial"/>
                <w:sz w:val="13"/>
                <w:szCs w:val="13"/>
                <w:b w:val="1"/>
                <w:bCs w:val="1"/>
                <w:color w:val="auto"/>
                <w:w w:val="83"/>
              </w:rPr>
              <w:t>Segment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37"/>
              <w:spacing w:after="0" w:line="135" w:lineRule="exact"/>
              <w:rPr>
                <w:sz w:val="20"/>
                <w:szCs w:val="20"/>
                <w:color w:val="auto"/>
              </w:rPr>
            </w:pPr>
            <w:r>
              <w:rPr>
                <w:rFonts w:ascii="Arial" w:cs="Arial" w:eastAsia="Arial" w:hAnsi="Arial"/>
                <w:sz w:val="13"/>
                <w:szCs w:val="13"/>
                <w:b w:val="1"/>
                <w:bCs w:val="1"/>
                <w:color w:val="auto"/>
                <w:w w:val="83"/>
              </w:rPr>
              <w:t>Segment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jc w:val="center"/>
              <w:ind w:right="157"/>
              <w:spacing w:after="0" w:line="126" w:lineRule="exact"/>
              <w:rPr>
                <w:sz w:val="20"/>
                <w:szCs w:val="20"/>
                <w:color w:val="auto"/>
              </w:rPr>
            </w:pPr>
            <w:r>
              <w:rPr>
                <w:rFonts w:ascii="Arial" w:cs="Arial" w:eastAsia="Arial" w:hAnsi="Arial"/>
                <w:sz w:val="13"/>
                <w:szCs w:val="13"/>
                <w:b w:val="1"/>
                <w:bCs w:val="1"/>
                <w:color w:val="auto"/>
                <w:w w:val="84"/>
              </w:rPr>
              <w:t>Net Service</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7"/>
              </w:rPr>
              <w:t>Net Service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17"/>
              <w:spacing w:after="0" w:line="126" w:lineRule="exact"/>
              <w:rPr>
                <w:sz w:val="20"/>
                <w:szCs w:val="20"/>
                <w:color w:val="auto"/>
              </w:rPr>
            </w:pPr>
            <w:r>
              <w:rPr>
                <w:rFonts w:ascii="Arial" w:cs="Arial" w:eastAsia="Arial" w:hAnsi="Arial"/>
                <w:sz w:val="13"/>
                <w:szCs w:val="13"/>
                <w:b w:val="1"/>
                <w:bCs w:val="1"/>
                <w:color w:val="auto"/>
                <w:w w:val="84"/>
              </w:rPr>
              <w:t>Net Service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Net Service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3"/>
        </w:trPr>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1"/>
              </w:rPr>
              <w:t>Revenues</w:t>
            </w:r>
          </w:p>
        </w:tc>
        <w:tc>
          <w:tcPr>
            <w:tcW w:w="12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5"/>
              </w:rPr>
              <w:t>Amount</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8"/>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(Amounts</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4"/>
              </w:rPr>
              <w:t>in</w:t>
            </w: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Thousands,</w:t>
            </w:r>
          </w:p>
        </w:tc>
        <w:tc>
          <w:tcPr>
            <w:tcW w:w="1180" w:type="dxa"/>
            <w:vAlign w:val="bottom"/>
            <w:gridSpan w:val="5"/>
          </w:tcPr>
          <w:p>
            <w:pPr>
              <w:ind w:left="20"/>
              <w:spacing w:after="0"/>
              <w:rPr>
                <w:sz w:val="20"/>
                <w:szCs w:val="20"/>
                <w:color w:val="auto"/>
              </w:rPr>
            </w:pPr>
            <w:r>
              <w:rPr>
                <w:rFonts w:ascii="Arial" w:cs="Arial" w:eastAsia="Arial" w:hAnsi="Arial"/>
                <w:sz w:val="13"/>
                <w:szCs w:val="13"/>
                <w:b w:val="1"/>
                <w:bCs w:val="1"/>
                <w:color w:val="auto"/>
                <w:w w:val="89"/>
              </w:rPr>
              <w:t>Except Percentages)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(Amounts</w:t>
            </w:r>
          </w:p>
        </w:tc>
        <w:tc>
          <w:tcPr>
            <w:tcW w:w="12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w w:val="72"/>
              </w:rPr>
              <w:t>in Thousands,</w:t>
            </w:r>
          </w:p>
        </w:tc>
        <w:tc>
          <w:tcPr>
            <w:tcW w:w="100" w:type="dxa"/>
            <w:vAlign w:val="bottom"/>
          </w:tcPr>
          <w:p>
            <w:pPr>
              <w:spacing w:after="0"/>
              <w:rPr>
                <w:sz w:val="13"/>
                <w:szCs w:val="13"/>
                <w:color w:val="auto"/>
              </w:rPr>
            </w:pPr>
          </w:p>
        </w:tc>
        <w:tc>
          <w:tcPr>
            <w:tcW w:w="1760" w:type="dxa"/>
            <w:vAlign w:val="bottom"/>
            <w:gridSpan w:val="7"/>
          </w:tcPr>
          <w:p>
            <w:pPr>
              <w:ind w:left="40"/>
              <w:spacing w:after="0"/>
              <w:rPr>
                <w:sz w:val="20"/>
                <w:szCs w:val="20"/>
                <w:color w:val="auto"/>
              </w:rPr>
            </w:pPr>
            <w:r>
              <w:rPr>
                <w:rFonts w:ascii="Arial" w:cs="Arial" w:eastAsia="Arial" w:hAnsi="Arial"/>
                <w:sz w:val="13"/>
                <w:szCs w:val="13"/>
                <w:b w:val="1"/>
                <w:bCs w:val="1"/>
                <w:color w:val="auto"/>
              </w:rPr>
              <w:t>Except Percentages)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Operating Results</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40" w:type="dxa"/>
            <w:vAlign w:val="bottom"/>
          </w:tcPr>
          <w:p>
            <w:pPr>
              <w:ind w:left="20"/>
              <w:spacing w:after="0"/>
              <w:rPr>
                <w:sz w:val="20"/>
                <w:szCs w:val="20"/>
                <w:color w:val="auto"/>
              </w:rPr>
            </w:pPr>
            <w:r>
              <w:rPr>
                <w:rFonts w:ascii="Arial" w:cs="Arial" w:eastAsia="Arial" w:hAnsi="Arial"/>
                <w:sz w:val="13"/>
                <w:szCs w:val="13"/>
                <w:color w:val="auto"/>
              </w:rPr>
              <w:t>Net service revenues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51,359</w:t>
            </w:r>
          </w:p>
        </w:tc>
        <w:tc>
          <w:tcPr>
            <w:tcW w:w="1160" w:type="dxa"/>
            <w:vAlign w:val="bottom"/>
            <w:gridSpan w:val="5"/>
          </w:tcPr>
          <w:p>
            <w:pPr>
              <w:jc w:val="right"/>
              <w:spacing w:after="0"/>
              <w:rPr>
                <w:sz w:val="20"/>
                <w:szCs w:val="20"/>
                <w:color w:val="auto"/>
              </w:rPr>
            </w:pPr>
            <w:r>
              <w:rPr>
                <w:rFonts w:ascii="Arial" w:cs="Arial" w:eastAsia="Arial" w:hAnsi="Arial"/>
                <w:sz w:val="13"/>
                <w:szCs w:val="13"/>
                <w:color w:val="auto"/>
              </w:rPr>
              <w:t>100.0 % $</w:t>
            </w:r>
          </w:p>
        </w:tc>
        <w:tc>
          <w:tcPr>
            <w:tcW w:w="580" w:type="dxa"/>
            <w:vAlign w:val="bottom"/>
          </w:tcPr>
          <w:p>
            <w:pPr>
              <w:jc w:val="right"/>
              <w:spacing w:after="0"/>
              <w:rPr>
                <w:sz w:val="20"/>
                <w:szCs w:val="20"/>
                <w:color w:val="auto"/>
              </w:rPr>
            </w:pPr>
            <w:r>
              <w:rPr>
                <w:rFonts w:ascii="Arial" w:cs="Arial" w:eastAsia="Arial" w:hAnsi="Arial"/>
                <w:sz w:val="13"/>
                <w:szCs w:val="13"/>
                <w:color w:val="auto"/>
              </w:rPr>
              <w:t>39,095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w w:val="80"/>
              </w:rPr>
              <w:t>% $</w:t>
            </w:r>
          </w:p>
        </w:tc>
        <w:tc>
          <w:tcPr>
            <w:tcW w:w="440" w:type="dxa"/>
            <w:vAlign w:val="bottom"/>
          </w:tcPr>
          <w:p>
            <w:pPr>
              <w:jc w:val="right"/>
              <w:spacing w:after="0"/>
              <w:rPr>
                <w:sz w:val="20"/>
                <w:szCs w:val="20"/>
                <w:color w:val="auto"/>
              </w:rPr>
            </w:pPr>
            <w:r>
              <w:rPr>
                <w:rFonts w:ascii="Arial" w:cs="Arial" w:eastAsia="Arial" w:hAnsi="Arial"/>
                <w:sz w:val="13"/>
                <w:szCs w:val="13"/>
                <w:color w:val="auto"/>
                <w:w w:val="95"/>
              </w:rPr>
              <w:t>12,264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w w:val="92"/>
              </w:rPr>
              <w:t>31.4 %$</w:t>
            </w:r>
          </w:p>
        </w:tc>
        <w:tc>
          <w:tcPr>
            <w:tcW w:w="520" w:type="dxa"/>
            <w:vAlign w:val="bottom"/>
          </w:tcPr>
          <w:p>
            <w:pPr>
              <w:jc w:val="right"/>
              <w:spacing w:after="0"/>
              <w:rPr>
                <w:sz w:val="20"/>
                <w:szCs w:val="20"/>
                <w:color w:val="auto"/>
              </w:rPr>
            </w:pPr>
            <w:r>
              <w:rPr>
                <w:rFonts w:ascii="Arial" w:cs="Arial" w:eastAsia="Arial" w:hAnsi="Arial"/>
                <w:sz w:val="13"/>
                <w:szCs w:val="13"/>
                <w:color w:val="auto"/>
              </w:rPr>
              <w:t>151,160</w:t>
            </w:r>
          </w:p>
        </w:tc>
        <w:tc>
          <w:tcPr>
            <w:tcW w:w="1120" w:type="dxa"/>
            <w:vAlign w:val="bottom"/>
            <w:gridSpan w:val="5"/>
          </w:tcPr>
          <w:p>
            <w:pPr>
              <w:jc w:val="right"/>
              <w:spacing w:after="0"/>
              <w:rPr>
                <w:sz w:val="20"/>
                <w:szCs w:val="20"/>
                <w:color w:val="auto"/>
              </w:rPr>
            </w:pPr>
            <w:r>
              <w:rPr>
                <w:rFonts w:ascii="Arial" w:cs="Arial" w:eastAsia="Arial" w:hAnsi="Arial"/>
                <w:sz w:val="13"/>
                <w:szCs w:val="13"/>
                <w:color w:val="auto"/>
              </w:rPr>
              <w:t>100.0 %$</w:t>
            </w:r>
          </w:p>
        </w:tc>
        <w:tc>
          <w:tcPr>
            <w:tcW w:w="580" w:type="dxa"/>
            <w:vAlign w:val="bottom"/>
          </w:tcPr>
          <w:p>
            <w:pPr>
              <w:jc w:val="right"/>
              <w:spacing w:after="0"/>
              <w:rPr>
                <w:sz w:val="20"/>
                <w:szCs w:val="20"/>
                <w:color w:val="auto"/>
              </w:rPr>
            </w:pPr>
            <w:r>
              <w:rPr>
                <w:rFonts w:ascii="Arial" w:cs="Arial" w:eastAsia="Arial" w:hAnsi="Arial"/>
                <w:sz w:val="13"/>
                <w:szCs w:val="13"/>
                <w:color w:val="auto"/>
              </w:rPr>
              <w:t>112,098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39,062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34.8 %</w:t>
            </w:r>
          </w:p>
        </w:tc>
        <w:tc>
          <w:tcPr>
            <w:tcW w:w="20" w:type="dxa"/>
            <w:vAlign w:val="bottom"/>
          </w:tcPr>
          <w:p>
            <w:pPr>
              <w:spacing w:after="0"/>
              <w:rPr>
                <w:sz w:val="14"/>
                <w:szCs w:val="14"/>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Cost of services revenues</w:t>
            </w: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25,695</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18,992</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48.6</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6,703</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4"/>
              </w:rPr>
              <w:t>35.3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74,659</w:t>
            </w:r>
          </w:p>
        </w:tc>
        <w:tc>
          <w:tcPr>
            <w:tcW w:w="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49.4</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56,500</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18,159</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32.1</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0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25,664</w:t>
            </w: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20,103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5,561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27.7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76,501</w:t>
            </w: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50.6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55,598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20,903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3"/>
              </w:rPr>
              <w:t>General and administrative expenses</w:t>
            </w: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12,550</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24.4</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8,880</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22.7</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3,670</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4"/>
              </w:rPr>
              <w:t>41.3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37,298</w:t>
            </w:r>
          </w:p>
        </w:tc>
        <w:tc>
          <w:tcPr>
            <w:tcW w:w="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26,016</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11,282</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040" w:type="dxa"/>
            <w:vAlign w:val="bottom"/>
          </w:tcPr>
          <w:p>
            <w:pPr>
              <w:ind w:left="20"/>
              <w:spacing w:after="0"/>
              <w:rPr>
                <w:sz w:val="20"/>
                <w:szCs w:val="20"/>
                <w:color w:val="auto"/>
              </w:rPr>
            </w:pPr>
            <w:r>
              <w:rPr>
                <w:rFonts w:ascii="Arial" w:cs="Arial" w:eastAsia="Arial" w:hAnsi="Arial"/>
                <w:sz w:val="13"/>
                <w:szCs w:val="13"/>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13,114</w:t>
            </w:r>
          </w:p>
        </w:tc>
        <w:tc>
          <w:tcPr>
            <w:tcW w:w="1160" w:type="dxa"/>
            <w:vAlign w:val="bottom"/>
            <w:gridSpan w:val="5"/>
          </w:tcPr>
          <w:p>
            <w:pPr>
              <w:jc w:val="right"/>
              <w:spacing w:after="0"/>
              <w:rPr>
                <w:sz w:val="20"/>
                <w:szCs w:val="20"/>
                <w:color w:val="auto"/>
              </w:rPr>
            </w:pPr>
            <w:r>
              <w:rPr>
                <w:rFonts w:ascii="Arial" w:cs="Arial" w:eastAsia="Arial" w:hAnsi="Arial"/>
                <w:sz w:val="13"/>
                <w:szCs w:val="13"/>
                <w:color w:val="auto"/>
              </w:rPr>
              <w:t>25.5 % $</w:t>
            </w:r>
          </w:p>
        </w:tc>
        <w:tc>
          <w:tcPr>
            <w:tcW w:w="580" w:type="dxa"/>
            <w:vAlign w:val="bottom"/>
          </w:tcPr>
          <w:p>
            <w:pPr>
              <w:jc w:val="right"/>
              <w:spacing w:after="0"/>
              <w:rPr>
                <w:sz w:val="20"/>
                <w:szCs w:val="20"/>
                <w:color w:val="auto"/>
              </w:rPr>
            </w:pPr>
            <w:r>
              <w:rPr>
                <w:rFonts w:ascii="Arial" w:cs="Arial" w:eastAsia="Arial" w:hAnsi="Arial"/>
                <w:sz w:val="13"/>
                <w:szCs w:val="13"/>
                <w:color w:val="auto"/>
              </w:rPr>
              <w:t>11,223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28.7</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w w:val="80"/>
              </w:rPr>
              <w:t>% $</w:t>
            </w:r>
          </w:p>
        </w:tc>
        <w:tc>
          <w:tcPr>
            <w:tcW w:w="440" w:type="dxa"/>
            <w:vAlign w:val="bottom"/>
          </w:tcPr>
          <w:p>
            <w:pPr>
              <w:jc w:val="right"/>
              <w:spacing w:after="0"/>
              <w:rPr>
                <w:sz w:val="20"/>
                <w:szCs w:val="20"/>
                <w:color w:val="auto"/>
              </w:rPr>
            </w:pPr>
            <w:r>
              <w:rPr>
                <w:rFonts w:ascii="Arial" w:cs="Arial" w:eastAsia="Arial" w:hAnsi="Arial"/>
                <w:sz w:val="13"/>
                <w:szCs w:val="13"/>
                <w:color w:val="auto"/>
              </w:rPr>
              <w:t>1,891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w w:val="92"/>
              </w:rPr>
              <w:t>16.8 %$</w:t>
            </w:r>
          </w:p>
        </w:tc>
        <w:tc>
          <w:tcPr>
            <w:tcW w:w="520" w:type="dxa"/>
            <w:vAlign w:val="bottom"/>
          </w:tcPr>
          <w:p>
            <w:pPr>
              <w:jc w:val="right"/>
              <w:spacing w:after="0"/>
              <w:rPr>
                <w:sz w:val="20"/>
                <w:szCs w:val="20"/>
                <w:color w:val="auto"/>
              </w:rPr>
            </w:pPr>
            <w:r>
              <w:rPr>
                <w:rFonts w:ascii="Arial" w:cs="Arial" w:eastAsia="Arial" w:hAnsi="Arial"/>
                <w:sz w:val="13"/>
                <w:szCs w:val="13"/>
                <w:color w:val="auto"/>
              </w:rPr>
              <w:t>39,203</w:t>
            </w:r>
          </w:p>
        </w:tc>
        <w:tc>
          <w:tcPr>
            <w:tcW w:w="1120" w:type="dxa"/>
            <w:vAlign w:val="bottom"/>
            <w:gridSpan w:val="5"/>
          </w:tcPr>
          <w:p>
            <w:pPr>
              <w:jc w:val="right"/>
              <w:spacing w:after="0"/>
              <w:rPr>
                <w:sz w:val="20"/>
                <w:szCs w:val="20"/>
                <w:color w:val="auto"/>
              </w:rPr>
            </w:pPr>
            <w:r>
              <w:rPr>
                <w:rFonts w:ascii="Arial" w:cs="Arial" w:eastAsia="Arial" w:hAnsi="Arial"/>
                <w:sz w:val="13"/>
                <w:szCs w:val="13"/>
                <w:color w:val="auto"/>
              </w:rPr>
              <w:t>25.9 %$</w:t>
            </w:r>
          </w:p>
        </w:tc>
        <w:tc>
          <w:tcPr>
            <w:tcW w:w="580" w:type="dxa"/>
            <w:vAlign w:val="bottom"/>
          </w:tcPr>
          <w:p>
            <w:pPr>
              <w:jc w:val="right"/>
              <w:spacing w:after="0"/>
              <w:rPr>
                <w:sz w:val="20"/>
                <w:szCs w:val="20"/>
                <w:color w:val="auto"/>
              </w:rPr>
            </w:pPr>
            <w:r>
              <w:rPr>
                <w:rFonts w:ascii="Arial" w:cs="Arial" w:eastAsia="Arial" w:hAnsi="Arial"/>
                <w:sz w:val="13"/>
                <w:szCs w:val="13"/>
                <w:color w:val="auto"/>
              </w:rPr>
              <w:t>29,582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26.4</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9,621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32.5 %</w:t>
            </w:r>
          </w:p>
        </w:tc>
        <w:tc>
          <w:tcPr>
            <w:tcW w:w="20" w:type="dxa"/>
            <w:vAlign w:val="bottom"/>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4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w w:val="91"/>
              </w:rPr>
              <w:t>Business Metrics (Actual Numbers)</w:t>
            </w: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040" w:type="dxa"/>
            <w:vAlign w:val="bottom"/>
          </w:tcPr>
          <w:p>
            <w:pPr>
              <w:ind w:left="20"/>
              <w:spacing w:after="0"/>
              <w:rPr>
                <w:sz w:val="20"/>
                <w:szCs w:val="20"/>
                <w:color w:val="auto"/>
              </w:rPr>
            </w:pPr>
            <w:r>
              <w:rPr>
                <w:rFonts w:ascii="Arial" w:cs="Arial" w:eastAsia="Arial" w:hAnsi="Arial"/>
                <w:sz w:val="13"/>
                <w:szCs w:val="13"/>
                <w:color w:val="auto"/>
              </w:rPr>
              <w:t>Locations at period end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2040" w:type="dxa"/>
            <w:vAlign w:val="bottom"/>
            <w:shd w:val="clear" w:color="auto" w:fill="CFF0FC"/>
          </w:tcPr>
          <w:p>
            <w:pPr>
              <w:ind w:left="20"/>
              <w:spacing w:after="0" w:line="164" w:lineRule="exact"/>
              <w:rPr>
                <w:sz w:val="20"/>
                <w:szCs w:val="20"/>
                <w:color w:val="auto"/>
              </w:rPr>
            </w:pPr>
            <w:r>
              <w:rPr>
                <w:rFonts w:ascii="Arial" w:cs="Arial" w:eastAsia="Arial" w:hAnsi="Arial"/>
                <w:sz w:val="13"/>
                <w:szCs w:val="13"/>
                <w:color w:val="auto"/>
              </w:rPr>
              <w:t xml:space="preserve">Admissions * </w:t>
            </w:r>
            <w:r>
              <w:rPr>
                <w:rFonts w:ascii="Arial" w:cs="Arial" w:eastAsia="Arial" w:hAnsi="Arial"/>
                <w:sz w:val="16"/>
                <w:szCs w:val="16"/>
                <w:color w:val="auto"/>
                <w:vertAlign w:val="superscript"/>
              </w:rPr>
              <w:t>(1)</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3,182</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8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w w:val="88"/>
              </w:rPr>
              <w:t>24.1 %</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9,778</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35.6 %</w:t>
            </w: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Average daily census * </w:t>
            </w:r>
            <w:r>
              <w:rPr>
                <w:rFonts w:ascii="Arial" w:cs="Arial" w:eastAsia="Arial" w:hAnsi="Arial"/>
                <w:sz w:val="16"/>
                <w:szCs w:val="16"/>
                <w:color w:val="auto"/>
                <w:vertAlign w:val="superscript"/>
              </w:rPr>
              <w:t>(2)</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3,280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2,629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651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24.8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3,304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w w:val="93"/>
              </w:rPr>
              <w:t xml:space="preserve">Average discharge length of stay * </w:t>
            </w:r>
            <w:r>
              <w:rPr>
                <w:rFonts w:ascii="Arial" w:cs="Arial" w:eastAsia="Arial" w:hAnsi="Arial"/>
                <w:sz w:val="16"/>
                <w:szCs w:val="16"/>
                <w:color w:val="auto"/>
                <w:w w:val="93"/>
                <w:vertAlign w:val="superscript"/>
              </w:rPr>
              <w:t>(3)</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(2.1)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Patient days * </w:t>
            </w:r>
            <w:r>
              <w:rPr>
                <w:rFonts w:ascii="Arial" w:cs="Arial" w:eastAsia="Arial" w:hAnsi="Arial"/>
                <w:sz w:val="16"/>
                <w:szCs w:val="16"/>
                <w:color w:val="auto"/>
                <w:vertAlign w:val="superscript"/>
              </w:rPr>
              <w:t>(4)</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301,797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240,692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5"/>
              </w:rPr>
              <w:t>61,105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25.4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880,574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680,600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199,974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rPr>
              <w:t xml:space="preserve">Revenue per patient day * </w:t>
            </w:r>
            <w:r>
              <w:rPr>
                <w:rFonts w:ascii="Arial" w:cs="Arial" w:eastAsia="Arial" w:hAnsi="Arial"/>
                <w:sz w:val="16"/>
                <w:szCs w:val="16"/>
                <w:color w:val="auto"/>
                <w:vertAlign w:val="superscript"/>
              </w:rPr>
              <w:t>(5)</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170.18</w:t>
            </w:r>
          </w:p>
        </w:tc>
        <w:tc>
          <w:tcPr>
            <w:tcW w:w="116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162.43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4.8 % $</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171.66</w:t>
            </w:r>
          </w:p>
        </w:tc>
        <w:tc>
          <w:tcPr>
            <w:tcW w:w="1120" w:type="dxa"/>
            <w:vAlign w:val="bottom"/>
            <w:gridSpan w:val="5"/>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164.71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4.2 %</w:t>
            </w:r>
          </w:p>
        </w:tc>
        <w:tc>
          <w:tcPr>
            <w:tcW w:w="20" w:type="dxa"/>
            <w:vAlign w:val="bottom"/>
          </w:tcPr>
          <w:p>
            <w:pPr>
              <w:spacing w:after="0"/>
              <w:rPr>
                <w:sz w:val="14"/>
                <w:szCs w:val="14"/>
                <w:color w:val="auto"/>
              </w:rPr>
            </w:pPr>
          </w:p>
        </w:tc>
      </w:tr>
      <w:tr>
        <w:trPr>
          <w:trHeight w:val="161"/>
        </w:trPr>
        <w:tc>
          <w:tcPr>
            <w:tcW w:w="2040" w:type="dxa"/>
            <w:vAlign w:val="bottom"/>
          </w:tcPr>
          <w:p>
            <w:pPr>
              <w:ind w:left="20"/>
              <w:spacing w:after="0"/>
              <w:rPr>
                <w:sz w:val="20"/>
                <w:szCs w:val="20"/>
                <w:color w:val="auto"/>
              </w:rPr>
            </w:pPr>
            <w:r>
              <w:rPr>
                <w:rFonts w:ascii="Arial" w:cs="Arial" w:eastAsia="Arial" w:hAnsi="Arial"/>
                <w:sz w:val="13"/>
                <w:szCs w:val="13"/>
                <w:color w:val="auto"/>
              </w:rPr>
              <w:t>Organic growth</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2040" w:type="dxa"/>
            <w:vAlign w:val="bottom"/>
            <w:shd w:val="clear" w:color="auto" w:fill="CFF0FC"/>
          </w:tcPr>
          <w:p>
            <w:pPr>
              <w:ind w:left="120"/>
              <w:spacing w:after="0" w:line="163" w:lineRule="exact"/>
              <w:rPr>
                <w:sz w:val="20"/>
                <w:szCs w:val="20"/>
                <w:color w:val="auto"/>
              </w:rPr>
            </w:pPr>
            <w:r>
              <w:rPr>
                <w:rFonts w:ascii="Arial" w:cs="Arial" w:eastAsia="Arial" w:hAnsi="Arial"/>
                <w:sz w:val="13"/>
                <w:szCs w:val="13"/>
                <w:color w:val="auto"/>
              </w:rPr>
              <w:t xml:space="preserve">- Revenue * </w:t>
            </w:r>
            <w:r>
              <w:rPr>
                <w:rFonts w:ascii="Arial" w:cs="Arial" w:eastAsia="Arial" w:hAnsi="Arial"/>
                <w:sz w:val="16"/>
                <w:szCs w:val="16"/>
                <w:color w:val="auto"/>
                <w:vertAlign w:val="superscript"/>
              </w:rPr>
              <w:t>(6)</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(4.8) %</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920" w:type="dxa"/>
            <w:vAlign w:val="bottom"/>
            <w:gridSpan w:val="3"/>
            <w:shd w:val="clear" w:color="auto" w:fill="CFF0FC"/>
          </w:tcPr>
          <w:p>
            <w:pPr>
              <w:jc w:val="right"/>
              <w:ind w:right="698"/>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(7.2)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18"/>
        </w:trPr>
        <w:tc>
          <w:tcPr>
            <w:tcW w:w="2040" w:type="dxa"/>
            <w:vAlign w:val="bottom"/>
          </w:tcPr>
          <w:p>
            <w:pPr>
              <w:ind w:left="120"/>
              <w:spacing w:after="0"/>
              <w:rPr>
                <w:sz w:val="20"/>
                <w:szCs w:val="20"/>
                <w:color w:val="auto"/>
              </w:rPr>
            </w:pPr>
            <w:r>
              <w:rPr>
                <w:rFonts w:ascii="Arial" w:cs="Arial" w:eastAsia="Arial" w:hAnsi="Arial"/>
                <w:sz w:val="13"/>
                <w:szCs w:val="13"/>
                <w:color w:val="auto"/>
              </w:rPr>
              <w:t xml:space="preserve">- Average daily census * </w:t>
            </w:r>
            <w:r>
              <w:rPr>
                <w:rFonts w:ascii="Arial" w:cs="Arial" w:eastAsia="Arial" w:hAnsi="Arial"/>
                <w:sz w:val="16"/>
                <w:szCs w:val="16"/>
                <w:color w:val="auto"/>
                <w:vertAlign w:val="superscript"/>
              </w:rPr>
              <w:t>(6)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(7.6)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5.0</w:t>
            </w:r>
          </w:p>
        </w:tc>
        <w:tc>
          <w:tcPr>
            <w:tcW w:w="920" w:type="dxa"/>
            <w:vAlign w:val="bottom"/>
            <w:gridSpan w:val="3"/>
          </w:tcPr>
          <w:p>
            <w:pPr>
              <w:jc w:val="right"/>
              <w:ind w:right="69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(24.6) %</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-1414780</wp:posOffset>
            </wp:positionV>
            <wp:extent cx="76835" cy="1117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-1414780</wp:posOffset>
            </wp:positionV>
            <wp:extent cx="76835" cy="1117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-1414780</wp:posOffset>
            </wp:positionV>
            <wp:extent cx="76835" cy="1117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-1414780</wp:posOffset>
            </wp:positionV>
            <wp:extent cx="77470" cy="1117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-1414780</wp:posOffset>
            </wp:positionV>
            <wp:extent cx="68580" cy="1117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-1414780</wp:posOffset>
            </wp:positionV>
            <wp:extent cx="68580" cy="1117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-1414780</wp:posOffset>
            </wp:positionV>
            <wp:extent cx="68580" cy="1117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-1414780</wp:posOffset>
            </wp:positionV>
            <wp:extent cx="68580" cy="1117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-1414780</wp:posOffset>
            </wp:positionV>
            <wp:extent cx="68580" cy="1117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-1414780</wp:posOffset>
            </wp:positionV>
            <wp:extent cx="68580" cy="1117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-1414780</wp:posOffset>
            </wp:positionV>
            <wp:extent cx="68580" cy="1117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-1414780</wp:posOffset>
            </wp:positionV>
            <wp:extent cx="68580" cy="1117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-1200785</wp:posOffset>
            </wp:positionV>
            <wp:extent cx="76835" cy="1371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-1200785</wp:posOffset>
            </wp:positionV>
            <wp:extent cx="76835" cy="1371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-1200785</wp:posOffset>
            </wp:positionV>
            <wp:extent cx="76835" cy="1371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-1200785</wp:posOffset>
            </wp:positionV>
            <wp:extent cx="77470" cy="1371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-1200785</wp:posOffset>
            </wp:positionV>
            <wp:extent cx="68580" cy="1371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-1200785</wp:posOffset>
            </wp:positionV>
            <wp:extent cx="68580" cy="1371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-1200785</wp:posOffset>
            </wp:positionV>
            <wp:extent cx="68580"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-1200785</wp:posOffset>
            </wp:positionV>
            <wp:extent cx="6858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-1200785</wp:posOffset>
            </wp:positionV>
            <wp:extent cx="68580" cy="1371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-1200785</wp:posOffset>
            </wp:positionV>
            <wp:extent cx="68580" cy="1371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-1200785</wp:posOffset>
            </wp:positionV>
            <wp:extent cx="68580" cy="1371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-1200785</wp:posOffset>
            </wp:positionV>
            <wp:extent cx="68580" cy="1371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1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72" w:lineRule="exact"/>
        <w:rPr>
          <w:rFonts w:ascii="Arial" w:cs="Arial" w:eastAsia="Arial" w:hAnsi="Arial"/>
          <w:sz w:val="16"/>
          <w:szCs w:val="16"/>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daily census is total patient days divided by the number of days in the period.</w:t>
      </w:r>
    </w:p>
    <w:p>
      <w:pPr>
        <w:spacing w:after="0" w:line="86" w:lineRule="exact"/>
        <w:rPr>
          <w:rFonts w:ascii="Arial" w:cs="Arial" w:eastAsia="Arial" w:hAnsi="Arial"/>
          <w:sz w:val="16"/>
          <w:szCs w:val="16"/>
          <w:color w:val="auto"/>
        </w:rPr>
      </w:pPr>
    </w:p>
    <w:p>
      <w:pPr>
        <w:ind w:left="520" w:right="300" w:hanging="512"/>
        <w:spacing w:after="0" w:line="275"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spacing w:after="0" w:line="37" w:lineRule="exact"/>
        <w:rPr>
          <w:rFonts w:ascii="Arial" w:cs="Arial" w:eastAsia="Arial" w:hAnsi="Arial"/>
          <w:sz w:val="16"/>
          <w:szCs w:val="16"/>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86" w:lineRule="exact"/>
        <w:rPr>
          <w:rFonts w:ascii="Arial" w:cs="Arial" w:eastAsia="Arial" w:hAnsi="Arial"/>
          <w:sz w:val="16"/>
          <w:szCs w:val="16"/>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72" w:lineRule="exact"/>
        <w:rPr>
          <w:rFonts w:ascii="Arial" w:cs="Arial" w:eastAsia="Arial" w:hAnsi="Arial"/>
          <w:sz w:val="16"/>
          <w:szCs w:val="16"/>
          <w:color w:val="auto"/>
        </w:rPr>
      </w:pPr>
    </w:p>
    <w:p>
      <w:pPr>
        <w:ind w:left="520" w:right="100" w:hanging="512"/>
        <w:spacing w:after="0" w:line="261"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48" w:lineRule="exact"/>
        <w:rPr>
          <w:sz w:val="20"/>
          <w:szCs w:val="20"/>
          <w:color w:val="auto"/>
        </w:rPr>
      </w:pPr>
    </w:p>
    <w:p>
      <w:pPr>
        <w:ind w:right="100" w:firstLine="8"/>
        <w:spacing w:after="0" w:line="289" w:lineRule="auto"/>
        <w:tabs>
          <w:tab w:leader="none" w:pos="121"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The hospice segment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 and continuous home care services, and with the JourneyCare acquisition, expanded into providing general inpatient care services. In our hospice segment, net service revenues from Medicare accounted for 90.6% and 92.7% for the three months ended September 30, 2022 and 2021, respectively, and 90.8% and 93.4% for the nine months ended September 30, 2022 and 2021, respectively. Net service revenues from managed care organizations accounted for 3.5% and 3.9% for each the three months ended September 30, 2022 and September 30, 2021, and 3.6% and 3.9% for the nine months ended September 30, 2022 and 2021, respectively.</w:t>
      </w:r>
    </w:p>
    <w:p>
      <w:pPr>
        <w:spacing w:after="0" w:line="175" w:lineRule="exact"/>
        <w:rPr>
          <w:sz w:val="20"/>
          <w:szCs w:val="20"/>
          <w:color w:val="auto"/>
        </w:rPr>
      </w:pPr>
    </w:p>
    <w:p>
      <w:pPr>
        <w:jc w:val="both"/>
        <w:ind w:right="200" w:firstLine="509"/>
        <w:spacing w:after="0" w:line="256" w:lineRule="auto"/>
        <w:rPr>
          <w:sz w:val="20"/>
          <w:szCs w:val="20"/>
          <w:color w:val="auto"/>
        </w:rPr>
      </w:pPr>
      <w:r>
        <w:rPr>
          <w:rFonts w:ascii="Arial" w:cs="Arial" w:eastAsia="Arial" w:hAnsi="Arial"/>
          <w:sz w:val="18"/>
          <w:szCs w:val="18"/>
          <w:color w:val="auto"/>
        </w:rPr>
        <w:t>Net service revenues increased by $12.3 million and $39.1 for the three and nine months ended September 30, 2022, respectively, compared to the three and nine months ended September 30, 2021 attributed to organic growth and the acquisitions of the operations of JourneyCare on February 1, 2022 and Armada on August 1, 2021.</w:t>
      </w:r>
    </w:p>
    <w:p>
      <w:pPr>
        <w:spacing w:after="0" w:line="175"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Gross profit, expressed as a percentage of net service revenues was 50.0% and 51.4% for the three months ended September 30, 2022 and 2021, respectively, and 50.6% and 49.6%, for the nine months ended September 30, 2022 and 2021, respectively. For the three months ended September 30, 2022, the decrease was mainly attributed to increases in direct employee wages, taxes and benefit costs of 1.3% . For the nine months ended September 30, 2022, the increase was mainly attributed to the decrease in pharmacy related expenses of 1%.</w:t>
      </w:r>
    </w:p>
    <w:p>
      <w:pPr>
        <w:spacing w:after="0" w:line="166"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24.4% and 22.7% for the three months ended September 30, 2022 and 2021, respectively, and 24.7% and 23.2% for the nine months ended September 30, 2022 and 2021, respectively. The increase in general and administrative expenses for the three and nine months ended September 30, 2022, was due to acquisitions that resulted in a $3.0 million and $8.8 million, respectively, increase in administrative employee wages, taxes and benefit costs.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9"/>
          </w:tcPr>
          <w:p>
            <w:pPr>
              <w:jc w:val="right"/>
              <w:ind w:right="37"/>
              <w:spacing w:after="0"/>
              <w:rPr>
                <w:sz w:val="20"/>
                <w:szCs w:val="20"/>
                <w:color w:val="auto"/>
              </w:rPr>
            </w:pPr>
            <w:r>
              <w:rPr>
                <w:rFonts w:ascii="Arial" w:cs="Arial" w:eastAsia="Arial" w:hAnsi="Arial"/>
                <w:sz w:val="13"/>
                <w:szCs w:val="13"/>
                <w:b w:val="1"/>
                <w:bCs w:val="1"/>
                <w:color w:val="auto"/>
                <w:w w:val="99"/>
              </w:rPr>
              <w:t>For the Three Months Ended September 30,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Nine Months Ended September 30,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78"/>
              <w:spacing w:after="0"/>
              <w:rPr>
                <w:sz w:val="20"/>
                <w:szCs w:val="20"/>
                <w:color w:val="auto"/>
              </w:rPr>
            </w:pPr>
            <w:r>
              <w:rPr>
                <w:rFonts w:ascii="Arial" w:cs="Arial" w:eastAsia="Arial" w:hAnsi="Arial"/>
                <w:sz w:val="13"/>
                <w:szCs w:val="13"/>
                <w:b w:val="1"/>
                <w:bCs w:val="1"/>
                <w:color w:val="auto"/>
                <w:w w:val="89"/>
              </w:rPr>
              <w:t>2022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3"/>
                <w:szCs w:val="13"/>
                <w:b w:val="1"/>
                <w:bCs w:val="1"/>
                <w:color w:val="auto"/>
                <w:w w:val="82"/>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83"/>
              </w:rPr>
              <w:t>Change</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3"/>
                <w:szCs w:val="13"/>
                <w:b w:val="1"/>
                <w:bCs w:val="1"/>
                <w:color w:val="auto"/>
                <w:w w:val="89"/>
              </w:rPr>
              <w:t>2022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2"/>
              </w:rPr>
              <w:t>Change</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177"/>
              <w:spacing w:after="0" w:line="135" w:lineRule="exact"/>
              <w:rPr>
                <w:sz w:val="20"/>
                <w:szCs w:val="20"/>
                <w:color w:val="auto"/>
              </w:rPr>
            </w:pPr>
            <w:r>
              <w:rPr>
                <w:rFonts w:ascii="Arial" w:cs="Arial" w:eastAsia="Arial" w:hAnsi="Arial"/>
                <w:sz w:val="13"/>
                <w:szCs w:val="13"/>
                <w:b w:val="1"/>
                <w:bCs w:val="1"/>
                <w:color w:val="auto"/>
                <w:w w:val="83"/>
              </w:rPr>
              <w:t>Segment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37"/>
              <w:spacing w:after="0" w:line="135" w:lineRule="exact"/>
              <w:rPr>
                <w:sz w:val="20"/>
                <w:szCs w:val="20"/>
                <w:color w:val="auto"/>
              </w:rPr>
            </w:pPr>
            <w:r>
              <w:rPr>
                <w:rFonts w:ascii="Arial" w:cs="Arial" w:eastAsia="Arial" w:hAnsi="Arial"/>
                <w:sz w:val="13"/>
                <w:szCs w:val="13"/>
                <w:b w:val="1"/>
                <w:bCs w:val="1"/>
                <w:color w:val="auto"/>
                <w:w w:val="83"/>
              </w:rPr>
              <w:t>Segment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Segment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5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0"/>
                <w:szCs w:val="10"/>
                <w:color w:val="auto"/>
              </w:rPr>
            </w:pPr>
          </w:p>
        </w:tc>
        <w:tc>
          <w:tcPr>
            <w:tcW w:w="1020" w:type="dxa"/>
            <w:vAlign w:val="bottom"/>
            <w:gridSpan w:val="3"/>
          </w:tcPr>
          <w:p>
            <w:pPr>
              <w:jc w:val="center"/>
              <w:ind w:right="177"/>
              <w:spacing w:after="0" w:line="126" w:lineRule="exact"/>
              <w:rPr>
                <w:sz w:val="20"/>
                <w:szCs w:val="20"/>
                <w:color w:val="auto"/>
              </w:rPr>
            </w:pPr>
            <w:r>
              <w:rPr>
                <w:rFonts w:ascii="Arial" w:cs="Arial" w:eastAsia="Arial" w:hAnsi="Arial"/>
                <w:sz w:val="13"/>
                <w:szCs w:val="13"/>
                <w:b w:val="1"/>
                <w:bCs w:val="1"/>
                <w:color w:val="auto"/>
                <w:w w:val="87"/>
              </w:rPr>
              <w:t>Net Service</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Net Service</w:t>
            </w:r>
          </w:p>
        </w:tc>
        <w:tc>
          <w:tcPr>
            <w:tcW w:w="12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3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117"/>
              <w:spacing w:after="0" w:line="126" w:lineRule="exact"/>
              <w:rPr>
                <w:sz w:val="20"/>
                <w:szCs w:val="20"/>
                <w:color w:val="auto"/>
              </w:rPr>
            </w:pPr>
            <w:r>
              <w:rPr>
                <w:rFonts w:ascii="Arial" w:cs="Arial" w:eastAsia="Arial" w:hAnsi="Arial"/>
                <w:sz w:val="13"/>
                <w:szCs w:val="13"/>
                <w:b w:val="1"/>
                <w:bCs w:val="1"/>
                <w:color w:val="auto"/>
                <w:w w:val="84"/>
              </w:rPr>
              <w:t>Net Service</w:t>
            </w:r>
          </w:p>
        </w:tc>
        <w:tc>
          <w:tcPr>
            <w:tcW w:w="5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Net Service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5"/>
              </w:rPr>
              <w:t>Amount</w:t>
            </w:r>
          </w:p>
        </w:tc>
        <w:tc>
          <w:tcPr>
            <w:tcW w:w="10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3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20" w:type="dxa"/>
            <w:vAlign w:val="bottom"/>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(Amounts</w:t>
            </w:r>
          </w:p>
        </w:tc>
        <w:tc>
          <w:tcPr>
            <w:tcW w:w="1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w w:val="74"/>
              </w:rPr>
              <w:t>in Thousands,</w:t>
            </w:r>
          </w:p>
        </w:tc>
        <w:tc>
          <w:tcPr>
            <w:tcW w:w="12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b w:val="1"/>
                <w:bCs w:val="1"/>
                <w:color w:val="auto"/>
                <w:w w:val="82"/>
              </w:rPr>
              <w:t>Except Percentages)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(Amounts</w:t>
            </w: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b w:val="1"/>
                <w:bCs w:val="1"/>
                <w:color w:val="auto"/>
                <w:w w:val="72"/>
              </w:rPr>
              <w:t>in Thousands,</w:t>
            </w:r>
          </w:p>
        </w:tc>
        <w:tc>
          <w:tcPr>
            <w:tcW w:w="100" w:type="dxa"/>
            <w:vAlign w:val="bottom"/>
          </w:tcPr>
          <w:p>
            <w:pPr>
              <w:spacing w:after="0"/>
              <w:rPr>
                <w:sz w:val="14"/>
                <w:szCs w:val="14"/>
                <w:color w:val="auto"/>
              </w:rPr>
            </w:pPr>
          </w:p>
        </w:tc>
        <w:tc>
          <w:tcPr>
            <w:tcW w:w="1760" w:type="dxa"/>
            <w:vAlign w:val="bottom"/>
            <w:gridSpan w:val="7"/>
          </w:tcPr>
          <w:p>
            <w:pPr>
              <w:ind w:left="40"/>
              <w:spacing w:after="0"/>
              <w:rPr>
                <w:sz w:val="20"/>
                <w:szCs w:val="20"/>
                <w:color w:val="auto"/>
              </w:rPr>
            </w:pPr>
            <w:r>
              <w:rPr>
                <w:rFonts w:ascii="Arial" w:cs="Arial" w:eastAsia="Arial" w:hAnsi="Arial"/>
                <w:sz w:val="13"/>
                <w:szCs w:val="13"/>
                <w:b w:val="1"/>
                <w:bCs w:val="1"/>
                <w:color w:val="auto"/>
              </w:rPr>
              <w:t>Except Percentages)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Operating Results</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40" w:type="dxa"/>
            <w:vAlign w:val="bottom"/>
          </w:tcPr>
          <w:p>
            <w:pPr>
              <w:ind w:left="20"/>
              <w:spacing w:after="0"/>
              <w:rPr>
                <w:sz w:val="20"/>
                <w:szCs w:val="20"/>
                <w:color w:val="auto"/>
              </w:rPr>
            </w:pPr>
            <w:r>
              <w:rPr>
                <w:rFonts w:ascii="Arial" w:cs="Arial" w:eastAsia="Arial" w:hAnsi="Arial"/>
                <w:sz w:val="13"/>
                <w:szCs w:val="13"/>
                <w:color w:val="auto"/>
              </w:rPr>
              <w:t>Net service revenues</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9,956</w:t>
            </w:r>
          </w:p>
        </w:tc>
        <w:tc>
          <w:tcPr>
            <w:tcW w:w="1140" w:type="dxa"/>
            <w:vAlign w:val="bottom"/>
            <w:gridSpan w:val="4"/>
          </w:tcPr>
          <w:p>
            <w:pPr>
              <w:jc w:val="right"/>
              <w:spacing w:after="0"/>
              <w:rPr>
                <w:sz w:val="20"/>
                <w:szCs w:val="20"/>
                <w:color w:val="auto"/>
              </w:rPr>
            </w:pPr>
            <w:r>
              <w:rPr>
                <w:rFonts w:ascii="Arial" w:cs="Arial" w:eastAsia="Arial" w:hAnsi="Arial"/>
                <w:sz w:val="13"/>
                <w:szCs w:val="13"/>
                <w:color w:val="auto"/>
              </w:rPr>
              <w:t>100.0 % $</w:t>
            </w:r>
          </w:p>
        </w:tc>
        <w:tc>
          <w:tcPr>
            <w:tcW w:w="560" w:type="dxa"/>
            <w:vAlign w:val="bottom"/>
          </w:tcPr>
          <w:p>
            <w:pPr>
              <w:jc w:val="right"/>
              <w:spacing w:after="0"/>
              <w:rPr>
                <w:sz w:val="20"/>
                <w:szCs w:val="20"/>
                <w:color w:val="auto"/>
              </w:rPr>
            </w:pPr>
            <w:r>
              <w:rPr>
                <w:rFonts w:ascii="Arial" w:cs="Arial" w:eastAsia="Arial" w:hAnsi="Arial"/>
                <w:sz w:val="13"/>
                <w:szCs w:val="13"/>
                <w:color w:val="auto"/>
              </w:rPr>
              <w:t>7,958</w:t>
            </w:r>
          </w:p>
        </w:tc>
        <w:tc>
          <w:tcPr>
            <w:tcW w:w="1220" w:type="dxa"/>
            <w:vAlign w:val="bottom"/>
            <w:gridSpan w:val="5"/>
          </w:tcPr>
          <w:p>
            <w:pPr>
              <w:jc w:val="right"/>
              <w:ind w:right="17"/>
              <w:spacing w:after="0"/>
              <w:rPr>
                <w:sz w:val="20"/>
                <w:szCs w:val="20"/>
                <w:color w:val="auto"/>
              </w:rPr>
            </w:pPr>
            <w:r>
              <w:rPr>
                <w:rFonts w:ascii="Arial" w:cs="Arial" w:eastAsia="Arial" w:hAnsi="Arial"/>
                <w:sz w:val="13"/>
                <w:szCs w:val="13"/>
                <w:color w:val="auto"/>
              </w:rPr>
              <w:t>100.0 % $</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1,998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25.1 %$</w:t>
            </w:r>
          </w:p>
        </w:tc>
        <w:tc>
          <w:tcPr>
            <w:tcW w:w="540" w:type="dxa"/>
            <w:vAlign w:val="bottom"/>
          </w:tcPr>
          <w:p>
            <w:pPr>
              <w:jc w:val="right"/>
              <w:spacing w:after="0"/>
              <w:rPr>
                <w:sz w:val="20"/>
                <w:szCs w:val="20"/>
                <w:color w:val="auto"/>
              </w:rPr>
            </w:pPr>
            <w:r>
              <w:rPr>
                <w:rFonts w:ascii="Arial" w:cs="Arial" w:eastAsia="Arial" w:hAnsi="Arial"/>
                <w:sz w:val="13"/>
                <w:szCs w:val="13"/>
                <w:color w:val="auto"/>
              </w:rPr>
              <w:t>29,768</w:t>
            </w:r>
          </w:p>
        </w:tc>
        <w:tc>
          <w:tcPr>
            <w:tcW w:w="1120" w:type="dxa"/>
            <w:vAlign w:val="bottom"/>
            <w:gridSpan w:val="5"/>
          </w:tcPr>
          <w:p>
            <w:pPr>
              <w:jc w:val="right"/>
              <w:spacing w:after="0"/>
              <w:rPr>
                <w:sz w:val="20"/>
                <w:szCs w:val="20"/>
                <w:color w:val="auto"/>
              </w:rPr>
            </w:pPr>
            <w:r>
              <w:rPr>
                <w:rFonts w:ascii="Arial" w:cs="Arial" w:eastAsia="Arial" w:hAnsi="Arial"/>
                <w:sz w:val="13"/>
                <w:szCs w:val="13"/>
                <w:color w:val="auto"/>
              </w:rPr>
              <w:t>100.0 %$</w:t>
            </w:r>
          </w:p>
        </w:tc>
        <w:tc>
          <w:tcPr>
            <w:tcW w:w="580" w:type="dxa"/>
            <w:vAlign w:val="bottom"/>
          </w:tcPr>
          <w:p>
            <w:pPr>
              <w:jc w:val="right"/>
              <w:spacing w:after="0"/>
              <w:rPr>
                <w:sz w:val="20"/>
                <w:szCs w:val="20"/>
                <w:color w:val="auto"/>
              </w:rPr>
            </w:pPr>
            <w:r>
              <w:rPr>
                <w:rFonts w:ascii="Arial" w:cs="Arial" w:eastAsia="Arial" w:hAnsi="Arial"/>
                <w:sz w:val="13"/>
                <w:szCs w:val="13"/>
                <w:color w:val="auto"/>
              </w:rPr>
              <w:t>17,015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12,753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75.0 %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Cost of services revenues</w:t>
            </w: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7,647</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4,977</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62.5</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8"/>
              </w:rPr>
              <w:t>2,670</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53.6</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21,501</w:t>
            </w:r>
          </w:p>
        </w:tc>
        <w:tc>
          <w:tcPr>
            <w:tcW w:w="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72.2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10,560</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10,941</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8"/>
              </w:rPr>
              <w:t>103.6</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2,309</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23.2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2,981</w:t>
            </w: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37.5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8,267</w:t>
            </w: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27.8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6,455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3"/>
              </w:rPr>
              <w:t>General and administrative expenses</w:t>
            </w: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2,410</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24.2</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1,477</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933</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7,270</w:t>
            </w:r>
          </w:p>
        </w:tc>
        <w:tc>
          <w:tcPr>
            <w:tcW w:w="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24.4</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3,410</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3,860</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8"/>
              </w:rPr>
              <w:t>113.2</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rPr>
                <w:sz w:val="20"/>
                <w:szCs w:val="20"/>
                <w:color w:val="auto"/>
              </w:rPr>
            </w:pPr>
            <w:r>
              <w:rPr>
                <w:rFonts w:ascii="Arial" w:cs="Arial" w:eastAsia="Arial" w:hAnsi="Arial"/>
                <w:sz w:val="13"/>
                <w:szCs w:val="13"/>
                <w:color w:val="auto"/>
              </w:rPr>
              <w:t>Segment operating income</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(101)</w:t>
            </w:r>
          </w:p>
        </w:tc>
        <w:tc>
          <w:tcPr>
            <w:tcW w:w="1140" w:type="dxa"/>
            <w:vAlign w:val="bottom"/>
            <w:gridSpan w:val="4"/>
          </w:tcPr>
          <w:p>
            <w:pPr>
              <w:jc w:val="right"/>
              <w:spacing w:after="0"/>
              <w:rPr>
                <w:sz w:val="20"/>
                <w:szCs w:val="20"/>
                <w:color w:val="auto"/>
              </w:rPr>
            </w:pPr>
            <w:r>
              <w:rPr>
                <w:rFonts w:ascii="Arial" w:cs="Arial" w:eastAsia="Arial" w:hAnsi="Arial"/>
                <w:sz w:val="13"/>
                <w:szCs w:val="13"/>
                <w:color w:val="auto"/>
              </w:rPr>
              <w:t>(1.0) % $</w:t>
            </w:r>
          </w:p>
        </w:tc>
        <w:tc>
          <w:tcPr>
            <w:tcW w:w="560" w:type="dxa"/>
            <w:vAlign w:val="bottom"/>
          </w:tcPr>
          <w:p>
            <w:pPr>
              <w:jc w:val="right"/>
              <w:spacing w:after="0"/>
              <w:rPr>
                <w:sz w:val="20"/>
                <w:szCs w:val="20"/>
                <w:color w:val="auto"/>
              </w:rPr>
            </w:pPr>
            <w:r>
              <w:rPr>
                <w:rFonts w:ascii="Arial" w:cs="Arial" w:eastAsia="Arial" w:hAnsi="Arial"/>
                <w:sz w:val="13"/>
                <w:szCs w:val="13"/>
                <w:color w:val="auto"/>
              </w:rPr>
              <w:t>1,504</w:t>
            </w:r>
          </w:p>
        </w:tc>
        <w:tc>
          <w:tcPr>
            <w:tcW w:w="1220" w:type="dxa"/>
            <w:vAlign w:val="bottom"/>
            <w:gridSpan w:val="5"/>
          </w:tcPr>
          <w:p>
            <w:pPr>
              <w:jc w:val="right"/>
              <w:ind w:right="17"/>
              <w:spacing w:after="0"/>
              <w:rPr>
                <w:sz w:val="20"/>
                <w:szCs w:val="20"/>
                <w:color w:val="auto"/>
              </w:rPr>
            </w:pPr>
            <w:r>
              <w:rPr>
                <w:rFonts w:ascii="Arial" w:cs="Arial" w:eastAsia="Arial" w:hAnsi="Arial"/>
                <w:sz w:val="13"/>
                <w:szCs w:val="13"/>
                <w:color w:val="auto"/>
              </w:rPr>
              <w:t>18.9 % $</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(1,605)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w w:val="87"/>
              </w:rPr>
              <w:t>-106.7 %$</w:t>
            </w:r>
          </w:p>
        </w:tc>
        <w:tc>
          <w:tcPr>
            <w:tcW w:w="540" w:type="dxa"/>
            <w:vAlign w:val="bottom"/>
          </w:tcPr>
          <w:p>
            <w:pPr>
              <w:jc w:val="right"/>
              <w:spacing w:after="0"/>
              <w:rPr>
                <w:sz w:val="20"/>
                <w:szCs w:val="20"/>
                <w:color w:val="auto"/>
              </w:rPr>
            </w:pPr>
            <w:r>
              <w:rPr>
                <w:rFonts w:ascii="Arial" w:cs="Arial" w:eastAsia="Arial" w:hAnsi="Arial"/>
                <w:sz w:val="13"/>
                <w:szCs w:val="13"/>
                <w:color w:val="auto"/>
              </w:rPr>
              <w:t>997</w:t>
            </w:r>
          </w:p>
        </w:tc>
        <w:tc>
          <w:tcPr>
            <w:tcW w:w="1120" w:type="dxa"/>
            <w:vAlign w:val="bottom"/>
            <w:gridSpan w:val="5"/>
          </w:tcPr>
          <w:p>
            <w:pPr>
              <w:jc w:val="right"/>
              <w:spacing w:after="0"/>
              <w:rPr>
                <w:sz w:val="20"/>
                <w:szCs w:val="20"/>
                <w:color w:val="auto"/>
              </w:rPr>
            </w:pPr>
            <w:r>
              <w:rPr>
                <w:rFonts w:ascii="Arial" w:cs="Arial" w:eastAsia="Arial" w:hAnsi="Arial"/>
                <w:sz w:val="13"/>
                <w:szCs w:val="13"/>
                <w:color w:val="auto"/>
              </w:rPr>
              <w:t>3.3 %$</w:t>
            </w:r>
          </w:p>
        </w:tc>
        <w:tc>
          <w:tcPr>
            <w:tcW w:w="580" w:type="dxa"/>
            <w:vAlign w:val="bottom"/>
          </w:tcPr>
          <w:p>
            <w:pPr>
              <w:jc w:val="right"/>
              <w:spacing w:after="0"/>
              <w:rPr>
                <w:sz w:val="20"/>
                <w:szCs w:val="20"/>
                <w:color w:val="auto"/>
              </w:rPr>
            </w:pPr>
            <w:r>
              <w:rPr>
                <w:rFonts w:ascii="Arial" w:cs="Arial" w:eastAsia="Arial" w:hAnsi="Arial"/>
                <w:sz w:val="13"/>
                <w:szCs w:val="13"/>
                <w:color w:val="auto"/>
              </w:rPr>
              <w:t>3,045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17.9</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(2,048)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89"/>
              </w:rPr>
              <w:t>(67.3)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b w:val="1"/>
                <w:bCs w:val="1"/>
                <w:color w:val="auto"/>
                <w:w w:val="91"/>
              </w:rPr>
              <w:t>Business Metrics (Actual Numbers)</w:t>
            </w: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40" w:type="dxa"/>
            <w:vAlign w:val="bottom"/>
          </w:tcPr>
          <w:p>
            <w:pPr>
              <w:ind w:left="20"/>
              <w:spacing w:after="0"/>
              <w:rPr>
                <w:sz w:val="20"/>
                <w:szCs w:val="20"/>
                <w:color w:val="auto"/>
              </w:rPr>
            </w:pPr>
            <w:r>
              <w:rPr>
                <w:rFonts w:ascii="Arial" w:cs="Arial" w:eastAsia="Arial" w:hAnsi="Arial"/>
                <w:sz w:val="13"/>
                <w:szCs w:val="13"/>
                <w:color w:val="auto"/>
              </w:rPr>
              <w:t>Locations at period end</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40" w:type="dxa"/>
            <w:vAlign w:val="bottom"/>
            <w:shd w:val="clear" w:color="auto" w:fill="CFF0FC"/>
          </w:tcPr>
          <w:p>
            <w:pPr>
              <w:ind w:left="20"/>
              <w:spacing w:after="0" w:line="164" w:lineRule="exact"/>
              <w:rPr>
                <w:sz w:val="20"/>
                <w:szCs w:val="20"/>
                <w:color w:val="auto"/>
              </w:rPr>
            </w:pPr>
            <w:r>
              <w:rPr>
                <w:rFonts w:ascii="Arial" w:cs="Arial" w:eastAsia="Arial" w:hAnsi="Arial"/>
                <w:sz w:val="13"/>
                <w:szCs w:val="13"/>
                <w:color w:val="auto"/>
              </w:rPr>
              <w:t xml:space="preserve">New admissions * </w:t>
            </w:r>
            <w:r>
              <w:rPr>
                <w:rFonts w:ascii="Arial" w:cs="Arial" w:eastAsia="Arial" w:hAnsi="Arial"/>
                <w:sz w:val="16"/>
                <w:szCs w:val="16"/>
                <w:color w:val="auto"/>
                <w:vertAlign w:val="superscript"/>
              </w:rPr>
              <w:t>(1)</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3,684</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2,608</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1,076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41.3 %</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10,371</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2"/>
              </w:rPr>
              <w:t>109.0 %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Recertifications * </w:t>
            </w:r>
            <w:r>
              <w:rPr>
                <w:rFonts w:ascii="Arial" w:cs="Arial" w:eastAsia="Arial" w:hAnsi="Arial"/>
                <w:sz w:val="16"/>
                <w:szCs w:val="16"/>
                <w:color w:val="auto"/>
                <w:vertAlign w:val="superscript"/>
              </w:rPr>
              <w:t>(2)</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1,482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1,081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2,476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69.9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Arial" w:cs="Arial" w:eastAsia="Arial" w:hAnsi="Arial"/>
                <w:sz w:val="13"/>
                <w:szCs w:val="13"/>
                <w:color w:val="auto"/>
              </w:rPr>
              <w:t xml:space="preserve">Total volume * </w:t>
            </w:r>
            <w:r>
              <w:rPr>
                <w:rFonts w:ascii="Arial" w:cs="Arial" w:eastAsia="Arial" w:hAnsi="Arial"/>
                <w:sz w:val="16"/>
                <w:szCs w:val="16"/>
                <w:color w:val="auto"/>
                <w:vertAlign w:val="superscript"/>
              </w:rPr>
              <w:t>(3)</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5,166</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3,689</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1,477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14,578</w:t>
            </w: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7,438</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3"/>
                <w:szCs w:val="13"/>
                <w:color w:val="auto"/>
              </w:rPr>
              <w:t xml:space="preserve">Visits * </w:t>
            </w:r>
            <w:r>
              <w:rPr>
                <w:rFonts w:ascii="Arial" w:cs="Arial" w:eastAsia="Arial" w:hAnsi="Arial"/>
                <w:sz w:val="16"/>
                <w:szCs w:val="16"/>
                <w:color w:val="auto"/>
                <w:vertAlign w:val="superscript"/>
              </w:rPr>
              <w:t>(4)</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5"/>
              </w:rPr>
              <w:t>71,670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55,963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80"/>
              </w:rPr>
              <w:t>15,707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3"/>
                <w:szCs w:val="13"/>
                <w:color w:val="auto"/>
              </w:rPr>
              <w:t>28.1 %</w:t>
            </w:r>
          </w:p>
        </w:tc>
        <w:tc>
          <w:tcPr>
            <w:tcW w:w="540" w:type="dxa"/>
            <w:vAlign w:val="bottom"/>
          </w:tcPr>
          <w:p>
            <w:pPr>
              <w:jc w:val="right"/>
              <w:spacing w:after="0"/>
              <w:rPr>
                <w:sz w:val="20"/>
                <w:szCs w:val="20"/>
                <w:color w:val="auto"/>
              </w:rPr>
            </w:pPr>
            <w:r>
              <w:rPr>
                <w:rFonts w:ascii="Arial" w:cs="Arial" w:eastAsia="Arial" w:hAnsi="Arial"/>
                <w:sz w:val="13"/>
                <w:szCs w:val="13"/>
                <w:color w:val="auto"/>
              </w:rPr>
              <w:t>205,335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115,210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90,125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78.2 %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Organic growth</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20"/>
              <w:spacing w:after="0" w:line="162" w:lineRule="exact"/>
              <w:rPr>
                <w:sz w:val="20"/>
                <w:szCs w:val="20"/>
                <w:color w:val="auto"/>
              </w:rPr>
            </w:pPr>
            <w:r>
              <w:rPr>
                <w:rFonts w:ascii="Arial" w:cs="Arial" w:eastAsia="Arial" w:hAnsi="Arial"/>
                <w:sz w:val="13"/>
                <w:szCs w:val="13"/>
                <w:color w:val="auto"/>
              </w:rPr>
              <w:t xml:space="preserve">- Revenue * </w:t>
            </w:r>
            <w:r>
              <w:rPr>
                <w:rFonts w:ascii="Arial" w:cs="Arial" w:eastAsia="Arial" w:hAnsi="Arial"/>
                <w:sz w:val="16"/>
                <w:szCs w:val="16"/>
                <w:color w:val="auto"/>
                <w:vertAlign w:val="superscript"/>
              </w:rPr>
              <w:t>(5)</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w:t>
            </w:r>
          </w:p>
        </w:tc>
        <w:tc>
          <w:tcPr>
            <w:tcW w:w="12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24.8</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4"/>
          </w:tcPr>
          <w:p>
            <w:pPr>
              <w:jc w:val="right"/>
              <w:ind w:right="698"/>
              <w:spacing w:after="0"/>
              <w:rPr>
                <w:sz w:val="20"/>
                <w:szCs w:val="20"/>
                <w:color w:val="auto"/>
              </w:rPr>
            </w:pPr>
            <w:r>
              <w:rPr>
                <w:rFonts w:ascii="Arial" w:cs="Arial" w:eastAsia="Arial" w:hAnsi="Arial"/>
                <w:sz w:val="13"/>
                <w:szCs w:val="13"/>
                <w:color w:val="auto"/>
              </w:rPr>
              <w:t>(1.2)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15.9 %</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120"/>
              <w:spacing w:after="0" w:line="162" w:lineRule="exact"/>
              <w:rPr>
                <w:sz w:val="20"/>
                <w:szCs w:val="20"/>
                <w:color w:val="auto"/>
              </w:rPr>
            </w:pPr>
            <w:r>
              <w:rPr>
                <w:rFonts w:ascii="Arial" w:cs="Arial" w:eastAsia="Arial" w:hAnsi="Arial"/>
                <w:sz w:val="13"/>
                <w:szCs w:val="13"/>
                <w:color w:val="auto"/>
              </w:rPr>
              <w:t xml:space="preserve">- Admissions * </w:t>
            </w:r>
            <w:r>
              <w:rPr>
                <w:rFonts w:ascii="Arial" w:cs="Arial" w:eastAsia="Arial" w:hAnsi="Arial"/>
                <w:sz w:val="16"/>
                <w:szCs w:val="16"/>
                <w:color w:val="auto"/>
                <w:vertAlign w:val="superscript"/>
              </w:rPr>
              <w:t>(5)</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w:t>
            </w:r>
          </w:p>
        </w:tc>
        <w:tc>
          <w:tcPr>
            <w:tcW w:w="920" w:type="dxa"/>
            <w:vAlign w:val="bottom"/>
            <w:gridSpan w:val="3"/>
            <w:shd w:val="clear" w:color="auto" w:fill="CFF0FC"/>
          </w:tcPr>
          <w:p>
            <w:pPr>
              <w:jc w:val="right"/>
              <w:ind w:right="698"/>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23.8 %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-1276350</wp:posOffset>
            </wp:positionV>
            <wp:extent cx="76835" cy="1111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-1276350</wp:posOffset>
            </wp:positionV>
            <wp:extent cx="76835" cy="11112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-1276350</wp:posOffset>
            </wp:positionV>
            <wp:extent cx="76835" cy="1111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-1276350</wp:posOffset>
            </wp:positionV>
            <wp:extent cx="76835" cy="1111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-1276350</wp:posOffset>
            </wp:positionV>
            <wp:extent cx="68580" cy="1111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-1276350</wp:posOffset>
            </wp:positionV>
            <wp:extent cx="68580" cy="1111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-1276350</wp:posOffset>
            </wp:positionV>
            <wp:extent cx="68580" cy="1111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-1276350</wp:posOffset>
            </wp:positionV>
            <wp:extent cx="68580" cy="1111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-1276350</wp:posOffset>
            </wp:positionV>
            <wp:extent cx="68580" cy="1111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-1276350</wp:posOffset>
            </wp:positionV>
            <wp:extent cx="68580" cy="11112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-1276350</wp:posOffset>
            </wp:positionV>
            <wp:extent cx="68580" cy="11112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111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-1062355</wp:posOffset>
            </wp:positionV>
            <wp:extent cx="76835" cy="1371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-1062355</wp:posOffset>
            </wp:positionV>
            <wp:extent cx="76835" cy="1371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-1062355</wp:posOffset>
            </wp:positionV>
            <wp:extent cx="76835" cy="1371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-1062355</wp:posOffset>
            </wp:positionV>
            <wp:extent cx="76835" cy="1371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-1062355</wp:posOffset>
            </wp:positionV>
            <wp:extent cx="68580" cy="1371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-1062355</wp:posOffset>
            </wp:positionV>
            <wp:extent cx="68580"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-1062355</wp:posOffset>
            </wp:positionV>
            <wp:extent cx="68580"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-1062355</wp:posOffset>
            </wp:positionV>
            <wp:extent cx="68580"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-1062355</wp:posOffset>
            </wp:positionV>
            <wp:extent cx="68580" cy="1371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-1062355</wp:posOffset>
            </wp:positionV>
            <wp:extent cx="68580"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8580" cy="1371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3716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59"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86" w:lineRule="exact"/>
        <w:rPr>
          <w:rFonts w:ascii="Arial" w:cs="Arial" w:eastAsia="Arial" w:hAnsi="Arial"/>
          <w:sz w:val="16"/>
          <w:szCs w:val="16"/>
          <w:color w:val="auto"/>
        </w:rPr>
      </w:pPr>
    </w:p>
    <w:p>
      <w:pPr>
        <w:ind w:left="520" w:right="140" w:hanging="512"/>
        <w:spacing w:after="0" w:line="310" w:lineRule="auto"/>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13" w:lineRule="exact"/>
        <w:rPr>
          <w:rFonts w:ascii="Arial" w:cs="Arial" w:eastAsia="Arial" w:hAnsi="Arial"/>
          <w:sz w:val="15"/>
          <w:szCs w:val="15"/>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72" w:lineRule="exact"/>
        <w:rPr>
          <w:rFonts w:ascii="Arial" w:cs="Arial" w:eastAsia="Arial" w:hAnsi="Arial"/>
          <w:sz w:val="16"/>
          <w:szCs w:val="16"/>
          <w:color w:val="auto"/>
        </w:rPr>
      </w:pPr>
    </w:p>
    <w:p>
      <w:pPr>
        <w:ind w:left="520" w:hanging="512"/>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86" w:lineRule="exact"/>
        <w:rPr>
          <w:rFonts w:ascii="Arial" w:cs="Arial" w:eastAsia="Arial" w:hAnsi="Arial"/>
          <w:sz w:val="16"/>
          <w:szCs w:val="16"/>
          <w:color w:val="auto"/>
        </w:rPr>
      </w:pPr>
    </w:p>
    <w:p>
      <w:pPr>
        <w:ind w:left="520" w:right="280" w:hanging="512"/>
        <w:spacing w:after="0" w:line="261"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75" w:lineRule="exact"/>
        <w:rPr>
          <w:sz w:val="20"/>
          <w:szCs w:val="20"/>
          <w:color w:val="auto"/>
        </w:rPr>
      </w:pPr>
    </w:p>
    <w:p>
      <w:pPr>
        <w:jc w:val="both"/>
        <w:ind w:right="420" w:firstLine="8"/>
        <w:spacing w:after="0" w:line="277" w:lineRule="auto"/>
        <w:tabs>
          <w:tab w:leader="none" w:pos="121"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9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20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home health segment generates net service revenues by providing home health services on a short-term, intermittent or episodic basis to individuals, generally to treat an illness or injury. Net service revenues from Medicare accounted for 73.5% and 80.1%, managed care organizations accounted for 20.1% and 15.3% and other accounted for 6.4% and 4.6% for the three months ended September 30, 2022 and 2021, respectively. Net service revenues from Medicare accounted for 73.0% and 80.5%, managed care organizations accounted for 20.7% and 16.7% and other accounted for 6.3% and 2.8% for the nine months ended September 30, 2022 and 2021,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8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Net service revenues increased by $2.0 million and $12.7 million for the three and nine months ended September 30, 2022, respectively, compared to the three and nine months ended September 30, 2021. Total visits increased for the three months and nine months ended September 30, 2022, mainly attributed to the acquisition of Armada on August 1, 2021 and Summit on October 1, 2021.</w:t>
      </w:r>
    </w:p>
    <w:p>
      <w:pPr>
        <w:spacing w:after="0" w:line="18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Gross profit, expressed as a percentage of net service revenues was 23.2% and 37.5% for the three months ended September 30, 2022 and 2021, respectively, and 27.8% and 37.9%, for the nine months ended September 30, 2022 and 2021, respectively. For the three and nine months ended September 30, 2022, the decrease was primarily due to an increase in direct employee wages, taxes and benefit costs of 13.6% and 9.2%, respectively, as a percentage of net service revenues.</w:t>
      </w:r>
    </w:p>
    <w:p>
      <w:pPr>
        <w:spacing w:after="0" w:line="188"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The home health segment’s general and administrative expenses primarily consist of administrative employee wages, taxes and benefit costs, rent, information technology and office expenses. General and administrative expenses, expressed as a percentage of net service revenues was 24.2% and 18.6% for the three months ended September 30, 2022 and 2021, respectively, and 24.4% and 20.0% for the nine months ended September 30, 2022 and 2021, respectively. The increase in general and administrative expenses was primarily due to acquisitions that resulted in a $0.8 million and $3.2 million increase in administrative employee wages, taxes and benefit costs for the three and nine months ended September 30,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auto"/>
        </w:rPr>
        <w:t>Our primary sources of liquidity are cash on hand and cash from operations and borrowings under our credit facility. At September 30, 2022 and December 31, 2021, we had cash balances of $105.6 million and $168.9 million, respectively. At September 30, 2022, we had a $600.0 million revolving credit facility and a $125.0 million incremental loan facility, which may be for term loans or an increase to the revolving loan commitments. The maturity of this credit facility is July 30, 2026.</w:t>
      </w:r>
    </w:p>
    <w:p>
      <w:pPr>
        <w:spacing w:after="0" w:line="181" w:lineRule="exact"/>
        <w:rPr>
          <w:sz w:val="20"/>
          <w:szCs w:val="20"/>
          <w:color w:val="auto"/>
        </w:rPr>
      </w:pPr>
    </w:p>
    <w:p>
      <w:pPr>
        <w:ind w:right="200" w:firstLine="509"/>
        <w:spacing w:after="0" w:line="299" w:lineRule="auto"/>
        <w:rPr>
          <w:sz w:val="20"/>
          <w:szCs w:val="20"/>
          <w:color w:val="auto"/>
        </w:rPr>
      </w:pPr>
      <w:r>
        <w:rPr>
          <w:rFonts w:ascii="Arial" w:cs="Arial" w:eastAsia="Arial" w:hAnsi="Arial"/>
          <w:sz w:val="16"/>
          <w:szCs w:val="16"/>
          <w:color w:val="auto"/>
        </w:rPr>
        <w:t>During the nine months ended September 30, 2022, we (i) drew $47.0 million under our revolving credit facility to fund, in part, the JourneyCare and Apple Home acquisitions (ii) repaid $105.0 million under our revolving credit facility. As of September 30, 2022, we had a total of $166.9 million in</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revolving loans, with an interest rate of 5.11% outstanding on its credit facility and after giving effect to the amount drawn on our credit facility, approximately $8.1 million of outstanding letters of credit and borrowing limits based on an advance multiple of adjusted EBITDA (as defined in the Credit Agreement), we had $375.5 million of capacity and $200.5 million available for borrowing under our credit facility. At December 31, 2021, we had a total of $224.9 million revolving credit loans, with an interest rate of 2.10%, outstanding on our credit facility.</w:t>
      </w:r>
    </w:p>
    <w:p>
      <w:pPr>
        <w:spacing w:after="0" w:line="183"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credit facility requires us to maintain a total net leverage ratio not exceeding 3.75:1.00. At September 30, 2022,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 xml:space="preserve">See Note 8 to the Notes to Condensed Consolidated Financial Statements, </w:t>
      </w:r>
      <w:r>
        <w:rPr>
          <w:rFonts w:ascii="Arial" w:cs="Arial" w:eastAsia="Arial" w:hAnsi="Arial"/>
          <w:sz w:val="17"/>
          <w:szCs w:val="17"/>
          <w:i w:val="1"/>
          <w:iCs w:val="1"/>
          <w:color w:val="auto"/>
        </w:rPr>
        <w:t>Long-Term Debt</w:t>
      </w:r>
      <w:r>
        <w:rPr>
          <w:rFonts w:ascii="Arial" w:cs="Arial" w:eastAsia="Arial" w:hAnsi="Arial"/>
          <w:sz w:val="17"/>
          <w:szCs w:val="17"/>
          <w:color w:val="auto"/>
        </w:rPr>
        <w:t>, for additional details of our long-term debt.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January 11, 2023, but HHS has indicated it will provide states with 60 days’ notice prior to termination of the declaration.</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Provider Relief Fund</w:t>
      </w:r>
    </w:p>
    <w:p>
      <w:pPr>
        <w:spacing w:after="0" w:line="10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November 2020, the Company received grants in an aggregate principal amount of $13.7 million from the Provider Relief Fund, and fully utilized these funds as of December 31, 2021, including $0.4 million and $11.7 million during the three and nine months ended September 30, 2021, for healthcare related expenses, including retention payments, attributable to COVID-19 that were unreimbursed by other sources. We were required to properly and fully document the use of such funds in reports to HHS, and we have submitted the required reports.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Payroll tax deferral</w:t>
      </w:r>
    </w:p>
    <w:p>
      <w:pPr>
        <w:spacing w:after="0" w:line="104"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The CARES Act allowed for the deferral of the employer portion of Social Security payroll taxes through December 31, 2020. As of September 30, 2022 and December 31, 2021, the deferred portion of employer Social Security payroll taxes was $4.1 million, which is included within Government stimulus advances on the Company’s Unaudited Condensed Consolidated Balance Sheets. The payroll tax deferral requires that the remaining deferred payroll taxes be paid by December 31, 2022.</w:t>
      </w:r>
    </w:p>
    <w:p>
      <w:pPr>
        <w:spacing w:after="0" w:line="28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ARPA Spending Plans</w:t>
      </w:r>
    </w:p>
    <w:p>
      <w:pPr>
        <w:spacing w:after="0" w:line="11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ARPA, which became law on March 11, 2021, provided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187"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 During the nine months ended September 30, 2022, the Company received state funding provided by the ARPA in an aggregate amount of $22.4 million. The Company recorded revenue of $1.7 million and related cost of service revenues of $1.3 million for certain states that met the revenue recognition criteria. The Company deferred the remaining $20.7 million, which was received from states with specific spending plans and reporting requirements. The Company utilized $3.2 million and $3.6 million of these funds during the three and nine months ended September 30, 2022, primarily for caregivers and adding support to recruiting and retention efforts, included as a reduction of cost of service revenues in the Company’s Unaudited Condensed Consolidated Statements of Income. As of September 30, 2022, the deferred portion of ARPA funding was $17.0 million, which is included within Government stimulus advances on the Company’s Unaudited Condensed Consolidated Balance Sheets.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Medicare sequester</w:t>
      </w:r>
    </w:p>
    <w:p>
      <w:pPr>
        <w:spacing w:after="0" w:line="104" w:lineRule="exact"/>
        <w:rPr>
          <w:sz w:val="20"/>
          <w:szCs w:val="20"/>
          <w:color w:val="auto"/>
        </w:rPr>
      </w:pPr>
    </w:p>
    <w:p>
      <w:pPr>
        <w:ind w:right="340" w:firstLine="509"/>
        <w:spacing w:after="0" w:line="245" w:lineRule="auto"/>
        <w:rPr>
          <w:sz w:val="20"/>
          <w:szCs w:val="20"/>
          <w:color w:val="auto"/>
        </w:rPr>
      </w:pPr>
      <w:r>
        <w:rPr>
          <w:rFonts w:ascii="Arial" w:cs="Arial" w:eastAsia="Arial" w:hAnsi="Arial"/>
          <w:sz w:val="18"/>
          <w:szCs w:val="18"/>
          <w:color w:val="auto"/>
        </w:rPr>
        <w:t>The CARES Act and related legislation temporarily lifted the Medicare sequester that would have otherwise reduced payments to Medicare providers by 2% as required by the Budget Control Act of 2011, from May 1, 2020 through December 31, 2021. Congress further delayed these sequestration cuts through March 31, 2022, and reduced the sequestration adjustment to 1% from April 1 through June 30, 2022. The full 2% reduction resumed July 1, 2022. These sequestration cuts have been extended through 2030, with the reductions for 2030 set to increase to 2.25% for the first six months and to 3% for the second six months.</w:t>
      </w:r>
    </w:p>
    <w:p>
      <w:pPr>
        <w:spacing w:after="0" w:line="186"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In our hospice segment, Medicare sequester relief resulted in an increase in net service revenues of $0.0 million and $0.7 million for the three months ended September 30, 2022 and 2021, respectively, and $1.4 million and $2.1 million for each of the nine months ended September 30, 2022 and 2021. In our home health segment, Medicare sequester relief resulted in an increase in net service revenues of $0.0 million and $0.1 million for each of the three months ended September 30, 2022 and 2021,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ind w:right="20" w:firstLine="509"/>
        <w:spacing w:after="0" w:line="290" w:lineRule="auto"/>
        <w:rPr>
          <w:sz w:val="20"/>
          <w:szCs w:val="20"/>
          <w:color w:val="auto"/>
        </w:rPr>
      </w:pPr>
      <w:r>
        <w:rPr>
          <w:rFonts w:ascii="Arial" w:cs="Arial" w:eastAsia="Arial" w:hAnsi="Arial"/>
          <w:sz w:val="16"/>
          <w:szCs w:val="16"/>
          <w:color w:val="auto"/>
        </w:rPr>
        <w:t>The ARPA increases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2023. We cannot currently determine if, or to what extent, our business, results of operations, financial condition or liquidity will ultimately be impacted by mandated sequestration triggers under the PAYGO Act, or if or when the mandated sequestration will occur.</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See Note 7 to the Notes to Condensed Consolidated Financial Statements, </w:t>
      </w:r>
      <w:r>
        <w:rPr>
          <w:rFonts w:ascii="Arial" w:cs="Arial" w:eastAsia="Arial" w:hAnsi="Arial"/>
          <w:sz w:val="16"/>
          <w:szCs w:val="16"/>
          <w:i w:val="1"/>
          <w:iCs w:val="1"/>
          <w:color w:val="auto"/>
        </w:rPr>
        <w:t>COVID-19 Pandemic</w:t>
      </w:r>
      <w:r>
        <w:rPr>
          <w:rFonts w:ascii="Arial" w:cs="Arial" w:eastAsia="Arial" w:hAnsi="Arial"/>
          <w:sz w:val="16"/>
          <w:szCs w:val="16"/>
          <w:color w:val="auto"/>
        </w:rPr>
        <w:t>, for additional details of the COVID-19 pandemic.</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changes in our cash flows: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09"/>
        </w:trPr>
        <w:tc>
          <w:tcPr>
            <w:tcW w:w="77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8"/>
                <w:szCs w:val="18"/>
                <w:color w:val="auto"/>
              </w:rPr>
            </w:pPr>
          </w:p>
        </w:tc>
      </w:tr>
      <w:tr>
        <w:trPr>
          <w:trHeight w:val="169"/>
        </w:trPr>
        <w:tc>
          <w:tcPr>
            <w:tcW w:w="7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(Amounts</w:t>
            </w:r>
          </w:p>
        </w:tc>
        <w:tc>
          <w:tcPr>
            <w:tcW w:w="280" w:type="dxa"/>
            <w:vAlign w:val="bottom"/>
          </w:tcPr>
          <w:p>
            <w:pPr>
              <w:jc w:val="right"/>
              <w:ind w:right="68"/>
              <w:spacing w:after="0"/>
              <w:rPr>
                <w:sz w:val="20"/>
                <w:szCs w:val="20"/>
                <w:color w:val="auto"/>
              </w:rPr>
            </w:pPr>
            <w:r>
              <w:rPr>
                <w:rFonts w:ascii="Arial" w:cs="Arial" w:eastAsia="Arial" w:hAnsi="Arial"/>
                <w:sz w:val="14"/>
                <w:szCs w:val="14"/>
                <w:b w:val="1"/>
                <w:bCs w:val="1"/>
                <w:color w:val="auto"/>
                <w:w w:val="96"/>
              </w:rPr>
              <w:t>in</w:t>
            </w:r>
          </w:p>
        </w:tc>
        <w:tc>
          <w:tcPr>
            <w:tcW w:w="620" w:type="dxa"/>
            <w:vAlign w:val="bottom"/>
          </w:tcPr>
          <w:p>
            <w:pPr>
              <w:spacing w:after="0"/>
              <w:rPr>
                <w:sz w:val="20"/>
                <w:szCs w:val="20"/>
                <w:color w:val="auto"/>
              </w:rPr>
            </w:pPr>
            <w:r>
              <w:rPr>
                <w:rFonts w:ascii="Arial" w:cs="Arial" w:eastAsia="Arial" w:hAnsi="Arial"/>
                <w:sz w:val="14"/>
                <w:szCs w:val="14"/>
                <w:b w:val="1"/>
                <w:bCs w:val="1"/>
                <w:color w:val="auto"/>
                <w:w w:val="75"/>
              </w:rPr>
              <w:t>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80,818</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8"/>
                <w:szCs w:val="18"/>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w w:val="91"/>
              </w:rPr>
              <w:t>(87,354 )</w:t>
            </w:r>
          </w:p>
        </w:tc>
        <w:tc>
          <w:tcPr>
            <w:tcW w:w="6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(32,433 )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w w:val="91"/>
              </w:rPr>
              <w:t>(56,715 )</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25,447</w:t>
            </w:r>
          </w:p>
        </w:tc>
        <w:tc>
          <w:tcPr>
            <w:tcW w:w="100" w:type="dxa"/>
            <w:vAlign w:val="bottom"/>
            <w:shd w:val="clear" w:color="auto" w:fill="CFF0FC"/>
          </w:tcPr>
          <w:p>
            <w:pPr>
              <w:spacing w:after="0"/>
              <w:rPr>
                <w:sz w:val="18"/>
                <w:szCs w:val="18"/>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Nine Months Ended September 30, 2022 Compared to Nine Months Ended September 30, 2021</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Cash flows from operating activities represent the inflow of cash from our payors and the outflow of cash for payroll and payroll taxes, operating expenses, interest and taxes. Net cash provided by operating activities was $80.8 million for the nine months ended September 30, 2022, compared to net cash used in operating activities of $14.3 million for the same period in 2021. The increase in cash provided by operations was primarily due to the timing of receipts on accounts receivable and the timing of government stimulus funds. The changes in accounts receivable were primarily related to the growth in revenue and a decrease in days sales outstanding (“DSO”) during the nine months ended September 30, 2022 compared to 2021, as described below. The related receivables due from the Illinois Department on Aging represented 15.3% and 16.1% of the Company’s net accounts receivable at September 30, 2022 and December 31, 2021, respectively, as discussed below.</w:t>
      </w:r>
    </w:p>
    <w:p>
      <w:pPr>
        <w:spacing w:after="0" w:line="180" w:lineRule="exact"/>
        <w:rPr>
          <w:sz w:val="20"/>
          <w:szCs w:val="20"/>
          <w:color w:val="auto"/>
        </w:rPr>
      </w:pPr>
    </w:p>
    <w:p>
      <w:pPr>
        <w:jc w:val="both"/>
        <w:ind w:right="320" w:firstLine="509"/>
        <w:spacing w:after="0" w:line="256" w:lineRule="auto"/>
        <w:rPr>
          <w:sz w:val="20"/>
          <w:szCs w:val="20"/>
          <w:color w:val="auto"/>
        </w:rPr>
      </w:pPr>
      <w:r>
        <w:rPr>
          <w:rFonts w:ascii="Arial" w:cs="Arial" w:eastAsia="Arial" w:hAnsi="Arial"/>
          <w:sz w:val="18"/>
          <w:szCs w:val="18"/>
          <w:color w:val="auto"/>
        </w:rPr>
        <w:t>Net cash used in investing activities for the nine months ended September 30, 2022, primarily consisted of $87.3 million of net cash used for the JourneyCare acquisition. For the nine months ended September 30, 2022 and 2021, property and equipment purchases, primarily related to our ongoing investments in our technology infrastructure, were $2.8 million and $3.2 million, respectively.</w:t>
      </w:r>
    </w:p>
    <w:p>
      <w:pPr>
        <w:spacing w:after="0" w:line="175" w:lineRule="exact"/>
        <w:rPr>
          <w:sz w:val="20"/>
          <w:szCs w:val="20"/>
          <w:color w:val="auto"/>
        </w:rPr>
      </w:pPr>
    </w:p>
    <w:p>
      <w:pPr>
        <w:jc w:val="both"/>
        <w:ind w:right="200" w:firstLine="509"/>
        <w:spacing w:after="0" w:line="243" w:lineRule="auto"/>
        <w:rPr>
          <w:sz w:val="20"/>
          <w:szCs w:val="20"/>
          <w:color w:val="auto"/>
        </w:rPr>
      </w:pPr>
      <w:r>
        <w:rPr>
          <w:rFonts w:ascii="Arial" w:cs="Arial" w:eastAsia="Arial" w:hAnsi="Arial"/>
          <w:sz w:val="18"/>
          <w:szCs w:val="18"/>
          <w:color w:val="auto"/>
        </w:rPr>
        <w:t>Net cash used in financing activities for the nine months ended September 30, 2022, primarily related to a $105.0 million payment on the revolver portion of our credit facility, partially offset by borrowings of $47.0 million on the revolver portion of our credit facility to fund, in part, the JourneyCare and Apple Home acquisitions. For the nine months ended September 30, 2022 and 2021, net cash provided by financing activities included cash received from the exercise of stock options of $1.3 million and $0.2 million, respectively.</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Outstanding Accounts Receivable</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Gross accounts receivable as of September 30, 2022 and December 31, 2021 were approximately $127.6 million and $138.4 million, respectively. Outstanding accounts receivable, net of allowance for credit losses, decreased by $10.7 million as of September 30, 2022 as compared to December 31, 2021. Accounts receivable for the Illinois Department on Aging increased approximately $0.1 million during the quarter ended September 30, 2022.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74" w:lineRule="exact"/>
        <w:rPr>
          <w:sz w:val="20"/>
          <w:szCs w:val="20"/>
          <w:color w:val="auto"/>
        </w:rPr>
      </w:pPr>
    </w:p>
    <w:p>
      <w:pPr>
        <w:jc w:val="both"/>
        <w:ind w:right="120" w:firstLine="509"/>
        <w:spacing w:after="0" w:line="243" w:lineRule="auto"/>
        <w:rPr>
          <w:sz w:val="20"/>
          <w:szCs w:val="20"/>
          <w:color w:val="auto"/>
        </w:rPr>
      </w:pPr>
      <w:r>
        <w:rPr>
          <w:rFonts w:ascii="Arial" w:cs="Arial" w:eastAsia="Arial" w:hAnsi="Arial"/>
          <w:sz w:val="18"/>
          <w:szCs w:val="18"/>
          <w:color w:val="auto"/>
        </w:rPr>
        <w:t>We calculate our DSO by taking the trade accounts receivable outstanding, net of allowance for credit losses for doubtful accounts, divided by the net service revenues for the last quarter, multiplied by the number of days in that quarter. Our DSOs were 46 days and 54 days at September 30, 2022 and December 31, 2021, respectively. The DSOs for our largest payor, the Illinois Department on Aging, were 35 days and 43 days at September 30, 2022 and December 31, 2021,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we did not have any off-balance sheet guarantees or arrangements with unconsolidated entities.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have been no material changes to our critical accounting policies and estimates previously disclosed under the caption “Management’s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Discussion and Analysis of Financial Condition and Results of Operations — Critical Accounting Policies and Estimates” set forth in Part II, Item 7 of our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period ended December 31, 2021, filed on February 25, 2022.</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2 to the Notes to Condensed Consolidated Financial Statements (Unaudited) for further discussion.</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We are exposed to market risk associated with changes in interest rates on our variable rate long-term debt. As of September 30, 2022, we had outstanding borrowings of approximately $166.9 million on our credit facility, all of such borrowings were subject to variable interest rates. If the variable rates on this debt were 100 basis points higher than the rate applicable to the borrowing during the three and nine month periods ended September 30, 2022, our net income would have decreased by $0.5 million, or $0.03 per diluted share, and $1.6 million, or $0.10 per diluted share, respectively. We do not currently have any derivative or hedging arrangements, or other known exposures, to changes in interest rates.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2022.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6"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September 30,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04" w:lineRule="exact"/>
        <w:rPr>
          <w:sz w:val="20"/>
          <w:szCs w:val="20"/>
          <w:color w:val="auto"/>
        </w:rPr>
      </w:pPr>
    </w:p>
    <w:p>
      <w:pPr>
        <w:jc w:val="both"/>
        <w:ind w:right="200" w:firstLine="509"/>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September 30, 2022 that have materially affected, or are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2021, filed on February 25, 2022.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29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b w:val="1"/>
                <w:bCs w:val="1"/>
                <w:color w:val="0563C1"/>
              </w:rPr>
              <w:t>Table of Contents</w:t>
            </w:r>
          </w:p>
        </w:tc>
        <w:tc>
          <w:tcPr>
            <w:tcW w:w="27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INDEX</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140" w:type="dxa"/>
            <w:vAlign w:val="bottom"/>
            <w:gridSpan w:val="2"/>
            <w:vMerge w:val="restart"/>
          </w:tcPr>
          <w:p>
            <w:pPr>
              <w:jc w:val="center"/>
              <w:ind w:right="1300"/>
              <w:spacing w:after="0"/>
              <w:rPr>
                <w:sz w:val="20"/>
                <w:szCs w:val="20"/>
                <w:color w:val="auto"/>
              </w:rPr>
            </w:pPr>
            <w:r>
              <w:rPr>
                <w:rFonts w:ascii="Arial" w:cs="Arial" w:eastAsia="Arial" w:hAnsi="Arial"/>
                <w:sz w:val="18"/>
                <w:szCs w:val="18"/>
                <w:b w:val="1"/>
                <w:bCs w:val="1"/>
                <w:color w:val="auto"/>
                <w:w w:val="93"/>
              </w:rPr>
              <w:t>Exhibit</w:t>
            </w:r>
          </w:p>
        </w:tc>
        <w:tc>
          <w:tcPr>
            <w:tcW w:w="2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97"/>
              </w:rPr>
              <w:t>Incorporated by Reference</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140" w:type="dxa"/>
            <w:vAlign w:val="bottom"/>
            <w:gridSpan w:val="2"/>
            <w:vMerge w:val="continue"/>
          </w:tcPr>
          <w:p>
            <w:pPr>
              <w:spacing w:after="0"/>
              <w:rPr>
                <w:sz w:val="14"/>
                <w:szCs w:val="14"/>
                <w:color w:val="auto"/>
              </w:rPr>
            </w:pPr>
          </w:p>
        </w:tc>
        <w:tc>
          <w:tcPr>
            <w:tcW w:w="27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6"/>
              </w:rPr>
              <w:t>Exhibit</w:t>
            </w:r>
          </w:p>
        </w:tc>
        <w:tc>
          <w:tcPr>
            <w:tcW w:w="0" w:type="dxa"/>
            <w:vAlign w:val="bottom"/>
          </w:tcPr>
          <w:p>
            <w:pPr>
              <w:spacing w:after="0"/>
              <w:rPr>
                <w:sz w:val="1"/>
                <w:szCs w:val="1"/>
                <w:color w:val="auto"/>
              </w:rPr>
            </w:pPr>
          </w:p>
        </w:tc>
      </w:tr>
      <w:tr>
        <w:trPr>
          <w:trHeight w:val="234"/>
        </w:trPr>
        <w:tc>
          <w:tcPr>
            <w:tcW w:w="2140" w:type="dxa"/>
            <w:vAlign w:val="bottom"/>
            <w:tcBorders>
              <w:bottom w:val="single" w:sz="8" w:color="auto"/>
            </w:tcBorders>
            <w:gridSpan w:val="2"/>
          </w:tcPr>
          <w:p>
            <w:pPr>
              <w:jc w:val="center"/>
              <w:ind w:right="1300"/>
              <w:spacing w:after="0"/>
              <w:rPr>
                <w:sz w:val="20"/>
                <w:szCs w:val="20"/>
                <w:color w:val="auto"/>
              </w:rPr>
            </w:pPr>
            <w:r>
              <w:rPr>
                <w:rFonts w:ascii="Arial" w:cs="Arial" w:eastAsia="Arial" w:hAnsi="Arial"/>
                <w:sz w:val="18"/>
                <w:szCs w:val="18"/>
                <w:b w:val="1"/>
                <w:bCs w:val="1"/>
                <w:color w:val="auto"/>
                <w:w w:val="94"/>
              </w:rPr>
              <w:t>Number</w:t>
            </w:r>
          </w:p>
        </w:tc>
        <w:tc>
          <w:tcPr>
            <w:tcW w:w="274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w w:val="91"/>
              </w:rPr>
              <w:t>Description of Document</w:t>
            </w:r>
          </w:p>
        </w:tc>
        <w:tc>
          <w:tcPr>
            <w:tcW w:w="20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Form</w:t>
            </w: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File No.</w:t>
            </w: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Date Filing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ind w:left="960" w:hanging="636"/>
        <w:spacing w:after="0" w:line="246" w:lineRule="auto"/>
        <w:tabs>
          <w:tab w:leader="none" w:pos="940" w:val="left"/>
        </w:tabs>
        <w:rPr>
          <w:rFonts w:ascii="Arial" w:cs="Arial" w:eastAsia="Arial" w:hAnsi="Arial"/>
          <w:sz w:val="18"/>
          <w:szCs w:val="18"/>
          <w:u w:val="single" w:color="auto"/>
          <w:color w:val="0000FF"/>
        </w:rPr>
      </w:pPr>
      <w:hyperlink r:id="rId526">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526">
        <w:r>
          <w:rPr>
            <w:rFonts w:ascii="Arial" w:cs="Arial" w:eastAsia="Arial" w:hAnsi="Arial"/>
            <w:sz w:val="18"/>
            <w:szCs w:val="18"/>
            <w:u w:val="single" w:color="auto"/>
            <w:color w:val="0000FF"/>
          </w:rPr>
          <w:t>Amended and Restated Certificate of Incorporation of the Company dated as of</w:t>
        </w:r>
      </w:hyperlink>
      <w:r>
        <w:rPr>
          <w:rFonts w:ascii="Arial" w:cs="Arial" w:eastAsia="Arial" w:hAnsi="Arial"/>
          <w:sz w:val="18"/>
          <w:szCs w:val="18"/>
          <w:u w:val="single" w:color="auto"/>
          <w:color w:val="0000FF"/>
        </w:rPr>
        <w:t xml:space="preserve"> </w:t>
      </w:r>
      <w:hyperlink r:id="rId526">
        <w:r>
          <w:rPr>
            <w:rFonts w:ascii="Arial" w:cs="Arial" w:eastAsia="Arial" w:hAnsi="Arial"/>
            <w:sz w:val="18"/>
            <w:szCs w:val="18"/>
            <w:u w:val="single" w:color="auto"/>
            <w:color w:val="0000FF"/>
          </w:rPr>
          <w:t>October 27, 2009.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180975</wp:posOffset>
            </wp:positionH>
            <wp:positionV relativeFrom="paragraph">
              <wp:posOffset>-147955</wp:posOffset>
            </wp:positionV>
            <wp:extent cx="40944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40944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-27940</wp:posOffset>
            </wp:positionV>
            <wp:extent cx="82486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77" w:lineRule="exact"/>
        <w:rPr>
          <w:rFonts w:ascii="Arial" w:cs="Arial" w:eastAsia="Arial" w:hAnsi="Arial"/>
          <w:sz w:val="18"/>
          <w:szCs w:val="18"/>
          <w:u w:val="single" w:color="auto"/>
          <w:color w:val="0000FF"/>
        </w:rPr>
      </w:pPr>
    </w:p>
    <w:p>
      <w:pPr>
        <w:ind w:left="960" w:right="460" w:hanging="658"/>
        <w:spacing w:after="0" w:line="246" w:lineRule="auto"/>
        <w:tabs>
          <w:tab w:leader="none" w:pos="940" w:val="left"/>
        </w:tabs>
        <w:rPr>
          <w:rFonts w:ascii="Arial" w:cs="Arial" w:eastAsia="Arial" w:hAnsi="Arial"/>
          <w:sz w:val="18"/>
          <w:szCs w:val="18"/>
          <w:u w:val="single" w:color="auto"/>
          <w:color w:val="0000FF"/>
        </w:rPr>
      </w:pPr>
      <w:hyperlink r:id="rId529">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529">
        <w:r>
          <w:rPr>
            <w:rFonts w:ascii="Arial" w:cs="Arial" w:eastAsia="Arial" w:hAnsi="Arial"/>
            <w:sz w:val="18"/>
            <w:szCs w:val="18"/>
            <w:u w:val="single" w:color="auto"/>
            <w:color w:val="0000FF"/>
          </w:rPr>
          <w:t>Amended and Restated Bylaws of the Company, as amended by the First</w:t>
        </w:r>
      </w:hyperlink>
      <w:r>
        <w:rPr>
          <w:rFonts w:ascii="Arial" w:cs="Arial" w:eastAsia="Arial" w:hAnsi="Arial"/>
          <w:sz w:val="18"/>
          <w:szCs w:val="18"/>
          <w:u w:val="single" w:color="auto"/>
          <w:color w:val="0000FF"/>
        </w:rPr>
        <w:t xml:space="preserve"> </w:t>
      </w:r>
      <w:hyperlink r:id="rId529">
        <w:r>
          <w:rPr>
            <w:rFonts w:ascii="Arial" w:cs="Arial" w:eastAsia="Arial" w:hAnsi="Arial"/>
            <w:sz w:val="18"/>
            <w:szCs w:val="18"/>
            <w:u w:val="single" w:color="auto"/>
            <w:color w:val="0000FF"/>
          </w:rPr>
          <w:t>Amendment to the Amended and Restated Bylaws.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194945</wp:posOffset>
            </wp:positionH>
            <wp:positionV relativeFrom="paragraph">
              <wp:posOffset>-147955</wp:posOffset>
            </wp:positionV>
            <wp:extent cx="37776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3777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-27940</wp:posOffset>
            </wp:positionV>
            <wp:extent cx="233870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177" w:lineRule="exact"/>
        <w:rPr>
          <w:rFonts w:ascii="Arial" w:cs="Arial" w:eastAsia="Arial" w:hAnsi="Arial"/>
          <w:sz w:val="18"/>
          <w:szCs w:val="18"/>
          <w:u w:val="single" w:color="auto"/>
          <w:color w:val="0000FF"/>
        </w:rPr>
      </w:pPr>
    </w:p>
    <w:p>
      <w:pPr>
        <w:ind w:left="300"/>
        <w:spacing w:after="0"/>
        <w:tabs>
          <w:tab w:leader="none" w:pos="940" w:val="left"/>
        </w:tabs>
        <w:rPr>
          <w:rFonts w:ascii="Arial" w:cs="Arial" w:eastAsia="Arial" w:hAnsi="Arial"/>
          <w:sz w:val="16"/>
          <w:szCs w:val="16"/>
          <w:u w:val="single" w:color="auto"/>
          <w:color w:val="0000FF"/>
        </w:rPr>
      </w:pPr>
      <w:hyperlink r:id="rId532">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532">
        <w:r>
          <w:rPr>
            <w:rFonts w:ascii="Arial" w:cs="Arial" w:eastAsia="Arial" w:hAnsi="Arial"/>
            <w:sz w:val="16"/>
            <w:szCs w:val="16"/>
            <w:u w:val="single" w:color="auto"/>
            <w:color w:val="0000FF"/>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-10160</wp:posOffset>
            </wp:positionV>
            <wp:extent cx="207200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2072005" cy="8255"/>
                    </a:xfrm>
                    <a:prstGeom prst="rect">
                      <a:avLst/>
                    </a:prstGeom>
                    <a:noFill/>
                  </pic:spPr>
                </pic:pic>
              </a:graphicData>
            </a:graphic>
          </wp:anchor>
        </w:drawing>
      </w:r>
    </w:p>
    <w:p>
      <w:pPr>
        <w:spacing w:after="0" w:line="205" w:lineRule="exact"/>
        <w:rPr>
          <w:sz w:val="20"/>
          <w:szCs w:val="20"/>
          <w:color w:val="auto"/>
        </w:rPr>
      </w:pPr>
    </w:p>
    <w:p>
      <w:pPr>
        <w:ind w:left="960" w:right="260" w:hanging="703"/>
        <w:spacing w:after="0" w:line="235" w:lineRule="auto"/>
        <w:tabs>
          <w:tab w:leader="none" w:pos="94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8"/>
          <w:szCs w:val="18"/>
          <w:u w:val="single" w:color="auto"/>
          <w:color w:val="0000FF"/>
        </w:rPr>
        <w:t>Certification of Chief Executive Officer Pursuant to Rule 13a-14(a) of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-264795</wp:posOffset>
            </wp:positionV>
            <wp:extent cx="385572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385572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-144780</wp:posOffset>
            </wp:positionV>
            <wp:extent cx="34874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348742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-24765</wp:posOffset>
            </wp:positionV>
            <wp:extent cx="13328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11/20/2009</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21"/>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89"/>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001-34504</w:t>
            </w: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2"/>
              </w:rPr>
              <w:t>05/9/2013</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27"/>
        </w:trPr>
        <w:tc>
          <w:tcPr>
            <w:tcW w:w="580" w:type="dxa"/>
            <w:vAlign w:val="bottom"/>
          </w:tcPr>
          <w:p>
            <w:pPr>
              <w:jc w:val="center"/>
              <w:ind w:right="130"/>
              <w:spacing w:after="0"/>
              <w:rPr>
                <w:sz w:val="20"/>
                <w:szCs w:val="20"/>
                <w:color w:val="auto"/>
              </w:rPr>
            </w:pPr>
            <w:r>
              <w:rPr>
                <w:rFonts w:ascii="Arial" w:cs="Arial" w:eastAsia="Arial" w:hAnsi="Arial"/>
                <w:sz w:val="18"/>
                <w:szCs w:val="18"/>
                <w:color w:val="auto"/>
                <w:w w:val="85"/>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333-160634</w:t>
            </w: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2"/>
              </w:rPr>
              <w:t>10/2/2009</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994" w:lineRule="exact"/>
        <w:rPr>
          <w:sz w:val="20"/>
          <w:szCs w:val="20"/>
          <w:color w:val="auto"/>
        </w:rPr>
      </w:pPr>
    </w:p>
    <w:p>
      <w:pPr>
        <w:sectPr>
          <w:pgSz w:w="11900" w:h="16838" w:orient="portrait"/>
          <w:cols w:equalWidth="0" w:num="2">
            <w:col w:w="6680" w:space="480"/>
            <w:col w:w="4080"/>
          </w:cols>
          <w:pgMar w:left="320" w:top="108" w:right="339" w:bottom="1440" w:gutter="0" w:footer="0" w:header="0"/>
          <w:type w:val="continuous"/>
        </w:sectPr>
      </w:pPr>
    </w:p>
    <w:tbl>
      <w:tblPr>
        <w:tblLayout w:type="fixed"/>
        <w:tblInd w:w="8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p>
        </w:tc>
        <w:tc>
          <w:tcPr>
            <w:tcW w:w="400" w:type="dxa"/>
            <w:vAlign w:val="bottom"/>
          </w:tcPr>
          <w:p>
            <w:pPr>
              <w:spacing w:after="0"/>
              <w:rPr>
                <w:sz w:val="17"/>
                <w:szCs w:val="17"/>
                <w:color w:val="auto"/>
              </w:rPr>
            </w:pPr>
          </w:p>
        </w:tc>
        <w:tc>
          <w:tcPr>
            <w:tcW w:w="5740" w:type="dxa"/>
            <w:vAlign w:val="bottom"/>
            <w:gridSpan w:val="6"/>
          </w:tcPr>
          <w:p>
            <w:pPr>
              <w:spacing w:after="0"/>
              <w:rPr>
                <w:sz w:val="20"/>
                <w:szCs w:val="20"/>
                <w:color w:val="auto"/>
              </w:rPr>
            </w:pPr>
            <w:r>
              <w:rPr>
                <w:rFonts w:ascii="Arial" w:cs="Arial" w:eastAsia="Arial" w:hAnsi="Arial"/>
                <w:sz w:val="18"/>
                <w:szCs w:val="18"/>
                <w:color w:val="0000FF"/>
              </w:rPr>
              <w:t>Certification of Chief Financial Officer Pursuant to Rule 13a-14(a) of the</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740" w:type="dxa"/>
            <w:vAlign w:val="bottom"/>
            <w:gridSpan w:val="6"/>
          </w:tcPr>
          <w:p>
            <w:pPr>
              <w:spacing w:after="0" w:line="169" w:lineRule="exact"/>
              <w:rPr>
                <w:sz w:val="20"/>
                <w:szCs w:val="20"/>
                <w:color w:val="auto"/>
              </w:rPr>
            </w:pPr>
            <w:r>
              <w:rPr>
                <w:rFonts w:ascii="Arial" w:cs="Arial" w:eastAsia="Arial" w:hAnsi="Arial"/>
                <w:sz w:val="18"/>
                <w:szCs w:val="18"/>
                <w:color w:val="0000FF"/>
                <w:w w:val="94"/>
              </w:rPr>
              <w:t>Securities Exchange Act of 1934 as Adopted Pursuant to Section 302 of the</w:t>
            </w:r>
          </w:p>
        </w:tc>
      </w:tr>
      <w:tr>
        <w:trPr>
          <w:trHeight w:val="169"/>
        </w:trPr>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8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Sarbanes-Oxley Act of 2002.</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p>
        </w:tc>
        <w:tc>
          <w:tcPr>
            <w:tcW w:w="5740" w:type="dxa"/>
            <w:vAlign w:val="bottom"/>
            <w:gridSpan w:val="6"/>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w:t>
            </w:r>
          </w:p>
        </w:tc>
      </w:tr>
      <w:tr>
        <w:trPr>
          <w:trHeight w:val="169"/>
        </w:trPr>
        <w:tc>
          <w:tcPr>
            <w:tcW w:w="18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574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Adopted Pursuant to Section 906 of the 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p>
        </w:tc>
        <w:tc>
          <w:tcPr>
            <w:tcW w:w="5740" w:type="dxa"/>
            <w:vAlign w:val="bottom"/>
            <w:gridSpan w:val="6"/>
          </w:tcPr>
          <w:p>
            <w:pPr>
              <w:spacing w:after="0"/>
              <w:rPr>
                <w:sz w:val="20"/>
                <w:szCs w:val="20"/>
                <w:color w:val="auto"/>
              </w:rPr>
            </w:pPr>
            <w:r>
              <w:rPr>
                <w:rFonts w:ascii="Arial" w:cs="Arial" w:eastAsia="Arial" w:hAnsi="Arial"/>
                <w:sz w:val="18"/>
                <w:szCs w:val="18"/>
                <w:color w:val="0000FF"/>
                <w:w w:val="92"/>
              </w:rPr>
              <w:t>Certification of Chief Financial Officer Pursuant to 18 U.S.C. Section 1350, as</w:t>
            </w:r>
          </w:p>
        </w:tc>
      </w:tr>
      <w:tr>
        <w:trPr>
          <w:trHeight w:val="169"/>
        </w:trPr>
        <w:tc>
          <w:tcPr>
            <w:tcW w:w="18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570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rPr>
              <w:t>Adopted Pursuant to Section 906 of the Sarbanes-Oxley Act of 2002.</w:t>
            </w:r>
          </w:p>
        </w:tc>
        <w:tc>
          <w:tcPr>
            <w:tcW w:w="40" w:type="dxa"/>
            <w:vAlign w:val="bottom"/>
          </w:tcPr>
          <w:p>
            <w:pPr>
              <w:spacing w:after="0"/>
              <w:rPr>
                <w:sz w:val="14"/>
                <w:szCs w:val="14"/>
                <w:color w:val="auto"/>
              </w:rPr>
            </w:pP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411"/>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101.INS</w:t>
            </w:r>
          </w:p>
        </w:tc>
        <w:tc>
          <w:tcPr>
            <w:tcW w:w="5740" w:type="dxa"/>
            <w:vAlign w:val="bottom"/>
            <w:gridSpan w:val="6"/>
          </w:tcPr>
          <w:p>
            <w:pPr>
              <w:spacing w:after="0"/>
              <w:rPr>
                <w:sz w:val="20"/>
                <w:szCs w:val="20"/>
                <w:color w:val="auto"/>
              </w:rPr>
            </w:pPr>
            <w:r>
              <w:rPr>
                <w:rFonts w:ascii="Arial" w:cs="Arial" w:eastAsia="Arial" w:hAnsi="Arial"/>
                <w:sz w:val="18"/>
                <w:szCs w:val="18"/>
                <w:color w:val="auto"/>
                <w:w w:val="90"/>
              </w:rPr>
              <w:t>Inline XBRL Instance Document (the instance document does not appear in the</w:t>
            </w:r>
          </w:p>
        </w:tc>
      </w:tr>
      <w:tr>
        <w:trPr>
          <w:trHeight w:val="189"/>
        </w:trPr>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740" w:type="dxa"/>
            <w:vAlign w:val="bottom"/>
            <w:gridSpan w:val="6"/>
          </w:tcPr>
          <w:p>
            <w:pPr>
              <w:spacing w:after="0" w:line="189" w:lineRule="exact"/>
              <w:rPr>
                <w:sz w:val="20"/>
                <w:szCs w:val="20"/>
                <w:color w:val="auto"/>
              </w:rPr>
            </w:pPr>
            <w:r>
              <w:rPr>
                <w:rFonts w:ascii="Arial" w:cs="Arial" w:eastAsia="Arial" w:hAnsi="Arial"/>
                <w:sz w:val="18"/>
                <w:szCs w:val="18"/>
                <w:color w:val="auto"/>
                <w:w w:val="95"/>
              </w:rPr>
              <w:t>Interactive Data File because its XBRL tags are embedded within the Inline</w:t>
            </w:r>
          </w:p>
        </w:tc>
      </w:tr>
      <w:tr>
        <w:trPr>
          <w:trHeight w:val="230"/>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6"/>
          </w:tcPr>
          <w:p>
            <w:pPr>
              <w:spacing w:after="0"/>
              <w:rPr>
                <w:sz w:val="20"/>
                <w:szCs w:val="20"/>
                <w:color w:val="auto"/>
              </w:rPr>
            </w:pPr>
            <w:r>
              <w:rPr>
                <w:rFonts w:ascii="Arial" w:cs="Arial" w:eastAsia="Arial" w:hAnsi="Arial"/>
                <w:sz w:val="18"/>
                <w:szCs w:val="18"/>
                <w:color w:val="auto"/>
              </w:rPr>
              <w:t>XBRL document).</w:t>
            </w:r>
          </w:p>
        </w:tc>
      </w:tr>
      <w:tr>
        <w:trPr>
          <w:trHeight w:val="432"/>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101.SCH</w:t>
            </w:r>
          </w:p>
        </w:tc>
        <w:tc>
          <w:tcPr>
            <w:tcW w:w="57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621"/>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101.CAL</w:t>
            </w:r>
          </w:p>
        </w:tc>
        <w:tc>
          <w:tcPr>
            <w:tcW w:w="574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621"/>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101.LAB</w:t>
            </w:r>
          </w:p>
        </w:tc>
        <w:tc>
          <w:tcPr>
            <w:tcW w:w="574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621"/>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101.PRE</w:t>
            </w:r>
          </w:p>
        </w:tc>
        <w:tc>
          <w:tcPr>
            <w:tcW w:w="5740" w:type="dxa"/>
            <w:vAlign w:val="bottom"/>
            <w:gridSpan w:val="6"/>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621"/>
        </w:trPr>
        <w:tc>
          <w:tcPr>
            <w:tcW w:w="90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101.DEF</w:t>
            </w:r>
          </w:p>
        </w:tc>
        <w:tc>
          <w:tcPr>
            <w:tcW w:w="57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391" w:lineRule="exact"/>
        <w:rPr>
          <w:sz w:val="20"/>
          <w:szCs w:val="20"/>
          <w:color w:val="auto"/>
        </w:rPr>
      </w:pPr>
    </w:p>
    <w:p>
      <w:pPr>
        <w:ind w:left="960" w:right="4560" w:hanging="675"/>
        <w:spacing w:after="0" w:line="246"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219"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91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92"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5660"/>
        <w:spacing w:after="0"/>
        <w:rPr>
          <w:sz w:val="20"/>
          <w:szCs w:val="20"/>
          <w:color w:val="auto"/>
        </w:rPr>
      </w:pPr>
      <w:r>
        <w:rPr>
          <w:rFonts w:ascii="Arial" w:cs="Arial" w:eastAsia="Arial" w:hAnsi="Arial"/>
          <w:sz w:val="16"/>
          <w:szCs w:val="16"/>
          <w:b w:val="1"/>
          <w:bCs w:val="1"/>
          <w:i w:val="1"/>
          <w:iCs w:val="1"/>
          <w:color w:val="auto"/>
        </w:rPr>
        <w:t>ADDUS HOMECARE CORPORATION</w:t>
      </w:r>
    </w:p>
    <w:p>
      <w:pPr>
        <w:spacing w:after="0" w:line="275" w:lineRule="exact"/>
        <w:rPr>
          <w:sz w:val="20"/>
          <w:szCs w:val="20"/>
          <w:color w:val="auto"/>
        </w:rPr>
      </w:pPr>
    </w:p>
    <w:p>
      <w:pPr>
        <w:ind w:left="20"/>
        <w:spacing w:after="0"/>
        <w:tabs>
          <w:tab w:leader="none" w:pos="5640" w:val="left"/>
          <w:tab w:leader="none" w:pos="7880" w:val="left"/>
        </w:tabs>
        <w:rPr>
          <w:sz w:val="20"/>
          <w:szCs w:val="20"/>
          <w:color w:val="auto"/>
        </w:rPr>
      </w:pPr>
      <w:r>
        <w:rPr>
          <w:rFonts w:ascii="Arial" w:cs="Arial" w:eastAsia="Arial" w:hAnsi="Arial"/>
          <w:sz w:val="16"/>
          <w:szCs w:val="16"/>
          <w:color w:val="auto"/>
        </w:rPr>
        <w:t>Date: November 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4929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139"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R. Dirk Allison</w:t>
      </w:r>
    </w:p>
    <w:p>
      <w:pPr>
        <w:jc w:val="center"/>
        <w:ind w:left="6060"/>
        <w:spacing w:after="0" w:line="228" w:lineRule="auto"/>
        <w:rPr>
          <w:sz w:val="20"/>
          <w:szCs w:val="20"/>
          <w:color w:val="auto"/>
        </w:rPr>
      </w:pPr>
      <w:r>
        <w:rPr>
          <w:rFonts w:ascii="Arial" w:cs="Arial" w:eastAsia="Arial" w:hAnsi="Arial"/>
          <w:sz w:val="16"/>
          <w:szCs w:val="16"/>
          <w:b w:val="1"/>
          <w:bCs w:val="1"/>
          <w:color w:val="auto"/>
        </w:rPr>
        <w:t>Chairman and Chief Executive Officer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6"/>
          <w:szCs w:val="16"/>
          <w:b w:val="1"/>
          <w:bCs w:val="1"/>
          <w:color w:val="auto"/>
        </w:rPr>
        <w:t>(As Principal Executive Officer)</w:t>
      </w:r>
    </w:p>
    <w:p>
      <w:pPr>
        <w:spacing w:after="0" w:line="275" w:lineRule="exact"/>
        <w:rPr>
          <w:sz w:val="20"/>
          <w:szCs w:val="20"/>
          <w:color w:val="auto"/>
        </w:rPr>
      </w:pPr>
    </w:p>
    <w:p>
      <w:pPr>
        <w:ind w:left="20"/>
        <w:spacing w:after="0"/>
        <w:tabs>
          <w:tab w:leader="none" w:pos="5640" w:val="left"/>
          <w:tab w:leader="none" w:pos="8080" w:val="left"/>
        </w:tabs>
        <w:rPr>
          <w:sz w:val="20"/>
          <w:szCs w:val="20"/>
          <w:color w:val="auto"/>
        </w:rPr>
      </w:pPr>
      <w:r>
        <w:rPr>
          <w:rFonts w:ascii="Arial" w:cs="Arial" w:eastAsia="Arial" w:hAnsi="Arial"/>
          <w:sz w:val="16"/>
          <w:szCs w:val="16"/>
          <w:color w:val="auto"/>
        </w:rPr>
        <w:t>Date: November 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wp:posOffset>
            </wp:positionV>
            <wp:extent cx="324929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126"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Brian Poff</w:t>
      </w:r>
    </w:p>
    <w:p>
      <w:pPr>
        <w:jc w:val="center"/>
        <w:ind w:left="6060"/>
        <w:spacing w:after="0" w:line="228" w:lineRule="auto"/>
        <w:rPr>
          <w:sz w:val="20"/>
          <w:szCs w:val="20"/>
          <w:color w:val="auto"/>
        </w:rPr>
      </w:pPr>
      <w:r>
        <w:rPr>
          <w:rFonts w:ascii="Arial" w:cs="Arial" w:eastAsia="Arial" w:hAnsi="Arial"/>
          <w:sz w:val="16"/>
          <w:szCs w:val="16"/>
          <w:b w:val="1"/>
          <w:bCs w:val="1"/>
          <w:color w:val="auto"/>
        </w:rPr>
        <w:t>Chief Financial Officer</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auto"/>
        </w:rPr>
        <w:t>(As Principal Financial Officer)</w:t>
      </w:r>
    </w:p>
    <w:p>
      <w:pPr>
        <w:spacing w:after="0" w:line="200" w:lineRule="exact"/>
        <w:rPr>
          <w:sz w:val="20"/>
          <w:szCs w:val="20"/>
          <w:color w:val="auto"/>
        </w:rPr>
      </w:pPr>
    </w:p>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58" w:lineRule="exact"/>
        <w:rPr>
          <w:sz w:val="20"/>
          <w:szCs w:val="20"/>
          <w:color w:val="auto"/>
        </w:rPr>
      </w:pPr>
    </w:p>
    <w:p>
      <w:pPr>
        <w:ind w:left="560" w:hanging="552"/>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jc w:val="both"/>
        <w:ind w:right="200" w:firstLine="8"/>
        <w:spacing w:after="0" w:line="324"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6"/>
          <w:szCs w:val="16"/>
          <w:color w:val="auto"/>
        </w:rPr>
      </w:pPr>
    </w:p>
    <w:p>
      <w:pPr>
        <w:ind w:right="160" w:firstLine="8"/>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80" w:firstLine="8"/>
        <w:spacing w:after="0" w:line="248"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8"/>
          <w:szCs w:val="18"/>
          <w:color w:val="auto"/>
        </w:rPr>
      </w:pPr>
    </w:p>
    <w:p>
      <w:pPr>
        <w:ind w:left="1020" w:right="40" w:hanging="503"/>
        <w:spacing w:after="0" w:line="252"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6"/>
          <w:szCs w:val="16"/>
          <w:color w:val="auto"/>
        </w:rPr>
      </w:pPr>
    </w:p>
    <w:p>
      <w:pPr>
        <w:ind w:left="1020" w:right="180" w:hanging="503"/>
        <w:spacing w:after="0" w:line="261"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6"/>
          <w:szCs w:val="16"/>
          <w:color w:val="auto"/>
        </w:rPr>
      </w:pPr>
    </w:p>
    <w:p>
      <w:pPr>
        <w:ind w:left="1020" w:right="180" w:hanging="503"/>
        <w:spacing w:after="0" w:line="258"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6"/>
          <w:szCs w:val="16"/>
          <w:color w:val="auto"/>
        </w:rPr>
      </w:pPr>
    </w:p>
    <w:p>
      <w:pPr>
        <w:ind w:left="1020" w:right="120" w:hanging="503"/>
        <w:spacing w:after="0" w:line="261"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right="160" w:firstLine="8"/>
        <w:spacing w:after="0" w:line="291" w:lineRule="auto"/>
        <w:tabs>
          <w:tab w:leader="none" w:pos="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7"/>
          <w:szCs w:val="17"/>
          <w:color w:val="auto"/>
        </w:rPr>
      </w:pPr>
    </w:p>
    <w:p>
      <w:pPr>
        <w:ind w:left="1020" w:right="360" w:hanging="503"/>
        <w:spacing w:after="0" w:line="275"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020" w:right="560" w:hanging="503"/>
        <w:spacing w:after="0" w:line="275"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6"/>
          <w:szCs w:val="16"/>
          <w:color w:val="auto"/>
        </w:rPr>
        <w:t>Date: November 1, 2022</w:t>
      </w:r>
      <w:r>
        <w:rPr>
          <w:sz w:val="20"/>
          <w:szCs w:val="20"/>
          <w:color w:val="auto"/>
        </w:rPr>
        <w:tab/>
      </w:r>
      <w:r>
        <w:rPr>
          <w:rFonts w:ascii="Arial" w:cs="Arial" w:eastAsia="Arial" w:hAnsi="Arial"/>
          <w:sz w:val="16"/>
          <w:szCs w:val="16"/>
          <w:color w:val="auto"/>
        </w:rPr>
        <w:t>By:  /s/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17780</wp:posOffset>
            </wp:positionV>
            <wp:extent cx="34118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 Dirk Allison</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58"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left="520" w:right="220" w:hanging="512"/>
        <w:spacing w:after="0" w:line="248" w:lineRule="auto"/>
        <w:tabs>
          <w:tab w:leader="none" w:pos="5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8"/>
          <w:szCs w:val="18"/>
          <w:color w:val="auto"/>
        </w:rPr>
      </w:pPr>
    </w:p>
    <w:p>
      <w:pPr>
        <w:ind w:left="1020" w:right="40" w:hanging="503"/>
        <w:spacing w:after="0" w:line="261"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6"/>
          <w:szCs w:val="16"/>
          <w:color w:val="auto"/>
        </w:rPr>
      </w:pPr>
    </w:p>
    <w:p>
      <w:pPr>
        <w:ind w:left="1020" w:right="180" w:hanging="503"/>
        <w:spacing w:after="0" w:line="261"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6"/>
          <w:szCs w:val="16"/>
          <w:color w:val="auto"/>
        </w:rPr>
      </w:pPr>
    </w:p>
    <w:p>
      <w:pPr>
        <w:ind w:left="1020" w:right="180" w:hanging="503"/>
        <w:spacing w:after="0" w:line="275"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6"/>
          <w:szCs w:val="16"/>
          <w:color w:val="auto"/>
        </w:rPr>
      </w:pPr>
    </w:p>
    <w:p>
      <w:pPr>
        <w:ind w:left="1020" w:right="120" w:hanging="503"/>
        <w:spacing w:after="0" w:line="261"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520" w:right="220" w:hanging="512"/>
        <w:spacing w:after="0" w:line="324"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020" w:right="360" w:hanging="503"/>
        <w:spacing w:after="0" w:line="275"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6"/>
          <w:szCs w:val="16"/>
          <w:color w:val="auto"/>
        </w:rPr>
      </w:pPr>
    </w:p>
    <w:p>
      <w:pPr>
        <w:ind w:left="1020" w:right="560" w:hanging="503"/>
        <w:spacing w:after="0" w:line="275" w:lineRule="auto"/>
        <w:tabs>
          <w:tab w:leader="none" w:pos="10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20"/>
        <w:spacing w:after="0"/>
        <w:tabs>
          <w:tab w:leader="none" w:pos="5500" w:val="left"/>
        </w:tabs>
        <w:rPr>
          <w:sz w:val="20"/>
          <w:szCs w:val="20"/>
          <w:color w:val="auto"/>
        </w:rPr>
      </w:pPr>
      <w:r>
        <w:rPr>
          <w:rFonts w:ascii="Arial" w:cs="Arial" w:eastAsia="Arial" w:hAnsi="Arial"/>
          <w:sz w:val="16"/>
          <w:szCs w:val="16"/>
          <w:color w:val="auto"/>
        </w:rPr>
        <w:t>Date: November 1, 2022</w:t>
      </w:r>
      <w:r>
        <w:rPr>
          <w:sz w:val="20"/>
          <w:szCs w:val="20"/>
          <w:color w:val="auto"/>
        </w:rPr>
        <w:tab/>
      </w:r>
      <w:r>
        <w:rPr>
          <w:rFonts w:ascii="Arial" w:cs="Arial" w:eastAsia="Arial" w:hAnsi="Arial"/>
          <w:sz w:val="16"/>
          <w:szCs w:val="16"/>
          <w:color w:val="auto"/>
        </w:rPr>
        <w:t>By:  /s/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17780</wp:posOffset>
            </wp:positionV>
            <wp:extent cx="34118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Brian Poff</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2"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auto"/>
        </w:rPr>
        <w:t>In connection with the Quarterly Report on Form 10-Q for the fiscal quarter ended September 30, 2022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185" w:lineRule="exact"/>
        <w:rPr>
          <w:sz w:val="20"/>
          <w:szCs w:val="20"/>
          <w:color w:val="auto"/>
        </w:rPr>
      </w:pPr>
    </w:p>
    <w:p>
      <w:pPr>
        <w:ind w:left="440" w:hanging="401"/>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1" w:lineRule="exact"/>
        <w:rPr>
          <w:rFonts w:ascii="Arial" w:cs="Arial" w:eastAsia="Arial" w:hAnsi="Arial"/>
          <w:sz w:val="16"/>
          <w:szCs w:val="16"/>
          <w:color w:val="auto"/>
        </w:rPr>
      </w:pPr>
    </w:p>
    <w:p>
      <w:pPr>
        <w:ind w:left="440" w:hanging="401"/>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20" w:type="dxa"/>
            <w:vAlign w:val="bottom"/>
          </w:tcPr>
          <w:p>
            <w:pPr>
              <w:ind w:left="20"/>
              <w:spacing w:after="0"/>
              <w:rPr>
                <w:sz w:val="20"/>
                <w:szCs w:val="20"/>
                <w:color w:val="auto"/>
              </w:rPr>
            </w:pPr>
            <w:r>
              <w:rPr>
                <w:rFonts w:ascii="Arial" w:cs="Arial" w:eastAsia="Arial" w:hAnsi="Arial"/>
                <w:sz w:val="16"/>
                <w:szCs w:val="16"/>
                <w:color w:val="auto"/>
              </w:rPr>
              <w:t>Date: November 1, 2022</w:t>
            </w:r>
          </w:p>
        </w:tc>
        <w:tc>
          <w:tcPr>
            <w:tcW w:w="7720" w:type="dxa"/>
            <w:vAlign w:val="bottom"/>
            <w:gridSpan w:val="2"/>
          </w:tcPr>
          <w:p>
            <w:pPr>
              <w:ind w:left="1880"/>
              <w:spacing w:after="0"/>
              <w:rPr>
                <w:sz w:val="20"/>
                <w:szCs w:val="20"/>
                <w:color w:val="auto"/>
              </w:rPr>
            </w:pPr>
            <w:r>
              <w:rPr>
                <w:rFonts w:ascii="Arial" w:cs="Arial" w:eastAsia="Arial" w:hAnsi="Arial"/>
                <w:sz w:val="16"/>
                <w:szCs w:val="16"/>
                <w:color w:val="auto"/>
              </w:rPr>
              <w:t>By:  /s/ R. Dirk Allison</w:t>
            </w:r>
          </w:p>
        </w:tc>
      </w:tr>
      <w:tr>
        <w:trPr>
          <w:trHeight w:val="247"/>
        </w:trPr>
        <w:tc>
          <w:tcPr>
            <w:tcW w:w="35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 Dirk Allison</w:t>
            </w:r>
          </w:p>
        </w:tc>
      </w:tr>
      <w:tr>
        <w:trPr>
          <w:trHeight w:val="257"/>
        </w:trPr>
        <w:tc>
          <w:tcPr>
            <w:tcW w:w="35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60" w:type="dxa"/>
            <w:vAlign w:val="bottom"/>
          </w:tcPr>
          <w:p>
            <w:pPr>
              <w:ind w:left="20"/>
              <w:spacing w:after="0"/>
              <w:rPr>
                <w:sz w:val="20"/>
                <w:szCs w:val="20"/>
                <w:color w:val="auto"/>
              </w:rPr>
            </w:pPr>
            <w:r>
              <w:rPr>
                <w:rFonts w:ascii="Arial" w:cs="Arial" w:eastAsia="Arial" w:hAnsi="Arial"/>
                <w:sz w:val="16"/>
                <w:szCs w:val="16"/>
                <w:color w:val="auto"/>
              </w:rPr>
              <w:t>Chairman and Chief Executive Officer</w:t>
            </w:r>
          </w:p>
        </w:tc>
      </w:tr>
      <w:tr>
        <w:trPr>
          <w:trHeight w:val="323"/>
        </w:trPr>
        <w:tc>
          <w:tcPr>
            <w:tcW w:w="35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2"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connection with the Quarterly Report on Form 10-Q for the fiscal quarter ended September 30, 2022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203" w:lineRule="exact"/>
        <w:rPr>
          <w:sz w:val="20"/>
          <w:szCs w:val="20"/>
          <w:color w:val="auto"/>
        </w:rPr>
      </w:pPr>
    </w:p>
    <w:p>
      <w:pPr>
        <w:ind w:left="440" w:hanging="401"/>
        <w:spacing w:after="0"/>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1" w:lineRule="exact"/>
        <w:rPr>
          <w:rFonts w:ascii="Arial" w:cs="Arial" w:eastAsia="Arial" w:hAnsi="Arial"/>
          <w:sz w:val="16"/>
          <w:szCs w:val="16"/>
          <w:color w:val="auto"/>
        </w:rPr>
      </w:pPr>
    </w:p>
    <w:p>
      <w:pPr>
        <w:ind w:left="440" w:hanging="401"/>
        <w:spacing w:after="0"/>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ind w:left="20"/>
              <w:spacing w:after="0"/>
              <w:rPr>
                <w:sz w:val="20"/>
                <w:szCs w:val="20"/>
                <w:color w:val="auto"/>
              </w:rPr>
            </w:pPr>
            <w:r>
              <w:rPr>
                <w:rFonts w:ascii="Arial" w:cs="Arial" w:eastAsia="Arial" w:hAnsi="Arial"/>
                <w:sz w:val="16"/>
                <w:szCs w:val="16"/>
                <w:color w:val="auto"/>
              </w:rPr>
              <w:t>Date: November 1, 2022</w:t>
            </w:r>
          </w:p>
        </w:tc>
        <w:tc>
          <w:tcPr>
            <w:tcW w:w="7700" w:type="dxa"/>
            <w:vAlign w:val="bottom"/>
            <w:gridSpan w:val="2"/>
          </w:tcPr>
          <w:p>
            <w:pPr>
              <w:ind w:left="1880"/>
              <w:spacing w:after="0"/>
              <w:rPr>
                <w:sz w:val="20"/>
                <w:szCs w:val="20"/>
                <w:color w:val="auto"/>
              </w:rPr>
            </w:pPr>
            <w:r>
              <w:rPr>
                <w:rFonts w:ascii="Arial" w:cs="Arial" w:eastAsia="Arial" w:hAnsi="Arial"/>
                <w:sz w:val="16"/>
                <w:szCs w:val="16"/>
                <w:color w:val="auto"/>
              </w:rPr>
              <w:t>By:  /s/ Brian Poff</w:t>
            </w:r>
          </w:p>
        </w:tc>
      </w:tr>
      <w:tr>
        <w:trPr>
          <w:trHeight w:val="247"/>
        </w:trPr>
        <w:tc>
          <w:tcPr>
            <w:tcW w:w="35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Brian Poff</w:t>
            </w:r>
          </w:p>
        </w:tc>
      </w:tr>
      <w:tr>
        <w:trPr>
          <w:trHeight w:val="257"/>
        </w:trPr>
        <w:tc>
          <w:tcPr>
            <w:tcW w:w="35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323"/>
        </w:trPr>
        <w:tc>
          <w:tcPr>
            <w:tcW w:w="35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0"/>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26" Type="http://schemas.openxmlformats.org/officeDocument/2006/relationships/hyperlink" Target="https://www.sec.gov/Archives/edgar/data/1468328/000119312509238641/dex31.htm" TargetMode="External"/><Relationship Id="rId529" Type="http://schemas.openxmlformats.org/officeDocument/2006/relationships/hyperlink" Target="https://www.sec.gov/Archives/edgar/data/1468328/000119312513211165/d535575dex32.htm" TargetMode="External"/><Relationship Id="rId532" Type="http://schemas.openxmlformats.org/officeDocument/2006/relationships/hyperlink" Target="https://www.sec.gov/Archives/edgar/data/1468328/0001193125092022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2022-11-01T15:14:08Z</dcterms:created>
  <dcterms:modified xsi:type="dcterms:W3CDTF">2022-11-01T15:14:08Z</dcterms:modified>
</cp:coreProperties>
</file>