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4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-235585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580" w:hanging="572"/>
        <w:spacing w:after="0" w:line="181" w:lineRule="auto"/>
        <w:tabs>
          <w:tab w:leader="none" w:pos="580"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19" w:lineRule="exact"/>
        <w:rPr>
          <w:sz w:val="24"/>
          <w:szCs w:val="24"/>
          <w:color w:val="auto"/>
        </w:rPr>
      </w:pPr>
    </w:p>
    <w:p>
      <w:pPr>
        <w:ind w:left="414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ADDUS HOMECARE CORPORATION</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680" w:type="dxa"/>
            <w:vAlign w:val="bottom"/>
          </w:tcPr>
          <w:p>
            <w:pPr>
              <w:jc w:val="center"/>
              <w:ind w:left="1803"/>
              <w:spacing w:after="0"/>
              <w:rPr>
                <w:sz w:val="20"/>
                <w:szCs w:val="20"/>
                <w:color w:val="auto"/>
              </w:rPr>
            </w:pPr>
            <w:r>
              <w:rPr>
                <w:rFonts w:ascii="Arial" w:cs="Arial" w:eastAsia="Arial" w:hAnsi="Arial"/>
                <w:sz w:val="16"/>
                <w:szCs w:val="16"/>
                <w:b w:val="1"/>
                <w:bCs w:val="1"/>
                <w:color w:val="auto"/>
                <w:w w:val="91"/>
              </w:rPr>
              <w:t>Delaware</w:t>
            </w:r>
          </w:p>
        </w:tc>
        <w:tc>
          <w:tcPr>
            <w:tcW w:w="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20-5340172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80" w:type="dxa"/>
            <w:vAlign w:val="bottom"/>
          </w:tcPr>
          <w:p>
            <w:pPr>
              <w:jc w:val="center"/>
              <w:ind w:left="1803"/>
              <w:spacing w:after="0"/>
              <w:rPr>
                <w:sz w:val="20"/>
                <w:szCs w:val="20"/>
                <w:color w:val="auto"/>
              </w:rPr>
            </w:pPr>
            <w:r>
              <w:rPr>
                <w:rFonts w:ascii="Arial" w:cs="Arial" w:eastAsia="Arial" w:hAnsi="Arial"/>
                <w:sz w:val="13"/>
                <w:szCs w:val="13"/>
                <w:color w:val="auto"/>
                <w:w w:val="95"/>
              </w:rPr>
              <w:t>(State or other jurisdiction of</w:t>
            </w:r>
          </w:p>
        </w:tc>
        <w:tc>
          <w:tcPr>
            <w:tcW w:w="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color w:val="auto"/>
                <w:w w:val="96"/>
              </w:rPr>
              <w:t>(I.R.S. Employer</w:t>
            </w: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80" w:type="dxa"/>
            <w:vAlign w:val="bottom"/>
          </w:tcPr>
          <w:p>
            <w:pPr>
              <w:jc w:val="center"/>
              <w:ind w:left="1823"/>
              <w:spacing w:after="0"/>
              <w:rPr>
                <w:sz w:val="20"/>
                <w:szCs w:val="20"/>
                <w:color w:val="auto"/>
              </w:rPr>
            </w:pPr>
            <w:r>
              <w:rPr>
                <w:rFonts w:ascii="Arial" w:cs="Arial" w:eastAsia="Arial" w:hAnsi="Arial"/>
                <w:sz w:val="13"/>
                <w:szCs w:val="13"/>
                <w:color w:val="auto"/>
                <w:w w:val="95"/>
              </w:rPr>
              <w:t>incorporation or organization)</w:t>
            </w:r>
          </w:p>
        </w:tc>
        <w:tc>
          <w:tcPr>
            <w:tcW w:w="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color w:val="auto"/>
                <w:w w:val="98"/>
              </w:rPr>
              <w:t>Identification No.)</w:t>
            </w: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7320" w:type="dxa"/>
            <w:vAlign w:val="bottom"/>
            <w:gridSpan w:val="4"/>
          </w:tcPr>
          <w:p>
            <w:pPr>
              <w:jc w:val="center"/>
              <w:ind w:right="1760"/>
              <w:spacing w:after="0"/>
              <w:rPr>
                <w:sz w:val="20"/>
                <w:szCs w:val="20"/>
                <w:color w:val="auto"/>
              </w:rPr>
            </w:pPr>
            <w:r>
              <w:rPr>
                <w:rFonts w:ascii="Arial" w:cs="Arial" w:eastAsia="Arial" w:hAnsi="Arial"/>
                <w:sz w:val="16"/>
                <w:szCs w:val="16"/>
                <w:b w:val="1"/>
                <w:bCs w:val="1"/>
                <w:color w:val="auto"/>
                <w:w w:val="91"/>
              </w:rPr>
              <w:t>6303 Cowboys Way, Suite 600 Frisco, TX</w:t>
            </w:r>
          </w:p>
        </w:tc>
        <w:tc>
          <w:tcPr>
            <w:tcW w:w="560" w:type="dxa"/>
            <w:vAlign w:val="bottom"/>
          </w:tcPr>
          <w:p>
            <w:pPr>
              <w:spacing w:after="0"/>
              <w:rPr>
                <w:sz w:val="24"/>
                <w:szCs w:val="24"/>
                <w:color w:val="auto"/>
              </w:rPr>
            </w:pPr>
          </w:p>
        </w:tc>
        <w:tc>
          <w:tcPr>
            <w:tcW w:w="980" w:type="dxa"/>
            <w:vAlign w:val="bottom"/>
          </w:tcPr>
          <w:p>
            <w:pPr>
              <w:jc w:val="right"/>
              <w:ind w:right="125"/>
              <w:spacing w:after="0"/>
              <w:rPr>
                <w:sz w:val="20"/>
                <w:szCs w:val="20"/>
                <w:color w:val="auto"/>
              </w:rPr>
            </w:pPr>
            <w:r>
              <w:rPr>
                <w:rFonts w:ascii="Arial" w:cs="Arial" w:eastAsia="Arial" w:hAnsi="Arial"/>
                <w:sz w:val="16"/>
                <w:szCs w:val="16"/>
                <w:b w:val="1"/>
                <w:bCs w:val="1"/>
                <w:color w:val="auto"/>
              </w:rPr>
              <w:t>75034</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20" w:type="dxa"/>
            <w:vAlign w:val="bottom"/>
            <w:gridSpan w:val="4"/>
          </w:tcPr>
          <w:p>
            <w:pPr>
              <w:jc w:val="center"/>
              <w:ind w:right="1740"/>
              <w:spacing w:after="0"/>
              <w:rPr>
                <w:sz w:val="20"/>
                <w:szCs w:val="20"/>
                <w:color w:val="auto"/>
              </w:rPr>
            </w:pPr>
            <w:r>
              <w:rPr>
                <w:rFonts w:ascii="Arial" w:cs="Arial" w:eastAsia="Arial" w:hAnsi="Arial"/>
                <w:sz w:val="13"/>
                <w:szCs w:val="13"/>
                <w:color w:val="auto"/>
                <w:w w:val="96"/>
              </w:rPr>
              <w:t>(Address of principal executive offices)</w:t>
            </w:r>
          </w:p>
        </w:tc>
        <w:tc>
          <w:tcPr>
            <w:tcW w:w="560" w:type="dxa"/>
            <w:vAlign w:val="bottom"/>
          </w:tcPr>
          <w:p>
            <w:pPr>
              <w:spacing w:after="0"/>
              <w:rPr>
                <w:sz w:val="14"/>
                <w:szCs w:val="14"/>
                <w:color w:val="auto"/>
              </w:rPr>
            </w:pPr>
          </w:p>
        </w:tc>
        <w:tc>
          <w:tcPr>
            <w:tcW w:w="980" w:type="dxa"/>
            <w:vAlign w:val="bottom"/>
          </w:tcPr>
          <w:p>
            <w:pPr>
              <w:jc w:val="center"/>
              <w:ind w:left="105"/>
              <w:spacing w:after="0"/>
              <w:rPr>
                <w:sz w:val="20"/>
                <w:szCs w:val="20"/>
                <w:color w:val="auto"/>
              </w:rPr>
            </w:pPr>
            <w:r>
              <w:rPr>
                <w:rFonts w:ascii="Arial" w:cs="Arial" w:eastAsia="Arial" w:hAnsi="Arial"/>
                <w:sz w:val="13"/>
                <w:szCs w:val="13"/>
                <w:color w:val="auto"/>
                <w:w w:val="97"/>
              </w:rPr>
              <w:t>(Zip Code)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80" w:type="dxa"/>
            <w:vAlign w:val="bottom"/>
          </w:tcPr>
          <w:p>
            <w:pPr>
              <w:spacing w:after="0"/>
              <w:rPr>
                <w:sz w:val="21"/>
                <w:szCs w:val="21"/>
                <w:color w:val="auto"/>
              </w:rPr>
            </w:pPr>
          </w:p>
        </w:tc>
        <w:tc>
          <w:tcPr>
            <w:tcW w:w="3080" w:type="dxa"/>
            <w:vAlign w:val="bottom"/>
            <w:gridSpan w:val="2"/>
          </w:tcPr>
          <w:p>
            <w:pPr>
              <w:jc w:val="center"/>
              <w:ind w:left="724"/>
              <w:spacing w:after="0"/>
              <w:rPr>
                <w:sz w:val="20"/>
                <w:szCs w:val="20"/>
                <w:color w:val="auto"/>
              </w:rPr>
            </w:pPr>
            <w:r>
              <w:rPr>
                <w:rFonts w:ascii="Arial" w:cs="Arial" w:eastAsia="Arial" w:hAnsi="Arial"/>
                <w:sz w:val="16"/>
                <w:szCs w:val="16"/>
                <w:b w:val="1"/>
                <w:bCs w:val="1"/>
                <w:color w:val="auto"/>
                <w:w w:val="92"/>
              </w:rPr>
              <w:t>469-535-8200</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3640" w:type="dxa"/>
            <w:vAlign w:val="bottom"/>
            <w:gridSpan w:val="3"/>
          </w:tcPr>
          <w:p>
            <w:pPr>
              <w:jc w:val="center"/>
              <w:ind w:left="164"/>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680" w:type="dxa"/>
            <w:vAlign w:val="bottom"/>
          </w:tcPr>
          <w:p>
            <w:pPr>
              <w:spacing w:after="0"/>
              <w:rPr>
                <w:sz w:val="21"/>
                <w:szCs w:val="21"/>
                <w:color w:val="auto"/>
              </w:rPr>
            </w:pPr>
          </w:p>
        </w:tc>
        <w:tc>
          <w:tcPr>
            <w:tcW w:w="4200" w:type="dxa"/>
            <w:vAlign w:val="bottom"/>
            <w:gridSpan w:val="4"/>
          </w:tcPr>
          <w:p>
            <w:pPr>
              <w:jc w:val="center"/>
              <w:ind w:right="21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gridSpan w:val="5"/>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80" w:type="dxa"/>
            <w:vAlign w:val="bottom"/>
            <w:tcBorders>
              <w:left w:val="single" w:sz="8" w:color="auto"/>
              <w:bottom w:val="single" w:sz="8" w:color="auto"/>
            </w:tcBorders>
          </w:tcPr>
          <w:p>
            <w:pPr>
              <w:jc w:val="center"/>
              <w:ind w:left="783"/>
              <w:spacing w:after="0"/>
              <w:rPr>
                <w:sz w:val="20"/>
                <w:szCs w:val="20"/>
                <w:color w:val="auto"/>
              </w:rPr>
            </w:pPr>
            <w:r>
              <w:rPr>
                <w:rFonts w:ascii="Arial" w:cs="Arial" w:eastAsia="Arial" w:hAnsi="Arial"/>
                <w:sz w:val="16"/>
                <w:szCs w:val="16"/>
                <w:b w:val="1"/>
                <w:bCs w:val="1"/>
                <w:color w:val="auto"/>
                <w:w w:val="88"/>
              </w:rPr>
              <w:t>Title of each class</w:t>
            </w:r>
          </w:p>
        </w:tc>
        <w:tc>
          <w:tcPr>
            <w:tcW w:w="8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60" w:type="dxa"/>
            <w:vAlign w:val="bottom"/>
            <w:tcBorders>
              <w:bottom w:val="single" w:sz="8" w:color="auto"/>
            </w:tcBorders>
          </w:tcPr>
          <w:p>
            <w:pPr>
              <w:spacing w:after="0"/>
              <w:rPr>
                <w:sz w:val="17"/>
                <w:szCs w:val="17"/>
                <w:color w:val="auto"/>
              </w:rPr>
            </w:pPr>
          </w:p>
        </w:tc>
        <w:tc>
          <w:tcPr>
            <w:tcW w:w="3920" w:type="dxa"/>
            <w:vAlign w:val="bottom"/>
            <w:tcBorders>
              <w:bottom w:val="single" w:sz="8" w:color="auto"/>
              <w:right w:val="single" w:sz="8" w:color="auto"/>
            </w:tcBorders>
            <w:gridSpan w:val="5"/>
          </w:tcPr>
          <w:p>
            <w:pPr>
              <w:jc w:val="center"/>
              <w:ind w:right="499"/>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196"/>
        </w:trPr>
        <w:tc>
          <w:tcPr>
            <w:tcW w:w="3680" w:type="dxa"/>
            <w:vAlign w:val="bottom"/>
            <w:tcBorders>
              <w:left w:val="single" w:sz="8" w:color="auto"/>
              <w:bottom w:val="single" w:sz="8" w:color="auto"/>
            </w:tcBorders>
          </w:tcPr>
          <w:p>
            <w:pPr>
              <w:jc w:val="center"/>
              <w:ind w:left="783"/>
              <w:spacing w:after="0"/>
              <w:rPr>
                <w:sz w:val="20"/>
                <w:szCs w:val="20"/>
                <w:color w:val="auto"/>
              </w:rPr>
            </w:pPr>
            <w:r>
              <w:rPr>
                <w:rFonts w:ascii="Arial" w:cs="Arial" w:eastAsia="Arial" w:hAnsi="Arial"/>
                <w:sz w:val="16"/>
                <w:szCs w:val="16"/>
                <w:color w:val="auto"/>
                <w:w w:val="91"/>
              </w:rPr>
              <w:t>Common Stock, $0.001 par value</w:t>
            </w:r>
          </w:p>
        </w:tc>
        <w:tc>
          <w:tcPr>
            <w:tcW w:w="8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5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gridSpan w:val="4"/>
          </w:tcPr>
          <w:p>
            <w:pPr>
              <w:jc w:val="center"/>
              <w:ind w:right="1059"/>
              <w:spacing w:after="0"/>
              <w:rPr>
                <w:sz w:val="20"/>
                <w:szCs w:val="20"/>
                <w:color w:val="auto"/>
              </w:rPr>
            </w:pPr>
            <w:r>
              <w:rPr>
                <w:rFonts w:ascii="Arial" w:cs="Arial" w:eastAsia="Arial" w:hAnsi="Arial"/>
                <w:sz w:val="16"/>
                <w:szCs w:val="16"/>
                <w:color w:val="auto"/>
                <w:w w:val="93"/>
              </w:rPr>
              <w:t>The Nasdaq Global Market</w:t>
            </w:r>
          </w:p>
        </w:tc>
        <w:tc>
          <w:tcPr>
            <w:tcW w:w="0" w:type="dxa"/>
            <w:vAlign w:val="bottom"/>
          </w:tcPr>
          <w:p>
            <w:pPr>
              <w:spacing w:after="0"/>
              <w:rPr>
                <w:sz w:val="1"/>
                <w:szCs w:val="1"/>
                <w:color w:val="auto"/>
              </w:rPr>
            </w:pPr>
          </w:p>
        </w:tc>
      </w:tr>
      <w:tr>
        <w:trPr>
          <w:trHeight w:val="312"/>
        </w:trPr>
        <w:tc>
          <w:tcPr>
            <w:tcW w:w="7880" w:type="dxa"/>
            <w:vAlign w:val="bottom"/>
            <w:gridSpan w:val="5"/>
          </w:tcPr>
          <w:p>
            <w:pPr>
              <w:jc w:val="center"/>
              <w:ind w:left="3303"/>
              <w:spacing w:after="0"/>
              <w:rPr>
                <w:sz w:val="20"/>
                <w:szCs w:val="20"/>
                <w:color w:val="auto"/>
              </w:rPr>
            </w:pPr>
            <w:r>
              <w:rPr>
                <w:rFonts w:ascii="Arial" w:cs="Arial" w:eastAsia="Arial" w:hAnsi="Arial"/>
                <w:sz w:val="16"/>
                <w:szCs w:val="16"/>
                <w:b w:val="1"/>
                <w:bCs w:val="1"/>
                <w:color w:val="auto"/>
                <w:w w:val="90"/>
              </w:rPr>
              <w:t xml:space="preserve">Securities registered pursuant to Section 12(g) of the Act: </w:t>
            </w:r>
            <w:r>
              <w:rPr>
                <w:rFonts w:ascii="Arial" w:cs="Arial" w:eastAsia="Arial" w:hAnsi="Arial"/>
                <w:sz w:val="16"/>
                <w:szCs w:val="16"/>
                <w:color w:val="auto"/>
                <w:w w:val="90"/>
              </w:rPr>
              <w:t>None</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20" w:type="dxa"/>
            <w:vAlign w:val="bottom"/>
            <w:gridSpan w:val="2"/>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360" w:type="dxa"/>
            <w:vAlign w:val="bottom"/>
          </w:tcPr>
          <w:p>
            <w:pPr>
              <w:spacing w:after="0"/>
              <w:rPr>
                <w:sz w:val="8"/>
                <w:szCs w:val="8"/>
                <w:color w:val="auto"/>
              </w:rPr>
            </w:pPr>
          </w:p>
        </w:tc>
        <w:tc>
          <w:tcPr>
            <w:tcW w:w="17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5"/>
        </w:trPr>
        <w:tc>
          <w:tcPr>
            <w:tcW w:w="7880" w:type="dxa"/>
            <w:vAlign w:val="bottom"/>
            <w:gridSpan w:val="5"/>
          </w:tcPr>
          <w:p>
            <w:pPr>
              <w:spacing w:after="0"/>
              <w:rPr>
                <w:sz w:val="20"/>
                <w:szCs w:val="20"/>
                <w:color w:val="auto"/>
              </w:rPr>
            </w:pPr>
            <w:r>
              <w:rPr>
                <w:rFonts w:ascii="Arial" w:cs="Arial" w:eastAsia="Arial" w:hAnsi="Arial"/>
                <w:sz w:val="16"/>
                <w:szCs w:val="16"/>
                <w:color w:val="auto"/>
                <w:w w:val="95"/>
              </w:rPr>
              <w:t>Indicate by check mark if the registrant is a well-known seasoned issuer, as defined in Rule 405 of the Securities Act.</w:t>
            </w: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Yes</w:t>
            </w:r>
          </w:p>
        </w:tc>
        <w:tc>
          <w:tcPr>
            <w:tcW w:w="240" w:type="dxa"/>
            <w:vAlign w:val="bottom"/>
            <w:vMerge w:val="continue"/>
          </w:tcPr>
          <w:p>
            <w:pPr>
              <w:spacing w:after="0"/>
              <w:rPr>
                <w:sz w:val="23"/>
                <w:szCs w:val="23"/>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No</w:t>
            </w:r>
          </w:p>
        </w:tc>
        <w:tc>
          <w:tcPr>
            <w:tcW w:w="1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860" w:type="dxa"/>
            <w:vAlign w:val="bottom"/>
            <w:gridSpan w:val="6"/>
          </w:tcPr>
          <w:p>
            <w:pPr>
              <w:jc w:val="right"/>
              <w:ind w:right="5"/>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Exchange Act.  Yes</w:t>
            </w:r>
          </w:p>
        </w:tc>
        <w:tc>
          <w:tcPr>
            <w:tcW w:w="2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60" w:type="dxa"/>
            <w:vAlign w:val="bottom"/>
          </w:tcPr>
          <w:p>
            <w:pPr>
              <w:ind w:left="120"/>
              <w:spacing w:after="0"/>
              <w:rPr>
                <w:sz w:val="20"/>
                <w:szCs w:val="20"/>
                <w:color w:val="auto"/>
              </w:rPr>
            </w:pPr>
            <w:r>
              <w:rPr>
                <w:rFonts w:ascii="Arial" w:cs="Arial" w:eastAsia="Arial" w:hAnsi="Arial"/>
                <w:sz w:val="16"/>
                <w:szCs w:val="16"/>
                <w:color w:val="auto"/>
              </w:rPr>
              <w:t>No</w:t>
            </w:r>
          </w:p>
        </w:tc>
        <w:tc>
          <w:tcPr>
            <w:tcW w:w="17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40" w:val="left"/>
          <w:tab w:leader="none" w:pos="1760" w:val="left"/>
        </w:tabs>
        <w:rPr>
          <w:sz w:val="20"/>
          <w:szCs w:val="20"/>
          <w:color w:val="auto"/>
        </w:rPr>
      </w:pPr>
      <w:r>
        <w:rPr>
          <w:rFonts w:ascii="Arial" w:cs="Arial" w:eastAsia="Arial" w:hAnsi="Arial"/>
          <w:sz w:val="16"/>
          <w:szCs w:val="16"/>
          <w:color w:val="auto"/>
        </w:rPr>
        <w:t>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w:t>
      </w:r>
    </w:p>
    <w:p>
      <w:pPr>
        <w:spacing w:after="0" w:line="34" w:lineRule="exact"/>
        <w:rPr>
          <w:sz w:val="24"/>
          <w:szCs w:val="24"/>
          <w:color w:val="auto"/>
        </w:rPr>
      </w:pPr>
    </w:p>
    <w:p>
      <w:pPr>
        <w:spacing w:after="0" w:line="184" w:lineRule="exact"/>
        <w:tabs>
          <w:tab w:leader="none" w:pos="9640" w:val="left"/>
          <w:tab w:leader="none" w:pos="10260" w:val="left"/>
        </w:tabs>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800" w:type="dxa"/>
            <w:vAlign w:val="bottom"/>
          </w:tcPr>
          <w:p>
            <w:pPr>
              <w:ind w:left="228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22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tabs>
          <w:tab w:leader="none" w:pos="7560" w:val="left"/>
          <w:tab w:leader="none" w:pos="8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3" w:lineRule="exact"/>
        <w:rPr>
          <w:sz w:val="24"/>
          <w:szCs w:val="24"/>
          <w:color w:val="auto"/>
        </w:rPr>
      </w:pPr>
    </w:p>
    <w:p>
      <w:pPr>
        <w:ind w:right="20"/>
        <w:spacing w:after="0" w:line="281"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based on the last sale price on The Nasdaq Global Market on June 30, 2021 (the last business day of the registrant’s most recently completed second fiscal quarter) was approximately $1,364,290,000.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 of February 18, 2022, there were 15,952,001 shares of common stock outstanding.</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4"/>
          <w:szCs w:val="24"/>
          <w:color w:val="auto"/>
        </w:rPr>
      </w:pPr>
    </w:p>
    <w:p>
      <w:pPr>
        <w:ind w:right="420"/>
        <w:spacing w:after="0" w:line="323" w:lineRule="auto"/>
        <w:rPr>
          <w:sz w:val="20"/>
          <w:szCs w:val="20"/>
          <w:color w:val="auto"/>
        </w:rPr>
      </w:pPr>
      <w:r>
        <w:rPr>
          <w:rFonts w:ascii="Arial" w:cs="Arial" w:eastAsia="Arial" w:hAnsi="Arial"/>
          <w:sz w:val="15"/>
          <w:szCs w:val="15"/>
          <w:color w:val="auto"/>
        </w:rPr>
        <w:t>Certain portions of the registrant’s Definitive Proxy Statement for its 2022 Annual Meeting of Stockholders (which is expected to be filed with the Commission within 120 days after the end of the registrant’s 2021 fiscal year) are incorporated by reference into Part III of this Annual Report on Form 10-K.</w:t>
      </w:r>
    </w:p>
    <w:p>
      <w:pPr>
        <w:spacing w:after="0" w:line="18" w:lineRule="exact"/>
        <w:rPr>
          <w:sz w:val="24"/>
          <w:szCs w:val="24"/>
          <w:color w:val="auto"/>
        </w:rPr>
      </w:pPr>
    </w:p>
    <w:p>
      <w:pPr>
        <w:ind w:left="120"/>
        <w:spacing w:after="0"/>
        <w:tabs>
          <w:tab w:leader="none" w:pos="2420" w:val="left"/>
          <w:tab w:leader="none" w:pos="3080" w:val="left"/>
          <w:tab w:leader="none" w:pos="4580" w:val="left"/>
          <w:tab w:leader="none" w:pos="7280" w:val="left"/>
          <w:tab w:leader="none" w:pos="9660" w:val="left"/>
        </w:tabs>
        <w:rPr>
          <w:sz w:val="20"/>
          <w:szCs w:val="20"/>
          <w:color w:val="auto"/>
        </w:rPr>
      </w:pPr>
      <w:r>
        <w:rPr>
          <w:rFonts w:ascii="Arial" w:cs="Arial" w:eastAsia="Arial" w:hAnsi="Arial"/>
          <w:sz w:val="16"/>
          <w:szCs w:val="16"/>
          <w:color w:val="auto"/>
        </w:rPr>
        <w:t>Auditor Firm PCAOB Id:</w:t>
      </w:r>
      <w:r>
        <w:rPr>
          <w:sz w:val="20"/>
          <w:szCs w:val="20"/>
          <w:color w:val="auto"/>
        </w:rPr>
        <w:tab/>
      </w:r>
      <w:r>
        <w:rPr>
          <w:rFonts w:ascii="Arial" w:cs="Arial" w:eastAsia="Arial" w:hAnsi="Arial"/>
          <w:sz w:val="16"/>
          <w:szCs w:val="16"/>
          <w:color w:val="auto"/>
        </w:rPr>
        <w:t>238</w:t>
      </w:r>
      <w:r>
        <w:rPr>
          <w:sz w:val="20"/>
          <w:szCs w:val="20"/>
          <w:color w:val="auto"/>
        </w:rPr>
        <w:tab/>
      </w:r>
      <w:r>
        <w:rPr>
          <w:rFonts w:ascii="Arial" w:cs="Arial" w:eastAsia="Arial" w:hAnsi="Arial"/>
          <w:sz w:val="16"/>
          <w:szCs w:val="16"/>
          <w:color w:val="auto"/>
        </w:rPr>
        <w:t>Auditor Name:</w:t>
      </w:r>
      <w:r>
        <w:rPr>
          <w:sz w:val="20"/>
          <w:szCs w:val="20"/>
          <w:color w:val="auto"/>
        </w:rPr>
        <w:tab/>
      </w:r>
      <w:r>
        <w:rPr>
          <w:rFonts w:ascii="Arial" w:cs="Arial" w:eastAsia="Arial" w:hAnsi="Arial"/>
          <w:sz w:val="16"/>
          <w:szCs w:val="16"/>
          <w:color w:val="auto"/>
        </w:rPr>
        <w:t>PricewaterhouseCoopers LLP</w:t>
      </w:r>
      <w:r>
        <w:rPr>
          <w:sz w:val="20"/>
          <w:szCs w:val="20"/>
          <w:color w:val="auto"/>
        </w:rPr>
        <w:tab/>
      </w:r>
      <w:r>
        <w:rPr>
          <w:rFonts w:ascii="Arial" w:cs="Arial" w:eastAsia="Arial" w:hAnsi="Arial"/>
          <w:sz w:val="16"/>
          <w:szCs w:val="16"/>
          <w:color w:val="auto"/>
        </w:rPr>
        <w:t>Auditor Location:</w:t>
      </w:r>
      <w:r>
        <w:rPr>
          <w:sz w:val="20"/>
          <w:szCs w:val="20"/>
          <w:color w:val="auto"/>
        </w:rPr>
        <w:tab/>
      </w:r>
      <w:r>
        <w:rPr>
          <w:rFonts w:ascii="Arial" w:cs="Arial" w:eastAsia="Arial" w:hAnsi="Arial"/>
          <w:sz w:val="14"/>
          <w:szCs w:val="14"/>
          <w:color w:val="auto"/>
        </w:rPr>
        <w:t>Dallas, Texas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40" w:type="dxa"/>
            <w:vAlign w:val="bottom"/>
            <w:gridSpan w:val="2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r>
      <w:tr>
        <w:trPr>
          <w:trHeight w:val="668"/>
        </w:trPr>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6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r>
      <w:tr>
        <w:trPr>
          <w:trHeight w:val="418"/>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7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Business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Risk Factors</w:t>
              </w:r>
            </w:hyperlink>
          </w:p>
        </w:tc>
        <w:tc>
          <w:tcPr>
            <w:tcW w:w="822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1B.</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Unresolved Staff Comments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2.</w:t>
            </w:r>
          </w:p>
        </w:tc>
        <w:tc>
          <w:tcPr>
            <w:tcW w:w="216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Properties</w:t>
              </w:r>
            </w:hyperlink>
          </w:p>
        </w:tc>
        <w:tc>
          <w:tcPr>
            <w:tcW w:w="704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3.</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Legal Proceedings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4.</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Mine Safety Disclosures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680" w:type="dxa"/>
            <w:vAlign w:val="bottom"/>
            <w:gridSpan w:val="3"/>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5.</w:t>
            </w:r>
          </w:p>
        </w:tc>
        <w:tc>
          <w:tcPr>
            <w:tcW w:w="9200" w:type="dxa"/>
            <w:vAlign w:val="bottom"/>
            <w:gridSpan w:val="24"/>
          </w:tcPr>
          <w:p>
            <w:pPr>
              <w:spacing w:after="0" w:line="196" w:lineRule="exact"/>
              <w:rPr>
                <w:rFonts w:ascii="Arial" w:cs="Arial" w:eastAsia="Arial" w:hAnsi="Arial"/>
                <w:sz w:val="18"/>
                <w:szCs w:val="18"/>
                <w:b w:val="1"/>
                <w:bCs w:val="1"/>
                <w:color w:val="0000EE"/>
                <w:w w:val="95"/>
              </w:rPr>
            </w:pPr>
            <w:hyperlink w:anchor="page33">
              <w:r>
                <w:rPr>
                  <w:rFonts w:ascii="Arial" w:cs="Arial" w:eastAsia="Arial" w:hAnsi="Arial"/>
                  <w:sz w:val="18"/>
                  <w:szCs w:val="18"/>
                  <w:b w:val="1"/>
                  <w:bCs w:val="1"/>
                  <w:color w:val="0000EE"/>
                  <w:w w:val="95"/>
                </w:rPr>
                <w:t>Market for Registrant’s Common Equity, Related Stockholder Matters and Issuer Purchases of Equity Securities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6.</w:t>
            </w:r>
          </w:p>
        </w:tc>
        <w:tc>
          <w:tcPr>
            <w:tcW w:w="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w:t>
              </w:r>
              <w:r>
                <w:rPr>
                  <w:rFonts w:ascii="Arial" w:cs="Arial" w:eastAsia="Arial" w:hAnsi="Arial"/>
                  <w:sz w:val="18"/>
                  <w:szCs w:val="18"/>
                  <w:b w:val="1"/>
                  <w:bCs w:val="1"/>
                  <w:color w:val="0000EE"/>
                  <w:w w:val="90"/>
                </w:rPr>
                <w:t>Reserved</w:t>
              </w:r>
              <w:r>
                <w:rPr>
                  <w:rFonts w:ascii="Arial" w:cs="Arial" w:eastAsia="Arial" w:hAnsi="Arial"/>
                  <w:sz w:val="18"/>
                  <w:szCs w:val="18"/>
                  <w:color w:val="0000EE"/>
                  <w:w w:val="90"/>
                </w:rPr>
                <w:t>]</w:t>
              </w:r>
            </w:hyperlink>
          </w:p>
        </w:tc>
        <w:tc>
          <w:tcPr>
            <w:tcW w:w="7840" w:type="dxa"/>
            <w:vAlign w:val="bottom"/>
            <w:tcBorders>
              <w:top w:val="single" w:sz="8" w:color="0000EE"/>
            </w:tcBorders>
            <w:gridSpan w:val="19"/>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7.</w:t>
            </w:r>
          </w:p>
        </w:tc>
        <w:tc>
          <w:tcPr>
            <w:tcW w:w="68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Management’s Discussion and Analysis of Financial Condition and Results of Operations</w:t>
              </w:r>
            </w:hyperlink>
          </w:p>
        </w:tc>
        <w:tc>
          <w:tcPr>
            <w:tcW w:w="236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7A.</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Quantitative and Qualitative Disclosures about Market Risk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8.</w:t>
            </w:r>
          </w:p>
        </w:tc>
        <w:tc>
          <w:tcPr>
            <w:tcW w:w="36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0"/>
              </w:rPr>
            </w:pPr>
            <w:hyperlink w:anchor="page54">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8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9.</w:t>
            </w:r>
          </w:p>
        </w:tc>
        <w:tc>
          <w:tcPr>
            <w:tcW w:w="68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8"/>
              </w:rPr>
            </w:pPr>
            <w:hyperlink w:anchor="page54">
              <w:r>
                <w:rPr>
                  <w:rFonts w:ascii="Arial" w:cs="Arial" w:eastAsia="Arial" w:hAnsi="Arial"/>
                  <w:sz w:val="18"/>
                  <w:szCs w:val="18"/>
                  <w:b w:val="1"/>
                  <w:bCs w:val="1"/>
                  <w:color w:val="0000EE"/>
                  <w:w w:val="88"/>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9A.</w:t>
            </w:r>
          </w:p>
        </w:tc>
        <w:tc>
          <w:tcPr>
            <w:tcW w:w="19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8"/>
              </w:rPr>
            </w:pPr>
            <w:hyperlink w:anchor="page54">
              <w:r>
                <w:rPr>
                  <w:rFonts w:ascii="Arial" w:cs="Arial" w:eastAsia="Arial" w:hAnsi="Arial"/>
                  <w:sz w:val="18"/>
                  <w:szCs w:val="18"/>
                  <w:b w:val="1"/>
                  <w:bCs w:val="1"/>
                  <w:color w:val="0000EE"/>
                  <w:w w:val="88"/>
                </w:rPr>
                <w:t>Controls and Procedures</w:t>
              </w:r>
            </w:hyperlink>
          </w:p>
        </w:tc>
        <w:tc>
          <w:tcPr>
            <w:tcW w:w="728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9B.</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Other Information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9C.</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Disclosure Regarding Foreign Jurisdictions that Prevent Inspections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6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10.</w:t>
            </w:r>
          </w:p>
        </w:tc>
        <w:tc>
          <w:tcPr>
            <w:tcW w:w="43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0"/>
              </w:rPr>
            </w:pPr>
            <w:hyperlink w:anchor="page56">
              <w:r>
                <w:rPr>
                  <w:rFonts w:ascii="Arial" w:cs="Arial" w:eastAsia="Arial" w:hAnsi="Arial"/>
                  <w:sz w:val="18"/>
                  <w:szCs w:val="18"/>
                  <w:b w:val="1"/>
                  <w:bCs w:val="1"/>
                  <w:color w:val="0000EE"/>
                  <w:w w:val="90"/>
                </w:rPr>
                <w:t>Directors, Executive Officers and Corporate Governance</w:t>
              </w:r>
            </w:hyperlink>
          </w:p>
        </w:tc>
        <w:tc>
          <w:tcPr>
            <w:tcW w:w="482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11.</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Executive Compensation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12.</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Security Ownership of Certain Beneficial Owners and Management and Related Stockholder Matters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13.</w:t>
            </w:r>
          </w:p>
        </w:tc>
        <w:tc>
          <w:tcPr>
            <w:tcW w:w="780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Certain Relationships and Related Transactions, and Director Independence</w:t>
              </w:r>
            </w:hyperlink>
          </w:p>
        </w:tc>
        <w:tc>
          <w:tcPr>
            <w:tcW w:w="14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14.</w:t>
            </w:r>
          </w:p>
        </w:tc>
        <w:tc>
          <w:tcPr>
            <w:tcW w:w="586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Principal Accounting Fees and Services</w:t>
              </w:r>
            </w:hyperlink>
          </w:p>
        </w:tc>
        <w:tc>
          <w:tcPr>
            <w:tcW w:w="334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PART IV</w:t>
              </w:r>
            </w:hyperlink>
          </w:p>
        </w:tc>
        <w:tc>
          <w:tcPr>
            <w:tcW w:w="620" w:type="dxa"/>
            <w:vAlign w:val="bottom"/>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15.</w:t>
            </w:r>
          </w:p>
        </w:tc>
        <w:tc>
          <w:tcPr>
            <w:tcW w:w="338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9"/>
              </w:rPr>
            </w:pPr>
            <w:hyperlink w:anchor="page57">
              <w:r>
                <w:rPr>
                  <w:rFonts w:ascii="Arial" w:cs="Arial" w:eastAsia="Arial" w:hAnsi="Arial"/>
                  <w:sz w:val="18"/>
                  <w:szCs w:val="18"/>
                  <w:b w:val="1"/>
                  <w:bCs w:val="1"/>
                  <w:color w:val="0000EE"/>
                  <w:w w:val="89"/>
                </w:rPr>
                <w:t>Exhibits and Financial Statement Schedules</w:t>
              </w:r>
            </w:hyperlink>
          </w:p>
        </w:tc>
        <w:tc>
          <w:tcPr>
            <w:tcW w:w="582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40" w:type="dxa"/>
            <w:vAlign w:val="bottom"/>
            <w:gridSpan w:val="5"/>
          </w:tcPr>
          <w:p>
            <w:pPr>
              <w:ind w:left="220"/>
              <w:spacing w:after="0" w:line="196" w:lineRule="exact"/>
              <w:rPr>
                <w:sz w:val="20"/>
                <w:szCs w:val="20"/>
                <w:color w:val="auto"/>
              </w:rPr>
            </w:pPr>
            <w:r>
              <w:rPr>
                <w:rFonts w:ascii="Arial" w:cs="Arial" w:eastAsia="Arial" w:hAnsi="Arial"/>
                <w:sz w:val="18"/>
                <w:szCs w:val="18"/>
                <w:b w:val="1"/>
                <w:bCs w:val="1"/>
                <w:color w:val="auto"/>
              </w:rPr>
              <w:t>Item 16.</w:t>
            </w:r>
          </w:p>
        </w:tc>
        <w:tc>
          <w:tcPr>
            <w:tcW w:w="9200" w:type="dxa"/>
            <w:vAlign w:val="bottom"/>
            <w:gridSpan w:val="24"/>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Form 10-K Summary</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026"/>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 CONCERNING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w:t>
      </w:r>
    </w:p>
    <w:p>
      <w:pPr>
        <w:spacing w:after="0" w:line="195" w:lineRule="exact"/>
        <w:rPr>
          <w:sz w:val="20"/>
          <w:szCs w:val="20"/>
          <w:color w:val="auto"/>
        </w:rPr>
      </w:pPr>
    </w:p>
    <w:p>
      <w:pPr>
        <w:ind w:left="880" w:right="180" w:hanging="373"/>
        <w:spacing w:after="0" w:line="269"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impact to our business with respect to developments related to the COVID-19 pandemic, including, without limitation, those related to the length and severity of the pandemic, as well as the timing, availability and acceptance of effective medical treatments, vaccines and booster shots; the spread of potentially more contagious and/or virulent forms of the virus; the pandemic’s impact on our operations, reimbursement and our consumer population; measures we are taking to respond to the pandemic; the impact of government regulation, stimulus and relief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any other stimulus or relief legislation, along with the related uncertainties regarding such measures and any future measures related to COVID-19; increased expenses related to personal protective equipment (“PPE”), labor, supply chain, or other expenditures; workforce disruptions, including shortages and increased labor expenses, associated with competitive labor market conditions and the impact of quarantines; the impact of vaccine mandates on the workforce; and supply shortages and disruptions;</w:t>
      </w:r>
    </w:p>
    <w:p>
      <w:pPr>
        <w:spacing w:after="0" w:line="181"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operational and reimbursement processes and payment structures at the state or federal levels;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Medicaid, Medicare, other government program and managed care organizations policies and payment rates;</w:t>
      </w:r>
    </w:p>
    <w:p>
      <w:pPr>
        <w:spacing w:after="0" w:line="23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our failure to comply with, existing, federal and state laws or regulations, or our failure to comply with new government laws or regulations on a timely basis;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healthcare industry;</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geographical concentration of our operations;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case mix of consumers and payment methodologies;</w:t>
      </w:r>
    </w:p>
    <w:p>
      <w:pPr>
        <w:spacing w:after="0" w:line="238"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changes resulting from the assumption by managed care organizations of responsibility for managing and paying for our services to consumers;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and success of future financial and/or delivery system reforms;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and judgments associated with critical accounting policies;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establish new referral sources;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significant agreements or groups of agreements;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38"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city minimum wage pressure, including any failure of any governmental entity to enact a minimum wage offset and/or the timing of any such enactment;</w:t>
      </w:r>
    </w:p>
    <w:p>
      <w:pPr>
        <w:spacing w:after="0" w:line="170"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payments and covered services due to the overall economic conditions, including economic and business conditions resulting from the COVID-19 pandemic, and deficit spending by federal and state governments;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containment initiatives undertaken by federal, state and other third-party payors;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financing through the capital and credit markets;</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debt service requirements and comply with covenants in debt agreements;</w:t>
      </w:r>
    </w:p>
    <w:p>
      <w:pPr>
        <w:spacing w:after="0" w:line="238"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disruptions due to natural disasters, acts of terrorism, pandemics, riots, civil insurrection or social unrest, looting, protests, strikes or street demonstrations;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and manage our information systems;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prevent cyber-attacks or security breaches to protect our information technology systems and confidential consumer data;</w:t>
      </w:r>
    </w:p>
    <w:p>
      <w:pPr>
        <w:spacing w:after="0" w:line="250"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the market for our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acceptance of privatized social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changes in reimbursement rates;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 standards and limits on services imposed by state governmental agencies;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litigation;</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discretionary determinations by government officials;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model to grow our business;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identifying, pursuing, consummating and integrating acquisition opportunities and expand into new geographic markets;</w:t>
      </w:r>
    </w:p>
    <w:p>
      <w:pPr>
        <w:spacing w:after="0" w:line="261" w:lineRule="exact"/>
        <w:rPr>
          <w:rFonts w:ascii="Arial" w:cs="Arial" w:eastAsia="Arial" w:hAnsi="Arial"/>
          <w:sz w:val="16"/>
          <w:szCs w:val="16"/>
          <w:color w:val="auto"/>
        </w:rPr>
      </w:pPr>
    </w:p>
    <w:p>
      <w:pPr>
        <w:ind w:left="880" w:hanging="373"/>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acquisitions and dispositions on our business, including the potential inability to realize the benefits of potential acquisitions;</w:t>
      </w:r>
    </w:p>
    <w:p>
      <w:pPr>
        <w:spacing w:after="0" w:line="250" w:lineRule="exact"/>
        <w:rPr>
          <w:rFonts w:ascii="Arial" w:cs="Arial" w:eastAsia="Arial" w:hAnsi="Arial"/>
          <w:sz w:val="17"/>
          <w:szCs w:val="17"/>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quality and cost of our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public health emergencies, including the COVID-19 pandemic;</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inclement weather or natural disasters; and</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other matters, many of which are beyond our control.</w:t>
      </w:r>
    </w:p>
    <w:p>
      <w:pPr>
        <w:spacing w:after="0" w:line="23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7—“Management’s Discussion and Analysis of Financial Condition and Results of Operations—Critical Accounting Policies and Estimates.”</w:t>
      </w:r>
    </w:p>
    <w:p>
      <w:pPr>
        <w:spacing w:after="0" w:line="19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Unless otherwise provided, “Addus,” “we,” “us,” “our,” and the “Company” refer to Addus HomeCare Corporation and our consolidated subsidiaries and “Holdings” refers to Addus HomeCare Corporation. When we refer to 2021, 2020 and 2019, we mean the twelve month period then ended December 31, unless otherwise provided.</w:t>
      </w:r>
    </w:p>
    <w:p>
      <w:pPr>
        <w:spacing w:after="0" w:line="184"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A copy of this Annual Report on Form 10-K for the year ended December 31, 2021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Addus has been providing home care services since 1979. We operate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w:t>
      </w:r>
    </w:p>
    <w:p>
      <w:pPr>
        <w:spacing w:after="0" w:line="1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As of December 31, 2021, we provided services in 22 states through approximately 206 offices. For the years ended December 31, 2021 and 2020, we served approximately 67,000 and 66,000 discrete consumers, respectively.</w:t>
      </w:r>
    </w:p>
    <w:p>
      <w:pPr>
        <w:spacing w:after="0" w:line="17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continue to drive organic growth while also growing through acquisitions, focusing on growth in the states in which we have a presence while adding clinical care services to our offerings. As of December 31, 2021, we provide all three levels of care, personal care, home health and hospice services, in Ohio and New Mexico and strategically continue to pursue other markets.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is provided in the table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gridSpan w:val="3"/>
          </w:tcPr>
          <w:p>
            <w:pPr>
              <w:jc w:val="right"/>
              <w:ind w:right="127"/>
              <w:spacing w:after="0" w:line="155" w:lineRule="exact"/>
              <w:rPr>
                <w:sz w:val="20"/>
                <w:szCs w:val="20"/>
                <w:color w:val="auto"/>
              </w:rPr>
            </w:pPr>
            <w:r>
              <w:rPr>
                <w:rFonts w:ascii="Arial" w:cs="Arial" w:eastAsia="Arial" w:hAnsi="Arial"/>
                <w:sz w:val="14"/>
                <w:szCs w:val="14"/>
                <w:b w:val="1"/>
                <w:bCs w:val="1"/>
                <w:color w:val="auto"/>
                <w:w w:val="97"/>
              </w:rPr>
              <w:t>(Amounts in Thousands)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Personal care</w:t>
            </w:r>
          </w:p>
        </w:tc>
        <w:tc>
          <w:tcPr>
            <w:tcW w:w="340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685,854</w:t>
            </w:r>
          </w:p>
        </w:tc>
        <w:tc>
          <w:tcPr>
            <w:tcW w:w="122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647,233</w:t>
            </w:r>
          </w:p>
        </w:tc>
        <w:tc>
          <w:tcPr>
            <w:tcW w:w="22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Hospice</w:t>
            </w:r>
          </w:p>
        </w:tc>
        <w:tc>
          <w:tcPr>
            <w:tcW w:w="2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152,253</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101,297</w:t>
            </w:r>
          </w:p>
        </w:tc>
        <w:tc>
          <w:tcPr>
            <w:tcW w:w="22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Home health</w:t>
            </w:r>
          </w:p>
        </w:tc>
        <w:tc>
          <w:tcPr>
            <w:tcW w:w="24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shd w:val="clear" w:color="auto" w:fill="CFF0FC"/>
          </w:tcPr>
          <w:p>
            <w:pPr>
              <w:spacing w:after="0"/>
              <w:rPr>
                <w:sz w:val="19"/>
                <w:szCs w:val="19"/>
                <w:color w:val="auto"/>
              </w:rPr>
            </w:pPr>
          </w:p>
        </w:tc>
      </w:tr>
      <w:tr>
        <w:trPr>
          <w:trHeight w:val="263"/>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service revenue by segment</w:t>
            </w:r>
          </w:p>
        </w:tc>
        <w:tc>
          <w:tcPr>
            <w:tcW w:w="248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864,499</w:t>
            </w:r>
          </w:p>
        </w:tc>
        <w:tc>
          <w:tcPr>
            <w:tcW w:w="30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764,775</w:t>
            </w:r>
          </w:p>
        </w:tc>
        <w:tc>
          <w:tcPr>
            <w:tcW w:w="220" w:type="dxa"/>
            <w:vAlign w:val="bottom"/>
            <w:tcBorders>
              <w:bottom w:val="single" w:sz="8" w:color="CFF0FC"/>
            </w:tcBorders>
          </w:tcPr>
          <w:p>
            <w:pPr>
              <w:spacing w:after="0"/>
              <w:rPr>
                <w:sz w:val="22"/>
                <w:szCs w:val="22"/>
                <w:color w:val="auto"/>
              </w:rPr>
            </w:pPr>
          </w:p>
        </w:tc>
      </w:tr>
      <w:tr>
        <w:trPr>
          <w:trHeight w:val="210"/>
        </w:trPr>
        <w:tc>
          <w:tcPr>
            <w:tcW w:w="518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income</w:t>
            </w:r>
          </w:p>
        </w:tc>
        <w:tc>
          <w:tcPr>
            <w:tcW w:w="340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45,126</w:t>
            </w:r>
          </w:p>
        </w:tc>
        <w:tc>
          <w:tcPr>
            <w:tcW w:w="122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947,585</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892,582</w:t>
            </w:r>
          </w:p>
        </w:tc>
        <w:tc>
          <w:tcPr>
            <w:tcW w:w="2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which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spacing w:after="0" w:line="16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believe our model provides significant value to managed care organizations. States continue to implement managed care programs for Medicaid enrollees, and, as a result, managed care organizations have been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and Opportunity</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provide home care services that primarily include personal care services to assist with activities of daily living, as well as hospice and home health services. These services allow the elderly and other infirm adults who require long-term care and assistance with activities of daily living to maintain their independence at home with their families. Personal care services are a significant component of home and community-based services (“HCBS”), which have grown in significance and demand in recent years and during the COVID-19 pandemic. In particular, the demand for personal care services is growing from managed care delivery models, including Medicaid and Medicare Advantage plans. Managed care plans aim to manage cost, utilization and quality through collaboration of health insurance plans and healthcare providers. We also offer personal care services to private pay consumers. We expect demand for HCBS to continue to grow due to the aging of the U.S. population and improved opportunities for individuals to receive home-based care as an alternative to institutional 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Because our model serves an aging population in a home setting at a lower cost, we believe that we have favorable opportunities for growth. Historically, there were limited barriers to entry in the home-based services industry. As a result, the personal care, home health and hospice service industries developed in a highly fragmented manner, with few large participants and many small ones. Few companies have a significant market share across multiple regions or states. The lack of licensure or certification requirements in some states makes it difficult to estimate the number of home-based services agencies. We expect ongoing consolidation within our industry, driven by the desire of healthcare systems and managed care organizations to narrow their networks of service providers, and also as a result of the industry’s increasingly complex regulatory, operating and technology requirements. We believe we are well positioned to capitalize on a consolidating industry given our reputation in the market, strong payor relationships and integration of technology into our business model.</w:t>
      </w:r>
    </w:p>
    <w:p>
      <w:pPr>
        <w:spacing w:after="0" w:line="19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The personal care services industry is subject to increasing regulation. At the federal level, efforts have focused on improved coordination of regulation across the various types of Medicaid programs through which personal care services are offered. Federally required state mandates include implementing electronic visit verification (“EVV”), which is used to collect home visit data, and obtaining state licenses or registrations. Providers must dedicate substantial resources to ensure continuing compliance with all applicable regulations and significant expenditures may be necessary to offer new services or to expand into new markets. We believe licensing requirements and regulations, including EVV, the increasing focus on improving health outcomes, the rising cost and complexity of operations and technology and pressure on reimbursement rates due to constrained government resources may discourage new providers and may encourage industry consolidation.</w:t>
      </w:r>
    </w:p>
    <w:p>
      <w:pPr>
        <w:spacing w:after="0" w:line="177"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 Medicare-Medicaid Coordination Office (“MMCO”) was established within the Centers for Medicare &amp; Medicaid Services (“CMS”) to improve services for consumers who are eligible for both Medicare and Medicaid, also known as “dual eligibles,”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In addition, the MMCO and the CMS Innovation Center are considering or have implemented demonstration projects affecting reimbursement for services provided to dual eligibles.</w:t>
      </w:r>
    </w:p>
    <w:p>
      <w:pPr>
        <w:spacing w:after="0" w:line="19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believe that our personal care program and our technology make us well-suited to partner with managed care organizations to address the needs of the “dual eligible” population, and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growth of our revenues is closely correlated with the number of consumers to whom we provide our services. Our continued growth depends on our ability to provide consistently high quality care, maintain our existing payor relationships, establish relationships with new payors, increase our referral sources and our ability to attract and retain caregivers. Our continued growth is also dependent upon the authorization by state agencies of new consumers to receive our services. We believe there are several market opportunities for growth as the population ages. Moreover, we believe that individuals generally prefer to receive care in their homes. We believe that the COVID-19 pandemic has heightened this preference due to health concerns that may be associated with institutional settings for long-term care, along with concerns about the re-imposition of visitor restrictions that were imposed in many long-term care facilities in response to the pandemic. Finally, we believe the provision of home-based services is more cost-effective than the provision of similar services in institutional settings for long-term care. We plan to continue our revenue growth and margin improvement and enhance our competitive positioning by executing on the following growth strategies: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Consistently Provide High-Quality Care</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assists our caregivers with identifying changes in our consumers’ health and condition before acute intervention is required, which we believe lowers the overall cost of care.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Drive Organic Growth in Existing Markets</w:t>
      </w:r>
    </w:p>
    <w:p>
      <w:pPr>
        <w:spacing w:after="0" w:line="117" w:lineRule="exact"/>
        <w:rPr>
          <w:sz w:val="20"/>
          <w:szCs w:val="20"/>
          <w:color w:val="auto"/>
        </w:rPr>
      </w:pPr>
    </w:p>
    <w:p>
      <w:pPr>
        <w:ind w:right="560" w:firstLine="509"/>
        <w:spacing w:after="0" w:line="263" w:lineRule="auto"/>
        <w:rPr>
          <w:sz w:val="20"/>
          <w:szCs w:val="20"/>
          <w:color w:val="auto"/>
        </w:rPr>
      </w:pPr>
      <w:r>
        <w:rPr>
          <w:rFonts w:ascii="Arial" w:cs="Arial" w:eastAsia="Arial" w:hAnsi="Arial"/>
          <w:sz w:val="18"/>
          <w:szCs w:val="18"/>
          <w:color w:val="auto"/>
        </w:rPr>
        <w:t>We intend to drive organic growth through several initiatives, including continuing to build and enhance our sales and marketing capabilities, enhancing our business intelligence analytic capabilities, recruiting and retaining employees and investing in technology and operations to drive efficiencies. We also expect our organic growth will benefit from an increase in demand for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services by an aging population and our increased alignment with referral sources and payors. We continue to selectively open new offices in existing markets when an opportunity is identified and appropriate.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 to Managed Care Organizations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As a large-scale provider of home-based care, we are partnering with managed care organizations, taking advantage of an industry shift from traditional fee-for-service Medicare and Medicaid and toward managed care models, which aim to better coordinate care.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 In particular, our expansion from primarily personal care services into hospice and home health has increased our value to our managed care partners by diversifying our home-based care offerings.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Grow Through Acquisitions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addition to our organic growth, we have been growing through acquisitions that have expanded our presence in current markets or facilitated our entry into new markets. We completed two acquisitions in 2021, despite the continuing challenges and disruptions related to the COVID-19 pandemic: Armada Skilled Homecare of New Mexico LLC, Armada Hospice of New Mexico LLC and Armada Hospice of Santa Fe LLC (collectively, “Armada”) on August 1, 2021 and Summit Home Health, LLC (“Summit”) on October 1, 2021. Acquisitions completed in 2021 accounted for $5.7 million in net service revenues for the year ended December 31, 2021. We also completed four acquisitions in 2020: A Plus Health Care, Inc. (“A Plus”) on July 1, 2020, County Homemakers, Inc. (“County Homemakers”) on November 1, 2020, SLHC, Inc., d/b/a SunLife Home Care (“SunLife Home Care”) on December 1, 2020 and Queen City Hospice on December 4, 2020. Acquisitions completed in 2020 accounted for $82.5 million and $12.1 million in net service revenues for the years ended December 31, 2021 and 2020, respectively.</w:t>
      </w:r>
    </w:p>
    <w:p>
      <w:pPr>
        <w:spacing w:after="0" w:line="178" w:lineRule="exact"/>
        <w:rPr>
          <w:sz w:val="20"/>
          <w:szCs w:val="20"/>
          <w:color w:val="auto"/>
        </w:rPr>
      </w:pPr>
    </w:p>
    <w:p>
      <w:pPr>
        <w:jc w:val="both"/>
        <w:ind w:right="80" w:firstLine="509"/>
        <w:spacing w:after="0" w:line="257" w:lineRule="auto"/>
        <w:rPr>
          <w:sz w:val="20"/>
          <w:szCs w:val="20"/>
          <w:color w:val="auto"/>
        </w:rPr>
      </w:pPr>
      <w:r>
        <w:rPr>
          <w:rFonts w:ascii="Arial" w:cs="Arial" w:eastAsia="Arial" w:hAnsi="Arial"/>
          <w:sz w:val="18"/>
          <w:szCs w:val="18"/>
          <w:color w:val="auto"/>
        </w:rPr>
        <w:t>Our active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opportunities generated by our acquisition pipeline, as well as our history of integrating acquisitions, will lead to additional growth.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22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operate three business segments: (i) personal care (ii) hospice and (iii) home health. Without our services, many of our consumers would be at increased risk of placement in a long-term care institution.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feeding and dressing, medication reminders, meal planning and preparation, housekeeping and transportation services. Many consumers need such services on a long-term basis to address chronic or acute conditions. Our personal care segment also includes staffing services, with clients including assisted living facilities, nursing homes and hospice facilities. Each payor client establishes its own eligibility standards, determines the type, amount, duration and scope of services, and establishes the applicable reimbursement rate in accordance with applicable law, regulations or contracts.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hospice segment provides physical, emotional and spiritual care for people who are terminally ill as well as related services for their families.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hospice services we provide include palliative nursing care, social work, spiritual counseling, homemaker services and bereavement counseling.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patients receiving hospice services have a life expectancy of six months or less.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home health segment provides services that are primarily medical in nature to individuals who may require assistance during an illness or after hospitalization and include skilled nursing and physical, occupational and speech therapy. We generally provide home health services on a short-term, intermittent or episodic basis to individuals, typically to assist patients recovering from an illness or injury.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580" w:firstLine="509"/>
        <w:spacing w:after="0" w:line="308" w:lineRule="auto"/>
        <w:rPr>
          <w:sz w:val="20"/>
          <w:szCs w:val="20"/>
          <w:color w:val="auto"/>
        </w:rPr>
      </w:pPr>
      <w:r>
        <w:rPr>
          <w:rFonts w:ascii="Arial" w:cs="Arial" w:eastAsia="Arial" w:hAnsi="Arial"/>
          <w:sz w:val="17"/>
          <w:szCs w:val="17"/>
          <w:color w:val="auto"/>
        </w:rPr>
        <w:t>We measure the performance of each segment using a number of different metrics. See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Operations—Results of Operations</w:t>
      </w:r>
      <w:r>
        <w:rPr>
          <w:rFonts w:ascii="Arial" w:cs="Arial" w:eastAsia="Arial" w:hAnsi="Arial"/>
          <w:sz w:val="17"/>
          <w:szCs w:val="17"/>
          <w:color w:val="auto"/>
        </w:rPr>
        <w:t>” for information regarding the Company’s segment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Payors</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Our payor clients are principally federal, state and local governmental agencies and managed care organizations. The federal, state and local programs under which the agencies operate are subject to legislative and budgetary changes and other risks that can influence reimbursement rates. Managed care organizations that operate as an extension of our government payors are subject to similar economic pressures. Our commercial insurance payor clients are typically for profit companies and are continuously seeking opportunities to control costs.</w:t>
      </w:r>
    </w:p>
    <w:p>
      <w:pPr>
        <w:spacing w:after="0" w:line="17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personal care segment payor mix as states shift from administering fee-for-service programs to utilizing managed care models. See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Operations—Overview</w:t>
      </w:r>
      <w:r>
        <w:rPr>
          <w:rFonts w:ascii="Arial" w:cs="Arial" w:eastAsia="Arial" w:hAnsi="Arial"/>
          <w:sz w:val="16"/>
          <w:szCs w:val="16"/>
          <w:color w:val="auto"/>
        </w:rPr>
        <w:t>” for our revenue mix by payor type.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believe our industry is highly competitive, fragmented and market specific. Each local market has its own competitive profile and no single competitor has significant market share across all of our markets. Our competition consists of personal care service providers, home health providers, hospice providers, private caregivers, larger publicly held companies, privately held companies, privately held single-site agencies, hospital-based agencies, not-for-profit organizations, community-based organizations, managed care organizations and self-directed care programs. In addition, certain governmental payors contract for services with independent providers such that our relationships with these payors are not exclusive. We have experienced, and expect to continue to experience, competition from new entrants into our markets. Increased competition may result in pricing pressures, loss of or failure to gain market share or loss of consumers or payors, any of which could harm our business. In addition, some of our competitors may have greater financial, technical, political and marketing resources, as well as name recognition with consumers and payors.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systems of governmental entities and attempt to work with and provide input to the responsible government personnel, provider associations and consumer advocacy groups.</w:t>
      </w:r>
    </w:p>
    <w:p>
      <w:pPr>
        <w:spacing w:after="0" w:line="17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establish new referral relationships with various managed care organizations that contract with the states for the servicing of the state Medicaid programs. We have met with many contracted managed care organizations in markets we serve and believe we are building the relationships necessary to generate continued referrals of new clients.</w:t>
      </w:r>
    </w:p>
    <w:p>
      <w:pPr>
        <w:spacing w:after="0" w:line="184"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receive substantially all of our personal care consumers through third-party referrals, including state departments on aging, rehabilitation, mental health and children’s services, county departments of social services, managed care organizations, the Veterans Health Administration and city departments on aging. Generally, family members of potential consumers are made aware of available in-home or alternative living arrangements through state or local case management systems. These systems are operated by governmental or private agencies.</w:t>
      </w:r>
    </w:p>
    <w:p>
      <w:pPr>
        <w:spacing w:after="0" w:line="171"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spacing w:after="0" w:line="184"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With respect to our hospice and home health patients, we receive substantially all of our referrals through other health care providers, such as hospitals, physicians, nursing homes and assisted living facilities. We have a team of community liaisons in our hospice and home health operations that educate and develop relationships with other health care providers and the community at large.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for Services</w:t>
      </w:r>
    </w:p>
    <w:p>
      <w:pPr>
        <w:spacing w:after="0" w:line="117"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We are reimbursed for substantially all of our services by federal, state and local government programs, such as Medicare and Medicaid state programs, managed care organizations, other state agencies and the Veterans Health Administration. In addition, we are reimbursed by commercial insurance and private pay consumers. Depending on the type of service, coverage for services may be predicated on a case manager, physician or nurse determination that the care is necessary or on the development of a plan for care in the home.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Department on Aging</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 significant amount of our net service revenues from our personal care segment are derived from one specific payor client, the Illinois Department on Aging, which accounted for 21.4% and 23.0% of our net service revenues for 2021 and 2020, respectively. The Illinois Department on Aging coordinates programs and community-based services intended to improve quality of life and preserve the independence of older individuals. The Illinois Department on Aging is funded by Medicaid and general revenue funds of the state of Illinois, and also receives funding available under the federal Older Americans Act (“OAA”). The Department on Aging’s Community Care Program (“CCP”) provides adult day services, emergency home response and in-home services, which consist of personal care services, to individuals who are age 60 and over and meet other eligibility requirements. Some of these services are provided through Medicaid waivers granted by CMS.</w:t>
      </w:r>
    </w:p>
    <w:p>
      <w:pPr>
        <w:spacing w:after="0" w:line="17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Consumers are identified by “care coordinators” contracted independently with the Illinois Department on Aging. Once a consumer has been evaluated and determined to be eligible for a program, an assigned care coordinator refers the consumer to a list of authorized providers, from which the consumer selects the provider. We provide our services in accordance with a care plan developed by the care coordinator and under administrative directives from the Illinois Department on Aging. We are reimbursed on an hourly fee-for-service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State and Local Payors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Medicare is a federal program that provides medical services to persons aged 65 or older and other qualified persons with disabilities or end-stage renal disease. Each of our hospice and home care agencies must comply with the extensive conditions of participation in the Medicare program in order to continue receiving Medicare reimbursement.</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CMS requires hospice providers to submit quality reporting data each year and updates hospice payment rates annually using a market basket index. Hospices that do not satisfy quality reporting requirements are subject to a 2 percentage point reduction to the market basket percentage update. Beginning in 2024, the reduction to the market basket update for failure to satisfy quality reporting requirements will increase to 4 percentage points. Additionally, hospice providers are subject to two specific payment limit caps under the Medicare program each federal fiscal year: the inpatient cap and the aggregate cap, as discussed further in Note 1 to the Notes to Consolidated Financial Statements.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CMS reimburses home health agencies under a prospective payment system, paying a national, standardized 30-day period payment rate if a period of care meets a threshold of home health visits. The daily home health payment rate is adjusted for case-mix and area wage levels. CMS uses the Patient-Driven Groupings Model (“PDGM”) as the case-mix classification model to place periods of care into payment categories, classifying patients based on clinical characteristics. An outlier adjustment may be paid for periods of care in which costs exceed a specific threshold amount. CMS updates home health payment rates annually using a market basket index. Home health agencies that do not submit required quality data are subject to a 2 percentage point reduction to the market basket update. In addition, effective January 1, 2022, CMS began implementing a nationwide expansion of the Home Health Value-Based Purchasing (“HHVBP”) Model. Under the HHVBP Model, home health agencies will receive increases or reductions to their Medicare fee-for-service payments of up to 5%. Data collected in each performance year beginning in calendar year 2023 will impact Medicare payments two years later. The HHVBP Model is designed to support greater quality and efficiency of care by shifting from volume-based payments to a model where payments are tied to quality performance.</w:t>
      </w:r>
    </w:p>
    <w:p>
      <w:pPr>
        <w:spacing w:after="0" w:line="185"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Effective January 1, 2022, Medicare requires home health agencies to submit a one-time Notice of Admission (“NOA”) for each patient that establishes that the beneficiary is under a Medicare home health period of care. Failure to submit the NOA within five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calendar days from the start of care date will result in a reduction to the 30-day period payment amount for each day from the start of care date until the date the NOA is submitted.</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Medicaid Programs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intermittent home health services for Medicaid beneficiaries, but cover continuous services for children and young adults with complicated medical conditions and home and community-based services for seniors and people with disabilities.</w:t>
      </w:r>
    </w:p>
    <w:p>
      <w:pPr>
        <w:spacing w:after="0" w:line="16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Payment models vary by state. Currently, home health services are often reimbursed by state Medicaid programs on a fee-for-service basis. For hospice services, the state pays an amount for each day that a beneficiary is under the care of a hospice provider based on the type and intensity of services furnished. Many states are moving the administration of their Medicaid hospice and home health care programs to managed care organizations in order to effectively manage costs.</w:t>
      </w:r>
    </w:p>
    <w:p>
      <w:pPr>
        <w:spacing w:after="0" w:line="18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Currently, personal care services and other HCBS are largely reimbursed on a fee-for-service basis. Some states have received permission from CMS to provide HCBS under waivers of traditional Medicaid requirements. In an effort to control escalating Medicaid costs, states are increasingly requiring Medicaid beneficiaries to enroll in managed care plans for better coordination of HCBS and health care services. For example, over three-quarters of Medicaid beneficiaries in Illinois are a part of the Health Choice Illinois statewide managed care program, which is serviced by various managed care organizations. Reimbursement from the managed care organizations for personal care services is generally on an hourly, fee-for-service basis with rates consistent with or as a percentage of the individual state funded rates, where applicable.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Veterans Health Administration</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Veterans Health Administration operates the nation’s largest integrated healthcare system, with more than 1,200 healthcare facilities,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principally in New Mexico, Illinois and California.</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Other sources of funding are available to support personal care, hospice and home health services in different states and localities. For example,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 Relief</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Federal and state governments have passed legislation, promulgated regulations, and taken other administrative actions intended to assist healthcare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providers in providing care to COVID-19 patients and other patients during the public health emergency. These temporary measures include relief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Medicare conditions of participation requirements for healthcare providers, relaxation of licensure requirements for healthcare professionals, relaxation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privacy restrictions for telehealth remote communications, promoting use of telehealth by expanding the scope of services for which Medicare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reimbursement is available, and limited waivers of fraud and abuse laws for activities related to COVID-19 during the emergency period. See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Operations—“Overview” and “Liquidity and Capital Resources</w:t>
      </w:r>
      <w:r>
        <w:rPr>
          <w:rFonts w:ascii="Arial" w:cs="Arial" w:eastAsia="Arial" w:hAnsi="Arial"/>
          <w:sz w:val="17"/>
          <w:szCs w:val="17"/>
          <w:color w:val="auto"/>
        </w:rPr>
        <w:t>”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COVID-19 pandemic relief.</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Insurance</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Most long-term care insurance policies contain benefits for in-home services. Policies are generally subject to dollar limitations on the amount of daily, weekly or monthly coverage provided.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Pay</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Programs and Costs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breakdown of our part- and full-time employees, including the employees in our corporate support center,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380" w:type="dxa"/>
            <w:vAlign w:val="bottom"/>
          </w:tcPr>
          <w:p>
            <w:pPr>
              <w:ind w:left="680"/>
              <w:spacing w:after="0"/>
              <w:rPr>
                <w:sz w:val="20"/>
                <w:szCs w:val="20"/>
                <w:color w:val="auto"/>
              </w:rPr>
            </w:pPr>
            <w:r>
              <w:rPr>
                <w:rFonts w:ascii="Arial" w:cs="Arial" w:eastAsia="Arial" w:hAnsi="Arial"/>
                <w:sz w:val="14"/>
                <w:szCs w:val="14"/>
                <w:b w:val="1"/>
                <w:bCs w:val="1"/>
                <w:color w:val="auto"/>
              </w:rPr>
              <w:t>Full-time</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ind w:left="660"/>
              <w:spacing w:after="0"/>
              <w:rPr>
                <w:sz w:val="20"/>
                <w:szCs w:val="20"/>
                <w:color w:val="auto"/>
              </w:rPr>
            </w:pPr>
            <w:r>
              <w:rPr>
                <w:rFonts w:ascii="Arial" w:cs="Arial" w:eastAsia="Arial" w:hAnsi="Arial"/>
                <w:sz w:val="14"/>
                <w:szCs w:val="14"/>
                <w:b w:val="1"/>
                <w:bCs w:val="1"/>
                <w:color w:val="auto"/>
              </w:rPr>
              <w:t>Part-time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ind w:left="800"/>
              <w:spacing w:after="0"/>
              <w:rPr>
                <w:sz w:val="20"/>
                <w:szCs w:val="20"/>
                <w:color w:val="auto"/>
              </w:rPr>
            </w:pPr>
            <w:r>
              <w:rPr>
                <w:rFonts w:ascii="Arial" w:cs="Arial" w:eastAsia="Arial" w:hAnsi="Arial"/>
                <w:sz w:val="14"/>
                <w:szCs w:val="14"/>
                <w:b w:val="1"/>
                <w:bCs w:val="1"/>
                <w:color w:val="auto"/>
              </w:rPr>
              <w:t>Total</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Caregivers and agency staff</w:t>
            </w:r>
          </w:p>
        </w:tc>
        <w:tc>
          <w:tcPr>
            <w:tcW w:w="1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26,488</w:t>
            </w:r>
          </w:p>
        </w:tc>
        <w:tc>
          <w:tcPr>
            <w:tcW w:w="3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Corporate support centers</w:t>
            </w:r>
          </w:p>
        </w:tc>
        <w:tc>
          <w:tcPr>
            <w:tcW w:w="560" w:type="dxa"/>
            <w:vAlign w:val="bottom"/>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23"/>
        </w:trPr>
        <w:tc>
          <w:tcPr>
            <w:tcW w:w="46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26,499</w:t>
            </w:r>
          </w:p>
        </w:tc>
        <w:tc>
          <w:tcPr>
            <w:tcW w:w="3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3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caregivers, excluding agency staff, provide substantially all of our services and comprise approximately 95.2% of our total workforce. They undergo a criminal background check and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Approximately 52.1% of our total employees are represented by labor unions. We maintain strong working relationships with these labor unions. We have numerous collective bargaining agreements with the Service Employees International Union (“SEIU”), which are renegotiated from time to time.</w:t>
      </w:r>
    </w:p>
    <w:p>
      <w:pPr>
        <w:spacing w:after="0" w:line="192" w:lineRule="exact"/>
        <w:rPr>
          <w:sz w:val="20"/>
          <w:szCs w:val="20"/>
          <w:color w:val="auto"/>
        </w:rPr>
      </w:pPr>
    </w:p>
    <w:p>
      <w:pPr>
        <w:ind w:left="260" w:right="1480" w:firstLine="254"/>
        <w:spacing w:after="0" w:line="375" w:lineRule="auto"/>
        <w:rPr>
          <w:sz w:val="20"/>
          <w:szCs w:val="20"/>
          <w:color w:val="auto"/>
        </w:rPr>
      </w:pPr>
      <w:r>
        <w:rPr>
          <w:rFonts w:ascii="Arial" w:cs="Arial" w:eastAsia="Arial" w:hAnsi="Arial"/>
          <w:sz w:val="18"/>
          <w:szCs w:val="18"/>
          <w:color w:val="auto"/>
        </w:rPr>
        <w:t xml:space="preserve">We value our employees and believe they are the reason for our success. We strive to provide the following, among other things. </w:t>
      </w:r>
      <w:r>
        <w:rPr>
          <w:rFonts w:ascii="Arial" w:cs="Arial" w:eastAsia="Arial" w:hAnsi="Arial"/>
          <w:sz w:val="18"/>
          <w:szCs w:val="18"/>
          <w:i w:val="1"/>
          <w:iCs w:val="1"/>
          <w:color w:val="auto"/>
        </w:rPr>
        <w:t>Employee Health and Safety</w:t>
      </w:r>
    </w:p>
    <w:p>
      <w:pPr>
        <w:spacing w:after="0" w:line="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Addus continues to prioritize the health and safety of our employees. We recognize the importance of employee health and well-being, which can be assessed by measures such as employee satisfaction, work-related injuries and access to healthcare services. Our benefits strategy is to provide an attractive package for our eligible employees with quality care choices that fit their needs. Along with health insurance, we provide a number of benefits to encourage and support the health and safety of our employees, such as dental and vision insurance, disability and life insurance, a 401(k) plan and an employee assistance program.</w:t>
      </w:r>
    </w:p>
    <w:p>
      <w:pPr>
        <w:spacing w:after="0" w:line="296"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As the COVID-19 pandemic persists, we recognize the challenges presented and have adjusted our operations to comply with health and safety standards, regulations and guidance provided by the Occupational Safety and Health Administration (“OSHA”), the United States Department of Labor and other regulatory bodies that focus on the safety of employees. The steps taken included, but were not limited to, the following:</w:t>
      </w:r>
    </w:p>
    <w:p>
      <w:pPr>
        <w:spacing w:after="0" w:line="57" w:lineRule="exact"/>
        <w:rPr>
          <w:sz w:val="20"/>
          <w:szCs w:val="20"/>
          <w:color w:val="auto"/>
        </w:rPr>
      </w:pPr>
    </w:p>
    <w:p>
      <w:pPr>
        <w:ind w:left="740" w:right="2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Developed a multistep program in order to strongly encourage our employees to get the COVID-19 vaccine, which includes offering a vaccine stipend and incentives as well as delivering educational and motivational leadership communications;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guidance for clinical and field staff with respect to exposure to COVID-19 and return to service;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PPE to caregivers on a regular basis;</w:t>
      </w:r>
    </w:p>
    <w:p>
      <w:pPr>
        <w:spacing w:after="0" w:line="144"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various communication methods in order to communicate up-to-date real-time information relative to COVID-19, including on the Addus Intranet and a texting method to provide caregivers direct information;</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branch office and corporate support center retrofitting where needed to maintain proper social distancing and implemented prescreen questionnaires;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Implemented remote and flexible work arrangements for the administrative employees in our corporate support centers.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Recruiting and Development</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Employee recruiting and retention remains a top priority each year for Addus, as we are committed to hiring and retaining excellent employees. As the labor market continues to be tight and unemployment has declined in comparison to earlier levels, the competition for new caregivers has increased, which will continue to impact our ability to attract and retain new caregivers.</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believe that a strong workplace culture focused on employee engagement enables ongoing learning and promotes the development of individual career growth, necessary to successfully retain and develop diverse talent. Addus recognizes the importance of employee engagement and we have implemented programs focused on new hire experiences and integration, ongoing learning opportunities though the Addus Learning Academy and Addus Institute of Skilled Care Education (“AISCE”), and mentoring through leadership training. The Addus Learning Academy allows employees to access training and resources necessary to build the skills specifically related to their respective positions at Addus. AISCE provides continuing education courses to support licensing and re-certification for our clinical employees.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Communication and Recognition</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committed to fostering employee satisfaction and wellness through employee recognition programs, communications and services. We have developed two primary communication tools to distribute information to our branches and administrative employees, the SC Connect and Addus Ink newsletters. Addus Ink is a quarterly newsletter that features local branch content from around the country that is focused on fulfilling our Addus Mission and Values. SC Connect is a biweekly newsletter that features important Company updates, information and resources. We have also implemented the Addus Elite Program, which has three levels of recognition; peer to peer, quarterly recognition and Addus Elite Hall of Fame, designed to celebrate the amazing work our employees do on a daily basis. We believe it is important to acknowledge our colleagues, managers, and direct reports who are living our Addus Mission and Values every day.</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Community Outreach</w:t>
      </w:r>
    </w:p>
    <w:p>
      <w:pPr>
        <w:spacing w:after="0" w:line="117" w:lineRule="exact"/>
        <w:rPr>
          <w:sz w:val="20"/>
          <w:szCs w:val="20"/>
          <w:color w:val="auto"/>
        </w:rPr>
      </w:pPr>
    </w:p>
    <w:p>
      <w:pPr>
        <w:ind w:right="80" w:firstLine="562"/>
        <w:spacing w:after="0" w:line="272" w:lineRule="auto"/>
        <w:rPr>
          <w:sz w:val="20"/>
          <w:szCs w:val="20"/>
          <w:color w:val="auto"/>
        </w:rPr>
      </w:pPr>
      <w:r>
        <w:rPr>
          <w:rFonts w:ascii="Arial" w:cs="Arial" w:eastAsia="Arial" w:hAnsi="Arial"/>
          <w:sz w:val="17"/>
          <w:szCs w:val="17"/>
          <w:color w:val="auto"/>
        </w:rPr>
        <w:t>We are committed to efforts to make a difference in our communities. Our local investments include providing monetary and personnel contributions to faith based organizations, public housing authorities, public school systems and other non-profit community organizations. For example, we partner with organizations such as The Hope Foundation, which provides resources to families in need of additional help outside of the hospice benefit; the National Minority Health Association, which seeks to mobilize homecare workers to increase vaccination confidence and rates in underserved communities through its Flex for Checks community-based program; and National Association of Area Agencies on Aging, a network of agencies responsible for local planning of home and community based services delivered to older Americans. Additionally, our employees are involved in various local events such as taking part in town parades, holding food drives and providing health and PPE to first responders.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currently utilize multiple applications to support our various lines of business and locations for patient accounting. Each application supports its respective line of business and locations with administrative, office, clinical and operating information system needs, including compliance of our operating systems with federal and state privacy, security and interoperability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spacing w:after="0" w:line="176"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In order to comply with current and future state and federal regulations around EVV use, we utilize several different vendors and have built interfaces between the EVV vendor and the patient accounting system utilized in the respective branch location. Our caregivers use a mix of Interactive Voice Response (“IVR”) and mobile applications for EVV. In addition, we use these technologies to record basic information about each visit, record start and end times for a scheduled shift, track mileage reimbursement, send text messages to the caregivers and communicate basic payroll information.</w:t>
      </w:r>
    </w:p>
    <w:p>
      <w:pPr>
        <w:spacing w:after="0" w:line="15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license the Qlik Business Intelligence (“Qlik”) platform to provide historical, current, and forward-looking operational performance analysis. We currently have our personal care and hospice segments integrated into Qlik.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at all levels, from senior management to operators in the field.</w:t>
      </w:r>
    </w:p>
    <w:p>
      <w:pPr>
        <w:spacing w:after="0" w:line="15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We utilize the ADPVantage Suite as our base human resources and payroll processing system and use their services and products to manage our leave of absence processes, benefits, 401(k) and flexible spending account administration, garnishment services, payroll tax filings, ACA compliance and filings, and time and attendance. For financial management, we utilize Oracle’s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Planning Budgeting Cloud Service as our solution for budgeting, forecasting, and financial reporting and Oracle Fusion for the general ledger, accounts payable and fixed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business is subject to extensive federal, state and local regulation. Changes in the laws and regulations, including as a result of governmental responses to the COVID-19 pandemic, or new interpretations of existing laws and regulations may have a material impact on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further discussion at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Results of Operations—“Liquidity and Capital Resources</w:t>
      </w:r>
      <w:r>
        <w:rPr>
          <w:rFonts w:ascii="Arial" w:cs="Arial" w:eastAsia="Arial" w:hAnsi="Arial"/>
          <w:sz w:val="17"/>
          <w:szCs w:val="17"/>
          <w:color w:val="auto"/>
        </w:rPr>
        <w:t>.”</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Medicare and Medicaid Participation</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To participate in and qualify for reimbursement under Medicare, our home health agencies and hospices must comply with extensive conditions of participation. Likewise, to participate in Medicaid programs, our personal care services, home health agencies and hospices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U.S. Congress and certain state legislatures have passed many laws and regulations in recent years intended to effect major change within the national healthcare system, the most prominent of which is the Patient Protection and Affordable Care Act, as amended by the Health Care and Education Reconciliation Act of 2010 (collectively, “ACA”).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The law has been subject to legislative and regulatory changes and court challenges. Although the current presidential administration has indicated its intent to protect the ACA, it is possible that there may be continued changes to the ACA, its implementation or interpretation.</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Many states are exploring payment and delivery reform initiatives, including quality of care incentives. Some states use or have applied to use Medicaid waivers granted by CMS to implement the ACA’s Medicaid expansion provisions, impose different eligibility or enrollment restrictions, or otherwise implement programs that vary from federal standards. However, President Biden issued an executive order in 2021 that instructed certain federal governmental agencies to review and reconsider their existing policies and rules that limit access to health insurance coverage and CMS subsequently reduced certain Medicaid program flexibilities it had previously granted. Enrollment in managed Medicaid plans has increased in recent years, as state governments seek to control the cost of Medicaid programs. Managed Medicaid programs enable states to contract with one or more entities for patient enrollment, care management and claims adjudication. The states usually do not relinquish program responsibilities for financing, eligibility criteria and core benefit plan design.</w:t>
      </w:r>
    </w:p>
    <w:p>
      <w:pPr>
        <w:spacing w:after="0" w:line="19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CMS Innovation Center tests innovative payment and service delivery systems to reduce Medicare and Medicaid program expenditures while maintaining or enhancing quality. For example, the CMS Innovation Center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The Improving Medicare Post-Acute Care Transformation Act of 2014 (“IMPACT Act”) requires HHS, in conjunction with the Medicare Payment Advisory Commission, to propose a unified post-acute care payment model by 2023. A unified post-acute care payment model would pay post-acute care providers, such as long-term care facilities, skilled nursing facilities, and home health agencies, under a single framework according to a patient’s characteristics, rather than the post-acute care setting where the patient receives treatment. These systems could have a material impact on our business. It is difficult to predict the nature and success of future financial or delivery system reforms implemented by HHS, the CMS Innovation Center and other industry participants.</w:t>
      </w:r>
    </w:p>
    <w:p>
      <w:pPr>
        <w:spacing w:after="0" w:line="16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There is uncertainty regarding the potential impact of health reform efforts at the federal and state levels. For example, some members of Congress have proposed measures that would expand government-sponsored coverage, including single-payor models. Some states have implemented or are considering measures such as individual health insurance mandates and public health insurance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options. Other industry participants, such as private payers and large employer groups and their affiliates, may also introduce financial or delivery system reforms. Health reform initiatives and proposals from the government or the private sector may impact prices, our relationships with patients, payers or ancillary providers, and our competitive position, among other effects.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Permits, Licensure and Certificate of Need</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hospice, home health and personal care services are authorized and/or licensed under various state and county requirements, which cover a variety of topics including standards regarding the provision of medical or care services, clinical records, personnel, infection control and care plans. Additionally, health 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spacing w:after="0" w:line="195" w:lineRule="exact"/>
        <w:rPr>
          <w:sz w:val="20"/>
          <w:szCs w:val="20"/>
          <w:color w:val="auto"/>
        </w:rPr>
      </w:pPr>
    </w:p>
    <w:p>
      <w:pPr>
        <w:jc w:val="both"/>
        <w:ind w:right="360" w:firstLine="509"/>
        <w:spacing w:after="0" w:line="311" w:lineRule="auto"/>
        <w:rPr>
          <w:sz w:val="20"/>
          <w:szCs w:val="20"/>
          <w:color w:val="auto"/>
        </w:rPr>
      </w:pPr>
      <w:r>
        <w:rPr>
          <w:rFonts w:ascii="Arial" w:cs="Arial" w:eastAsia="Arial" w:hAnsi="Arial"/>
          <w:sz w:val="16"/>
          <w:szCs w:val="16"/>
          <w:color w:val="auto"/>
        </w:rPr>
        <w:t>Some states also require a provider to obtain a certificate of need or permit of approval (“CON”) before establishing, constructing, acquiring or expanding certain health services, operations or facilities or making certain capital expenditures. These requirements are intended to avoid unnecessary duplication of services. In order to obtain a CON, a state health planning agency must determine that a need exists for the project.</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Fraud and Abuse Laws</w:t>
      </w:r>
    </w:p>
    <w:p>
      <w:pPr>
        <w:spacing w:after="0" w:line="11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The laws and regulations governing our operations, including the terms of participation in Medicare, Medicaid and other government programs, impose certain requirements and limitations on our operations, business arrangements and our interactions with providers and consumers. These laws include, but are not limited to, the federal Anti-Kickback Statute, the federal Stark law, the federal False Claims Act (“FCA”), the federal Civil Monetary Penalties Law, other federal and state fraud and abuse, insurance fraud, and fee-splitting laws, which may extend to services reimbursable by any payer, including private insurers.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fraud and abuse laws and regulations to which we are subject include but are not limited to:</w:t>
      </w:r>
    </w:p>
    <w:p>
      <w:pPr>
        <w:spacing w:after="0" w:line="117" w:lineRule="exact"/>
        <w:rPr>
          <w:sz w:val="20"/>
          <w:szCs w:val="20"/>
          <w:color w:val="auto"/>
        </w:rPr>
      </w:pPr>
    </w:p>
    <w:p>
      <w:pPr>
        <w:ind w:left="740" w:right="220" w:hanging="368"/>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providers and others from directly or indirectly soliciting, receiving, offering or paying any remuneration with the intent of generating referrals or orders for services or items covered by a federal health care program. Courts have interpreted this statute broadly and held that there is a violation of the Anti-Kickback Statute if just one purpose of the remuneration is to generate referrals.</w:t>
      </w:r>
    </w:p>
    <w:p>
      <w:pPr>
        <w:spacing w:after="0" w:line="78" w:lineRule="exact"/>
        <w:rPr>
          <w:rFonts w:ascii="Arial" w:cs="Arial" w:eastAsia="Arial" w:hAnsi="Arial"/>
          <w:sz w:val="18"/>
          <w:szCs w:val="18"/>
          <w:color w:val="auto"/>
        </w:rPr>
      </w:pPr>
    </w:p>
    <w:p>
      <w:pPr>
        <w:ind w:left="740" w:right="120" w:hanging="368"/>
        <w:spacing w:after="0" w:line="273"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(including home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w:t>
      </w:r>
    </w:p>
    <w:p>
      <w:pPr>
        <w:spacing w:after="0" w:line="69" w:lineRule="exact"/>
        <w:rPr>
          <w:rFonts w:ascii="Arial" w:cs="Arial" w:eastAsia="Arial" w:hAnsi="Arial"/>
          <w:sz w:val="17"/>
          <w:szCs w:val="17"/>
          <w:color w:val="auto"/>
        </w:rPr>
      </w:pPr>
    </w:p>
    <w:p>
      <w:pPr>
        <w:ind w:left="740" w:hanging="368"/>
        <w:spacing w:after="0" w:line="29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federal FCA and similar state laws that govern the submission of claims for reimbursement and prohibit the making of false claims or statements. The government may use the FCA to prosecute Medicare and other government program fraud in areas such as coding errors and billing for services not provided. Among the many other potential bases for liability is the knowing and improper failure to report and refund amounts owed to the government within 60 days of identifying an overpayment. Submission of claims for services or items generated in violation of the Anti-kickback Statute constitutes a false or fraudulent claim under the FCA. The federal government has taken the position, and some courts have held, that providers who allegedly have violated other statutes, such as the Stark Law, have thereby submitted false claims under the FCA. The FCA may be enforced directly by the federal government or by a whistleblower on the government’s behalf.</w:t>
      </w:r>
    </w:p>
    <w:p>
      <w:pPr>
        <w:spacing w:after="0" w:line="58" w:lineRule="exact"/>
        <w:rPr>
          <w:rFonts w:ascii="Arial" w:cs="Arial" w:eastAsia="Arial" w:hAnsi="Arial"/>
          <w:sz w:val="16"/>
          <w:szCs w:val="16"/>
          <w:color w:val="auto"/>
        </w:rPr>
      </w:pPr>
    </w:p>
    <w:p>
      <w:pPr>
        <w:ind w:left="740" w:right="60" w:hanging="368"/>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conduct, offering remuneration to influence a Medicare or Medicaid beneficiary’s selection of a healthcare provider, contracting with an individual or entity known to be excluded from a federal healthcare program, billing for services not rendered or for medically unnecessary services, misrepresenting actual services rendered in order to obtain higher reimbursement, and the failure to return overpayments in a timely manner.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740" w:right="260" w:hanging="368"/>
        <w:spacing w:after="0" w:line="342"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State anti-kickback and self-referral provisions, false claims laws, insurance fraud laws, and fee-splitting laws. The scope and interpretation of these state laws vary, and in some cases apply to items or services reimbursed by any payer, including patients and commercial insurers.</w:t>
      </w:r>
    </w:p>
    <w:p>
      <w:pPr>
        <w:spacing w:after="0" w:line="124"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auto"/>
        </w:rPr>
        <w:t>Penalties for violation of various fraud and abuse laws or other failure to substantially comply with the numerous conditions of participation in the Medicare or Medicaid programs may result in criminal penalties, civil sanctions, including substantial civil monetary penalties, and exclusion from participation in federal healthcare programs, including Medicare and Medicaid.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Payment Integrity</w:t>
      </w:r>
    </w:p>
    <w:p>
      <w:pPr>
        <w:spacing w:after="0" w:line="117"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w:t>
      </w:r>
    </w:p>
    <w:p>
      <w:pPr>
        <w:spacing w:after="0" w:line="165"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CMS and state Medicaid agencies contract with third parties to promote the integrity of the Medicaid and Medicare programs through reviews of quality concerns and detections and corrections of improper payments. For example, CMS and state Medicaid agencies contract with recovery audit contractors (“RACs”) on a contingency fee basis to conduct post-payment reviews to detect and correct improper payments in the Medicare and Medicaid programs. In addition, CMS engages unified program integrity contractors (“UPICS”) to perform proactive analysis, audits, investigations and other program integrity functions across the Medicare and Medicaid programs, with the goal of identifying and deterring fraud and abuse to avoid improper payments.</w:t>
      </w:r>
    </w:p>
    <w:p>
      <w:pPr>
        <w:spacing w:after="0" w:line="192"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From time to time, various federal and state agencies, such as HHS, issue pronouncements that identify practices and provider types that may be subject to heightened scrutiny, as well as practices that may violate fraud and abuse laws. We believe, but cannot assure you, that our operations comply with the principles expressed by HHS in these reports, advisories and guidance.</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HIPAA and Other Privacy and Security and Data Exchange Requirements</w:t>
      </w:r>
    </w:p>
    <w:p>
      <w:pPr>
        <w:spacing w:after="0" w:line="117" w:lineRule="exact"/>
        <w:rPr>
          <w:sz w:val="20"/>
          <w:szCs w:val="20"/>
          <w:color w:val="auto"/>
        </w:rPr>
      </w:pPr>
    </w:p>
    <w:p>
      <w:pPr>
        <w:ind w:firstLine="468"/>
        <w:spacing w:after="0" w:line="269" w:lineRule="auto"/>
        <w:rPr>
          <w:sz w:val="20"/>
          <w:szCs w:val="20"/>
          <w:color w:val="auto"/>
        </w:rPr>
      </w:pPr>
      <w:r>
        <w:rPr>
          <w:rFonts w:ascii="Arial" w:cs="Arial" w:eastAsia="Arial" w:hAnsi="Arial"/>
          <w:sz w:val="17"/>
          <w:szCs w:val="17"/>
          <w:color w:val="auto"/>
        </w:rPr>
        <w:t>The Health Insurance Portability and Accountability Act of 1996, as amended (“HIPAA”) and its implementing regulations require the use of uniform electronic data transmission standards and code sets for certain healthcare claims and reimbursement payment transactions submitted or received electronically. HIPAA extensively regulates the use, disclosure, confidentiality, availability and integrity of individually identifiable health information, known as “protected health information,” and provides for a number of individual rights with respect to such information. As a “covered entity” subject to HIPAA, we are required to maintain privacy and security policies, train workforce members, maintain physical, administrative, and technical safeguards, enter into confidentiality agreements with vendors that handle protected health information (“business associates”), and permit individuals to access and amend their protected health information. In addition, we must report any breaches of unsecured protected health information. HIPAA violations may result in criminal penalties and significant civil penalties. Other federal and state laws and regulations that apply to the collection, use, retention, protection, security, disclosure, transfer and other processing of personal data, such as the California Consumer Protection Act, which was recently significantly modified by the California Privacy Rights Act, may impose additional or inconsistent obligations and/or result in additional penalties. Health care providers and industry participants are also subject to a growing number of requirements intended to promote the interoperability and exchange of patient health information, including prohibitions on information blocking.</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Environmental, Health and Safety Laws</w:t>
      </w:r>
    </w:p>
    <w:p>
      <w:pPr>
        <w:spacing w:after="0" w:line="11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spacing w:after="0" w:line="16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addition, we could be affected by climate change to the extent that climate change results in severe weather conditions or other disruptions impacting the communities in which we conduct operations or adversely impacts general economic conditions, including in communities in which we conduct operations. At the current time, our compliance with environmental legal requirements, including legal requirements relating to climate change, do not have a material effect on our capital expenditures, financial results or operations, and we did not incur material capital expenditures for environmental matters during the year ended December 31, 2021. However, it is possible that developments may arise in the future arising from climate change or other environmental developments that we are unable to currently predict.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Filings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Through our website, </w:t>
      </w:r>
      <w:r>
        <w:rPr>
          <w:rFonts w:ascii="Arial" w:cs="Arial" w:eastAsia="Arial" w:hAnsi="Arial"/>
          <w:sz w:val="17"/>
          <w:szCs w:val="17"/>
          <w:i w:val="1"/>
          <w:iCs w:val="1"/>
          <w:color w:val="auto"/>
        </w:rPr>
        <w:t>www.addus.com,</w:t>
      </w:r>
      <w:r>
        <w:rPr>
          <w:rFonts w:ascii="Arial" w:cs="Arial" w:eastAsia="Arial" w:hAnsi="Arial"/>
          <w:sz w:val="17"/>
          <w:szCs w:val="17"/>
          <w:color w:val="auto"/>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w:t>
      </w:r>
      <w:r>
        <w:rPr>
          <w:rFonts w:ascii="Arial" w:cs="Arial" w:eastAsia="Arial" w:hAnsi="Arial"/>
          <w:sz w:val="17"/>
          <w:szCs w:val="17"/>
          <w:color w:val="auto"/>
        </w:rPr>
        <w:t xml:space="preserve"> The references to our website address in this Form 10-K do not constitute incorporation by reference of the information contained on the website and should not be considered part of this document.</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considerations and risks that follow are organized within relevant headings but may be relevant to other headings as well.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spacing w:after="0" w:line="195"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i w:val="1"/>
          <w:iCs w:val="1"/>
          <w:color w:val="auto"/>
        </w:rPr>
        <w:t>You should refer to the explanation of the qualifications and limitations on forward-looking statements under “Special Caution Concerning Forward-Looking Statements.” All forward-looking statements made by us are qualified by the risk factors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 and External Factors</w:t>
      </w:r>
    </w:p>
    <w:p>
      <w:pPr>
        <w:spacing w:after="0" w:line="337" w:lineRule="exact"/>
        <w:rPr>
          <w:sz w:val="20"/>
          <w:szCs w:val="20"/>
          <w:color w:val="auto"/>
        </w:rPr>
      </w:pPr>
    </w:p>
    <w:p>
      <w:pPr>
        <w:ind w:left="260" w:right="580"/>
        <w:spacing w:after="0" w:line="342" w:lineRule="auto"/>
        <w:rPr>
          <w:sz w:val="20"/>
          <w:szCs w:val="20"/>
          <w:color w:val="auto"/>
        </w:rPr>
      </w:pPr>
      <w:r>
        <w:rPr>
          <w:rFonts w:ascii="Arial" w:cs="Arial" w:eastAsia="Arial" w:hAnsi="Arial"/>
          <w:sz w:val="16"/>
          <w:szCs w:val="16"/>
          <w:b w:val="1"/>
          <w:bCs w:val="1"/>
          <w:i w:val="1"/>
          <w:iCs w:val="1"/>
          <w:color w:val="auto"/>
        </w:rPr>
        <w:t>The COVID-19 pandemic could negatively affect our operations, business and financial condition, and our liquidity could also be negatively impacted, particularly if the U.S. economic and/or public health conditions deteriorate in connection with the pandemic.</w:t>
      </w:r>
    </w:p>
    <w:p>
      <w:pPr>
        <w:spacing w:after="0" w:line="1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 January 31, 2020, the Secretary of HHS declared a national public health emergency due to a novel coronavirus. In March 2020, the World Health Organization declared the outbreak of COVID-19, the disease caused by this novel coronavirus, a pandemic. The disease continues to be widespread throughout the United States and other parts of the world and continues to affect the overall economic conditions in the United States. In response to the emergence of new variants and increasing cases, various governmental authorities and private businesses have continued or are re-imposing certain measures intended to contain the spread of the virus, such as masking and vaccine mandates. At this time, it is difficult to predict the future impact of the pandemic on economic conditions in the United States and our business.</w:t>
      </w:r>
    </w:p>
    <w:p>
      <w:pPr>
        <w:spacing w:after="0" w:line="17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home health and hospice providers have experienced difficulty in accessing facility-based patients because of concerns about the spread of COVID-19, and we expect that this difficulty will continue. As front-line providers of healthcare services and personal care services, our employees that contract COVID-19 could be unable to continue to perform their duties, and we could face litigation if our employees or customers contract COVID-19 while our employees perform their duties. In addition, we have incurred and will continue to incur additional costs related to protecting the health and well-being, and meeting the needs, of our patients, employees, and contractors as we implement operational changes in response to the pandemic. Staffing, equipment, pharmaceutical and medical supplies shortages may impact our ability to schedule and treat patients. While the COVID-19 pandemic has not had a material effect on our business, financial condition and results of operations, the extent of future impact will depend on future developments that cannot be accurately predicted at this time, including the severity and transmission rate of prevalent strains of COVID-19, the extent and effectiveness of containment actions taken, the timing, availability and effectiveness of medical treatments, vaccines and booster shots, and the impact of any mutations of the virus.</w:t>
      </w:r>
    </w:p>
    <w:p>
      <w:pPr>
        <w:spacing w:after="0" w:line="194"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color w:val="auto"/>
        </w:rPr>
        <w:t>If general economic conditions or public health conditions deteriorate, our liquidity and ability to repay our outstanding debt may be harmed. Furthermore, the COVID-19 pandemic has previously caused disruption in the financial markets and the businesses of financial institutions and may do so again, potentially causing a slowdown in the decision-making of these institutions. This may affect the timing on which we may obtain any additional funding and there can be no assurance that we will be able to raise additional funds on terms acceptable to us, if at all. Depending on the severity and length of any potential economic downturn, states could face significant fiscal challenges and revise their revenue forecasts and adjust their budgets, and sales tax collections and income tax withholdings could be depressed in fiscal year 2021 (which began July 1 in most states), and, potentially, future fiscal years. In this regard, Illinois, New Mexico and New York, our top three personal care markets, previously revised revenue estimates downward for the 2021 fiscal year as the result of earlier negative economic conditions arising from the pandemic. Also in response to reduced revenues, the state of New York authorized the issuance of short-term bonds and implemented uniform reductions to Medicaid payments. Effective for dates of service on or after April 2, 2020, the uniform reduction rate is 1.5%. The reduction applies to home health services but hospice services are exempt. We cannot determine the impact that COVID-19 may have on states’ budgets for 2022 or beyond, or if additional federal stimulus measures will be provided. However, such impacts could have a material adverse effect on our financial condition, results of operations and cash flows.</w:t>
      </w:r>
    </w:p>
    <w:p>
      <w:pPr>
        <w:spacing w:after="0" w:line="168" w:lineRule="exact"/>
        <w:rPr>
          <w:sz w:val="20"/>
          <w:szCs w:val="20"/>
          <w:color w:val="auto"/>
        </w:rPr>
      </w:pPr>
    </w:p>
    <w:p>
      <w:pPr>
        <w:ind w:right="760" w:firstLine="539"/>
        <w:spacing w:after="0" w:line="257" w:lineRule="auto"/>
        <w:rPr>
          <w:sz w:val="20"/>
          <w:szCs w:val="20"/>
          <w:color w:val="auto"/>
        </w:rPr>
      </w:pPr>
      <w:r>
        <w:rPr>
          <w:rFonts w:ascii="Arial" w:cs="Arial" w:eastAsia="Arial" w:hAnsi="Arial"/>
          <w:sz w:val="18"/>
          <w:szCs w:val="18"/>
          <w:color w:val="auto"/>
        </w:rPr>
        <w:t>Due to the widespread availability of vaccinations and other factors, various restrictions that previously limited non-essential employment opportunities in most states that we operate in have been lifted. As the labor market continues to be tight and unemployment has declined in comparison to earlier levels, the competition for new caregivers has increased, which will continue to impact our ability to attract and retain new caregivers. In addition, the competition for skilled healthcare staff has increased significantly, which continues to impact our ability to attract and retain qualified skilled healthcare staff.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OSHA adopted a rule in November 2021 which would require all employers with 100 or more employees to require their workforce to be fully vaccinated or, alternatively, to provide a negative COVID-19 test result on a weekly basis. CMS also issued an interim rule in November 2021 requiring COVID-19 vaccinations for workers in Medicare- and Medicaid-certified providers and suppliers, including hospices and home health agencies, and covers clinical staff, individuals providing services under arrangements, volunteers and staff who are not involved in direct patient care. On January 13, 2022, the U.S. Supreme Court blocked the implementation of the OSHA rule but allowed the CMS interim rule to take effect. In response, President Biden rescinded the private employer mandate and called on states and businesses to voluntarily institute vaccination requirements to protect workers, customers and the broader community. We are monitoring developments related to these plans as information becomes available to assess how these plans, including any national, state or local vaccine mandates, may impact our workforce in personal care, home health, hospice and our corporate support centers. It is currently difficult to predict the impact that any of these vaccine mandates may have on us or the extent to which these vaccine mandates will ultimately become effective. However, these vaccine mandates, to the extent they become effective, could result in the loss of personnel who are unvaccinated, including at our hospitals and other healthcare facilities, in a manner that adversely affects us.</w:t>
      </w:r>
    </w:p>
    <w:p>
      <w:pPr>
        <w:spacing w:after="0" w:line="172"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The foregoing and other continued disruptions to our business as a result of the COVID-19 pandemic could result in an adverse effect on our business, result of operations, financial condition, liquidity, cash flows and our ability to service our indebtedness. Furthermore, the COVID-19 pandemic could heighten the risks in certain of the other risk factors described in this Annual Report on Form 10-K.</w:t>
      </w:r>
    </w:p>
    <w:p>
      <w:pPr>
        <w:spacing w:after="0" w:line="273" w:lineRule="exact"/>
        <w:rPr>
          <w:sz w:val="20"/>
          <w:szCs w:val="20"/>
          <w:color w:val="auto"/>
        </w:rPr>
      </w:pPr>
    </w:p>
    <w:p>
      <w:pPr>
        <w:jc w:val="both"/>
        <w:ind w:left="260" w:right="200"/>
        <w:spacing w:after="0" w:line="257" w:lineRule="auto"/>
        <w:rPr>
          <w:sz w:val="20"/>
          <w:szCs w:val="20"/>
          <w:color w:val="auto"/>
        </w:rPr>
      </w:pPr>
      <w:r>
        <w:rPr>
          <w:rFonts w:ascii="Arial" w:cs="Arial" w:eastAsia="Arial" w:hAnsi="Arial"/>
          <w:sz w:val="18"/>
          <w:szCs w:val="18"/>
          <w:b w:val="1"/>
          <w:bCs w:val="1"/>
          <w:i w:val="1"/>
          <w:iCs w:val="1"/>
          <w:color w:val="auto"/>
        </w:rPr>
        <w:t>We are unable to predict the ultimate impact of the CARES Act and other existing or future stimulus or relief legislation, if any, or the effect that such legislation and other governmental responses intended to assist healthcare providers in responding to the COVID-19 pandemic may have on our business, financial condition, results of operations or cash flows. There can be no assurance as to the total amount of financial assistance we will receive, or that we will be able to benefit from provisions intended to increase access to resources and ease regulatory burdens for healthcare providers.</w:t>
      </w:r>
    </w:p>
    <w:p>
      <w:pPr>
        <w:spacing w:after="0" w:line="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response to the COVID-19 pandemic, federal and state governments have passed legislation, promulgated regulations and taken other administrative actions intended to assist healthcare providers in providing care to COVID-19 and other patients and to provide financial relief to healthcare providers. Together, the CARES Act, the PPPHCE Act, the CAA and the ARPA authorize over $186 billion in funding to be distributed to health care providers through the Provider Relief Fund. These funds are intended to reimburse eligible providers, including public entities and Medicare and/or Medicaid-enrolled providers and suppliers, for healthcare-related expenses or lost revenues attributable to COVID-19. Recipients are not required to repay these funds, provided that they attest to and comply with certain terms and conditions, including not using Provider Relief Fund payments to reimburse expenses or losses that other sources are obligated to reimburse and submitting reports as required by HHS. The Company has acquired and may in the future acquire companies that have received funds from the Provider Relief Fund. The Company has also received amounts from the Provider Relief Fund and utilized a portion of those funds to offset increased healthcare related expenses attributable to COVID-19 that were unreimbursed by other sources and returned any unused funds. Recipients of Provider Relief Fund payments are subject to audit requirements, and we expect that recipients of funds from the Provider Relief Fund will be subject to significant scrutiny by the federal government. We have structured and will continue to structure our use of these funds in accordance with the terms and conditions, but federal regulators may disagree with our interpretation of these terms and conditions and require that we repay some or all amounts received at our facilities and pay or impose other penalties.</w:t>
      </w:r>
    </w:p>
    <w:p>
      <w:pPr>
        <w:spacing w:after="0" w:line="174"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CARES Act also makes other forms of financial assistance available to healthcare providers, including through Medicare and Medicaid payment adjustments and an expansion of the Medicare Accelerated and Advance Payment Program, which makes available advance payments of Medicare funds in order to increase cash flow to providers. Hospice and home health providers were able to request an advance or accelerated payment of up to 100% of the Medicare payment amount for a three-month period (not including Medicare Advantage payments). In addition to financial assistance, the CARES Act and related legislation include provisions intended to increase access to medical supplies and equipment and ease legal and regulatory burdens on healthcare providers, as well as certain federal income and other tax changes, including the deferral of the employer portion of Social Security payroll taxes.</w:t>
      </w:r>
    </w:p>
    <w:p>
      <w:pPr>
        <w:spacing w:after="0" w:line="19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Many of these measures, such as flexibilities related to the provision of telehealth services, are effective only for the duration of the public health emergency. The current public health emergency determination expires April 16, 2022, but HHS has indicated it will provide states with 60 days’ notice prior to termination of the declaration. The HHS Secretary may choose to renew the declaration for successive 90-day periods for as long as the emergency continues to exist and may terminate the declaration whenever he determines that the public health emergency no longer exists. It is unclear for how long the public health emergency declaration will be extended. The CARES Act also includes numerous income tax provisions including changes to the net operating loss rules and business interest expense deduction rules.</w:t>
      </w:r>
    </w:p>
    <w:p>
      <w:pPr>
        <w:spacing w:after="0" w:line="192"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There is still a high degree of uncertainty surrounding the CARES Act and related legislation, and the pandemic continues to evolve. The federal government may consider additional stimulus and relief efforts, but we are unable to predict whether additional measures will be enacted or their impact. There can be no assurance as to the total amount of financial and other types of assistance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will receive under existing or future legislation, if any, and it is difficult to predict the impact of such legislation on our operations or how it will affect operations of our competitors. Further, there can be no assurance that the terms and conditions of the Provider Relief Fund or other programs will not change in ways that affect funding we may receive, our ability to comply with such terms and conditions in the future or our eligibility to participate. We continue to assess the potential impact of the COVID-19 pandemic and government responses to the pandemic, including the CARES Act and related legislation, on our business, financial condition, results of operations and cash flows.</w:t>
      </w:r>
    </w:p>
    <w:p>
      <w:pPr>
        <w:spacing w:after="0" w:line="296"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We may be more vulnerable to the effects of a public health emergency than other businesses due to the nature of our consumers and the physical proximity required by our operations.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majority of our consumers and patients are older individuals, many of whom may be more vulnerable than the general public during a pandemic or in a public health emergency due to complex medical conditions or other socioeconomic factors. Our employees are also at greater risk of contracting contagious diseases due to their increased exposure to vulnerable consumers. Due to the physical proximity required to offer many of our services, our employees could have difficulty attending to our consumers if social distancing policies or quarantines are instituted in response to a public health emergency. In addition, the Company may expand existing internal policies in a manner that may have a similar effect. At times of high COVID-19 prevalence during the Company’s most recently completed fiscal year, a significant number of our employees were unable to provide services because of quarantine policies. If another pandemic were to occur, or the existing COVID-19 pandemic does not abate or worsens, we could again suffer significant losses to our consumer population or a reduction in the availability of our employees. According to the Centers for Disease Control and Prevention, older adults and people with certain underlying medical conditions are at a higher risk for serious illness from COVID-19. Although the impact of the COVID-19 pandemic on our results of operations has not been material, the extent to which it may impact our results in the longer term is uncertain. Accordingly, certain public health emergencies could have a material adverse effect on our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growth strategy depends on our ability to manage growing and effectively integrating operations and we may not be successful in managing this growth.</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business plan calls for significant growth in business over the next several years through the expansion of our services in existing markets and the establishment of a presence in new markets. This growth has placed and continues to place significant demands on our management team, systems, internal controls and financial and professional resources. In addition, we will need to further develop our financial controls and reporting systems to accommodate our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Previously completed or future acquisitions, or growth initiatives, may be unsuccessful and could expose us to unforeseen liabilities.</w:t>
      </w:r>
    </w:p>
    <w:p>
      <w:pPr>
        <w:spacing w:after="0" w:line="129"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Our growth strategy includes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regulatory risks, the assumption of liabilities, exposure to unforeseen liabilities of acquired providers, and the diversion of the management team’s attention. In the past, we have made acquisitions that have not performed as expected or that we have been unable to successfully integrate with our existing operations.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While we continue to seek out and pursue acquisition opportunities, we are doing so with additional caution and diligence due to COVID-19 related considerations. The failure to effectively integrate future acquisitions could have a material adverse impact on our operations.</w:t>
      </w:r>
    </w:p>
    <w:p>
      <w:pPr>
        <w:spacing w:after="0" w:line="166"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We have grown our business through de novo offices and we may in the future selectively open new offices in existing and new states. De novo offices involve risks, including those relating to licensing, accreditation, and payor program enrollment, hiring new personnel, establishing relationships with referral sources and delays or difficulty in installing our operating and information systems. We may not be successful in generating sufficient business activity to sustain the operating costs of such de novo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be unable to pursue acquisitions or expand into new geographic regions without obtaining additional capital or consent from our lenders.</w:t>
      </w:r>
    </w:p>
    <w:p>
      <w:pPr>
        <w:spacing w:after="0" w:line="152"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At December 31, 2021 and 2020, we had cash balances of $168.9 million and $145.1 million, respectively, and $224.9 million and $196.6 million, respectively, of outstanding debt on our credit facility. After giving effect to the amount drawn on our credit facility, approximately $8.2 million and $9.0 million of outstanding letters of credit at December 31, 2021 and 2020, respectively, and borrowing limits based on an advanced multiple of Adjusted EBITDA (as defined in the Credit Agreement), we had $143.6 million and $112.6 million available for borrowing under our credit facility as of December 31, 2021 and 2020, respectively. Since our credit facility provides for borrowings based on a multiple of an Adjusted EBITDA ratio, any declines in our Adjusted EBITDA would result in a decrease in our available borrowings under our credit facility.</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ability under our credit facility to consummate acquisitions is restricted if we exceed certain Total Net Leverage Ratio (as defined in the Credit Agreement, and subject to adjustments as provided therein) thresholds, without the consent of the lenders; provided, however, in certain circumstances, in connection with a Material Acquisition (as defined in the Credit Agreement), we can elect to increase our Total Net Leverage Ratio compliance covenant for the then current fiscal quarter and the three succeeding fiscal quarters.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Timing differences in reimbursement may cause liquidity problems.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fund operations primarily through the collection of accounts receivable, but there is a delay between the time that we provide services and the time that we receive reimbursement or payment for these services. These delays may result from such factors as changes by payors to data submission requirements, requests by fiscal intermediaries for additional data or documentation, other Medicare or Medicaid issues, or information system problems. Further, many of the states in which we operate are operating with budget deficits for the 2021 fiscal year and the ongoing economic impact of the COVID-19 pandemic could impact fiscal year 2022 state budgets. These and other states may in the future delay reimbursement, which would adversely affect our liquidity. In addition, from time to time, procedural issues require us to resubmit claims before payment is remitted, which contributes to our aged receivables. Additionally, we may experience unanticipated delays in receiving reimbursement from state programs due to changes in their policies or billing or audit procedures. Delays in receiving reimbursement or payments from Medicare, Medicaid and other payors may adversely impact our working capital. As a result, working capital management, including prompt and diligent billing and collection, is an important factor in our results of operations and liquidity. Our working capital management procedures may not successfully negate this risk.</w:t>
      </w:r>
    </w:p>
    <w:p>
      <w:pPr>
        <w:spacing w:after="0" w:line="168" w:lineRule="exact"/>
        <w:rPr>
          <w:sz w:val="20"/>
          <w:szCs w:val="20"/>
          <w:color w:val="auto"/>
        </w:rPr>
      </w:pPr>
    </w:p>
    <w:p>
      <w:pPr>
        <w:ind w:right="40" w:firstLine="562"/>
        <w:spacing w:after="0" w:line="268" w:lineRule="auto"/>
        <w:rPr>
          <w:sz w:val="20"/>
          <w:szCs w:val="20"/>
          <w:color w:val="auto"/>
        </w:rPr>
      </w:pPr>
      <w:r>
        <w:rPr>
          <w:rFonts w:ascii="Arial" w:cs="Arial" w:eastAsia="Arial" w:hAnsi="Arial"/>
          <w:sz w:val="17"/>
          <w:szCs w:val="17"/>
          <w:color w:val="auto"/>
        </w:rPr>
        <w:t>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("MACs"), RACs and UPICs) to conduct audits and investigations to evaluate billing practices and identify overpayments. These audits and investigations can result in recoupments by Medicare and other payors of amounts previously paid to us. In addition to audits by CMS contractors, individual states are implementing similar integrity programs using Medicaid RACs. We are unable to predict what additional government regulations, if any, affecting our business may be enacted in the future, how existing or future laws and regulations might be interpreted or whether we will be able to comply with such laws and regulations either in the markets in which we presently conduct, or wish to commence, business. In certain states, payment of claims may be impacted by the Review Choice Demonstration for Home Health Services, a program intended to identify and prevent fraud, reduce the number of Medicare appeals, and improve provider compliance with Medicare program requirements. The program is limited to home health agencies in Illinois, Ohio, North Carolina, Florida and Texas. Providers in these states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We are currently unable to predict what impact, if any, this program may have on our result of operations or financial position.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a small number of states which makes us particularly sensitive to regulatory and economic changes in those states.</w:t>
      </w:r>
    </w:p>
    <w:p>
      <w:pPr>
        <w:spacing w:after="0" w:line="62"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Our revenues are particularly sensitive to regulatory and economic changes in states in which we generate a significant portion of our revenues including Illinois, New Mexico and New York.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Future efforts to reduce the costs of the Illinois Department on Aging programs could adversely affect our service revenues and profitability.</w:t>
      </w:r>
    </w:p>
    <w:p>
      <w:pPr>
        <w:spacing w:after="0" w:line="14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For the years ended December 31, 2021 and 2020, we derived approximately 21.4% and 23.0%, respectively, of our revenue from the Illinois Department on Aging programs. Previous state government officials have attempted to reduce government spending by proposing changes aimed at reducing expenditures by this department. The nature and extent of any proposed future cost reduction initiatives is unknown. If future reforms impact the eligibility of consumers for services, the number of hours authorized or otherwise restrict services provided to existing consumers, our service revenues, results of operations, financial position and growth may be adversely affected.</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Failure to renew a significant payor agreement or group of related payor agreements may materially impact our revenue.</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Each of our agreements is generally in effect for a specific term, but they are also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spacing w:after="0" w:line="300"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Negative publicity or changes in public perception of our services may adversely affect our ability to receive referrals, obtain new agreements and renew existing agreements.</w:t>
      </w:r>
    </w:p>
    <w:p>
      <w:pPr>
        <w:spacing w:after="0" w:line="62"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While we believe that the services that we provide are of high quality, if our quality measures, which are published online by CMS, are deemed to be not of the highest value, our reputation could be 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harmed by labor relations matters.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subject to a risk of work stoppages and other labor relations matters because our hourly workforce is highly unionized. As of December 31, 2021, 52.1% of our workforce was represented by labor unions.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Moreover, potential changes to federal labor laws and regulations, including those supported by the current presidential administration, could increase the likelihood of employee unionization activity and the ability of employees to unionize. Labor costs are the most significant component of our total expenditures and, therefore, an increase in the cost of labor could significantly harm our business.</w:t>
      </w:r>
    </w:p>
    <w:p>
      <w:pPr>
        <w:spacing w:after="0" w:line="286" w:lineRule="exact"/>
        <w:rPr>
          <w:sz w:val="20"/>
          <w:szCs w:val="20"/>
          <w:color w:val="auto"/>
        </w:rPr>
      </w:pPr>
    </w:p>
    <w:p>
      <w:pPr>
        <w:ind w:left="260" w:right="540"/>
        <w:spacing w:after="0" w:line="277" w:lineRule="auto"/>
        <w:rPr>
          <w:sz w:val="20"/>
          <w:szCs w:val="20"/>
          <w:color w:val="auto"/>
        </w:rPr>
      </w:pPr>
      <w:r>
        <w:rPr>
          <w:rFonts w:ascii="Arial" w:cs="Arial" w:eastAsia="Arial" w:hAnsi="Arial"/>
          <w:sz w:val="18"/>
          <w:szCs w:val="18"/>
          <w:b w:val="1"/>
          <w:bCs w:val="1"/>
          <w:i w:val="1"/>
          <w:iCs w:val="1"/>
          <w:color w:val="auto"/>
        </w:rPr>
        <w:t>If we were required to write down all or part of our goodwill and/or our intangible assets, our net earnings and net worth could be materially adversely affected.</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$504.4 million and $469.1 million of goodwill and $64.3 million and $71.5 million of intangible assets recorded on our Consolidated Balance Sheets at December 31, 2021 and 2020, respectively.</w:t>
      </w:r>
    </w:p>
    <w:p>
      <w:pPr>
        <w:spacing w:after="0" w:line="18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spacing w:after="0" w:line="295"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such failure could adversely impact our business and stock price.</w:t>
      </w:r>
    </w:p>
    <w:p>
      <w:pPr>
        <w:spacing w:after="0" w:line="62"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Section 404 of the Sarbanes-Oxley Act of 2002, or the Sarbanes-Oxley Act, requires our management to report on, and requires our independent registered public accounting firm to attest to, the effectiveness of our internal control over financial reporting. 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spacing w:after="0" w:line="16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Accordingly, we are required to have an audit of our internal control over financial reporting. Our management previously determined that a material weakness in our internal control existed as of December 31, 2018, and that two additional material weaknesses existed as of December 31, 2019. Although each of these material weaknesses was remediated as of December 31, 2020 and management determined that our internal control over financial reporting was effective as of that date, as discussed in Item 9A of Part II of the Annual Report on Form 10-K for the year ended December 31, 2020, we cannot assure you that we will not identify another material weakness in the future.</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To the extent that we now or in the future have deficiencies in our internal control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spacing w:after="0" w:line="300"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Compliance with changing laws and regulations including specific program compliance may result in additional expenses and pose challenges for our management team.</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state agencies that contract for our services require us to comply with various laws and regulations affecting the services we provide. We have a compliance officer who monitors and reports on our compliance efforts. The laws and regulations governing our operations are subject to change. The implementation of these changes may require us to increase our efforts to remain compliant, may reduce the authorizations for services to be provided, and may result in certain consumers no longer being eligible for our services, any of which may result in lower revenues and increased costs, reducing our operating performance and profitability. If we continue to serve our consumers without addressing changes in laws and regulations, we are at risk for non-compliance with program requirements and potential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Regulatory Risks</w:t>
      </w:r>
    </w:p>
    <w:p>
      <w:pPr>
        <w:spacing w:after="0" w:line="229"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62"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color w:val="auto"/>
        </w:rPr>
        <w:t>Overall payments made by Medicare to each hospice provider number (generally corresponding to each of our hospice agencies) are subject to an inpatient cap and an aggregate cap, which are set each federal fiscal year. The inpatient cap limits the number of days of inpatient care to no more than 20% of total patient care days. The aggregate cap limits the amount of Medicare reimbursement a hospice may receive, based on the number of Medicare patients served. If a hospice’s Medicare payments exceed its inpatient or aggregate caps, it must repay Medicare for the excess amount.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Reductions in reimbursement and other changes to Medicare, Medicaid, and other federal, state and local medical and social programs could adversely affect our consumer caseload, units of service, revenues, gross profit and profitability.</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A significant portion of our caseload and revenues are derived from government healthcare programs, primarily Medicare and Medicaid. For the year ended December 31, 2021, we derived approximately 58.0% of our net service revenues from state and local governmental agencies, primarily through Medicaid state programs. However, changes in government healthcare programs may decrease the reimbursement we receive or limit access to, or utilization of, our services. As federal healthcare expenditures continue to increase and as some state governments navigate budgetary pressures, federal and state governments have made, and may continue to make, significant changes to the Medicare and Medicaid programs and reimbursement received for services rendered to beneficiaries of such programs. For example, the Budget Control Act of 2011 requires automatic spending reductions to reduce the federal deficit, including Medicare spending reductions of up to 2% per fiscal year, with a uniform percentage reduction across all Medicare programs. CMS began imposing a 2% reduction on Medicare claims in April 2013, and these reductions have been extended through 2030, although the CARES Act and related legislation temporarily suspend this 2% reduction from May 1, 2020, through March 31, 2022, and reduce the sequestration adjustments from 2% to 1% from April 1 through June 30, 2022. The full 2% reduction is currently scheduled to resume July 1, 2022 and the reductions for 2030 have been increased to 2.25% for the first six months and to 3% for the second six months. As a result of the ARPA, an additional Medicare payment reduction of up to 4% was required to take effect in January 2022, although Congress has delayed implementation of this reduction until 2023.</w:t>
      </w:r>
    </w:p>
    <w:p>
      <w:pPr>
        <w:spacing w:after="0" w:line="16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including as a result of the COVID-19 pandemic, and the rising costs of healthcare. Reductions to federal support for state Medicaid or other programs could also result in budgetary shortfalls. As a result, many states have made, are considering or may consider making changes in their Medicaid or other state and local medical and social programs, including enacting legislation designed to reduce Medicaid expenditures.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that may occur at the federal or state level to contain costs include:</w:t>
      </w:r>
    </w:p>
    <w:p>
      <w:pPr>
        <w:spacing w:after="0" w:line="117"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redefining eligibility standards or coverage criteria for social and medical programs or the receipt of services under those programs;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benefits, such as limiting the number of hours of personal care services that will be covered;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reimbursement methodology and program participation eligibility;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demonstration projects and alternative payment models.</w:t>
      </w:r>
    </w:p>
    <w:p>
      <w:pPr>
        <w:spacing w:after="0" w:line="25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Certain of these measures have been implemented by, or are proposed in, states in which we operate. For example, we provide support services as a fiscal intermediary to the New York Consumer Directed Personal Assistance Program (“CDPAP”), a self-directed care alternative program that allows eligible individuals who need help with activities of daily living or skilled nursing services to choose their caregivers. In 2019, New York initiated a new Request For Offer (“RFO”) process to competitively procure CDPAP fiscal intermediaries. We were not selected in the initial RFO process. We submitted a formal protest in response to the selection process, which was filed and accepted in March 2021, but have not yet received a response to the formal protest. The Company recognized approximately $42 million and $3 million in net service revenue and operating income, respectively, from the program for the year ended December 31, 2021.</w:t>
      </w:r>
    </w:p>
    <w:p>
      <w:pPr>
        <w:spacing w:after="0" w:line="19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New York fiscal year 2022 state budget included a provision to add additional fiscal intermediaries (one or two entities per county with specified population sizes, plus entities that meet various other requirements) to those awarded contracts as a Lead Fiscal Intermediary under the initial RFO process, based on the scoring of the original RFO. As scoring of RFOs was not publicly released, it is unknown at this time if the Company’s score ranked high enough to qualify for these additional awards. The Company has submitted a response to the survey issued by the New York Department of Health to determine the additional contract awards. The New York Department of Health published an anticipated contract start date for all awards to be no earlier than November 1, 2021, but has not yet announced the exact start date. No later than the contract start date, we will be required to begin transitioning patients within the CDPAP to a fiscal intermediary that has been awarded a contract and cease providing services to those patients. We continue to consider other arrangements and to pursue our protest of the award. Given the uncertainty surrounding the program, the Company has suspended materially all of its new patient admissions under the New York CDPAP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Additionally, New York has identified significant expenses in excess of its Medicaid budget and exceeded a cap on the state’s Medicaid growth rate that was established by New York statute. In 2020, New York established a new Medicaid Redesign Team (“MRT II”), which is tasked with restoring financial sustainability to the state’s Medicaid program, among other objectives. Many of the MRT II’s recommended savings measures relate to long-term care services and were enacted in the state budget for state fiscal year 2021, although some were deferred as a result of the COVID-19 pandemic. The New York Department of Health has issued regulatory amendments based on the recommendations that would, among other things, limit eligibility for and access to home care services. Parts of the regulatory amendments related to personal care services and CDPAP, such as limiting consumers to one fiscal intermediary, became effective in November 2021, while other provisions, such as changes to the minimum needs (i.e., eligibility) criteria for consumers, have been delayed. The implementation of these changes and other MRT II recommendations could affect our operations and financial performance. It is not yet clear what healthcare-related initiatives the current governor, who took office in mid-2021, will pursue.</w:t>
      </w:r>
    </w:p>
    <w:p>
      <w:pPr>
        <w:spacing w:after="0" w:line="166" w:lineRule="exact"/>
        <w:rPr>
          <w:sz w:val="20"/>
          <w:szCs w:val="20"/>
          <w:color w:val="auto"/>
        </w:rPr>
      </w:pPr>
    </w:p>
    <w:p>
      <w:pPr>
        <w:ind w:right="120" w:firstLine="509"/>
        <w:spacing w:after="0" w:line="280" w:lineRule="auto"/>
        <w:rPr>
          <w:sz w:val="20"/>
          <w:szCs w:val="20"/>
          <w:color w:val="auto"/>
        </w:rPr>
      </w:pPr>
      <w:r>
        <w:rPr>
          <w:rFonts w:ascii="Arial" w:cs="Arial" w:eastAsia="Arial" w:hAnsi="Arial"/>
          <w:sz w:val="17"/>
          <w:szCs w:val="17"/>
          <w:color w:val="auto"/>
        </w:rPr>
        <w:t>In 2021, we derived approximately 38.2% of our net service revenues from services provided in Illinois, 18.3% of our net service revenues in New Mexico and 11.5% of our net service revenues in New York. Because a substantial portion of our business is concentrated in these states, any significant reduction in expenditures that pay for our services or other significant changes in these states may have a disproportionately negative impact on our future operating results. We cannot predict whether states material to our operating results will timely pass budgets in subsequent years or experience changes or other challenges that negatively impact our ability to be reimbursed for our services in a timely manner.</w:t>
      </w:r>
    </w:p>
    <w:p>
      <w:pPr>
        <w:spacing w:after="0" w:line="169"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programs under which states may apply to test new or existing approaches to payment and delivery of Medicaid benefits. Future health reform efforts or make additional significant changes to the ACA could impact both federal and state programs.</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changes in Medicare, Medicaid or other state and local medical and social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 Any reduction in reimbursements or imposition of copayments that dissuade the use of our services, or any reduction in reimbursement from private payors, could also materially adversely affect our profitability.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Federal and state regulation may impair our ability to consummate acquisitions or open new agencies.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Federal laws or regulations may adversely impact our ability to acquire home health agencies or open new start-up home health agencies. For example, a Medicare regulation known as the “36 Month Rule” prohibits buyers of Medicare-certified home health agencies from assuming the Medicare billing privileges of an acquired agency if the acquired agency either enrolled in Medicare or underwent a change in 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 Further, in the past, CMS has limited enrollment of new home health agencies. If another moratorium is imposed on enrollment of new providers in a geographic area we desire to service, our ability to expand operations may be impacted.</w:t>
      </w:r>
    </w:p>
    <w:p>
      <w:pPr>
        <w:spacing w:after="0" w:line="192" w:lineRule="exact"/>
        <w:rPr>
          <w:sz w:val="20"/>
          <w:szCs w:val="20"/>
          <w:color w:val="auto"/>
        </w:rPr>
      </w:pPr>
    </w:p>
    <w:p>
      <w:pPr>
        <w:jc w:val="both"/>
        <w:ind w:right="160" w:firstLine="509"/>
        <w:spacing w:after="0" w:line="342" w:lineRule="auto"/>
        <w:rPr>
          <w:sz w:val="20"/>
          <w:szCs w:val="20"/>
          <w:color w:val="auto"/>
        </w:rPr>
      </w:pPr>
      <w:r>
        <w:rPr>
          <w:rFonts w:ascii="Arial" w:cs="Arial" w:eastAsia="Arial" w:hAnsi="Arial"/>
          <w:sz w:val="16"/>
          <w:szCs w:val="16"/>
          <w:color w:val="auto"/>
        </w:rPr>
        <w:t>Our ability to expand operations in a state will depend on our ability to obtain a state license to operate, and where required, CON approval. States may limit the number of licenses they issue. The failure to obtain any required CON or license could impair our ability to operate or expand our business.</w:t>
      </w:r>
    </w:p>
    <w:p>
      <w:pPr>
        <w:spacing w:after="0" w:line="232"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18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may be similarly impacted by increased enrollment of Medicare and Medicaid beneficiaries in managed care plans, resulting in a shift from traditional fee-for-service models. Under the managed Medicare program, also known as Medicare Advantage,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federal government contracts with private health insurers to provide Medicare benefits. Insurers may choose to offer supplemental benefits, including in-home support services, and impose higher plan costs on beneficiaries. Over 40% of Medicare beneficiaries are enrolled in a Medicare Advantage plan, a figure that continues to grow. While hospice services are currently reimbursed as a traditional fee-for-service program under Medicare Part A, hospice services may eventually be offered under Medicare Advantage plans, which could result in reduced reimbursement, limited utilization, and increased competition for managed care contracts.</w:t>
      </w:r>
    </w:p>
    <w:p>
      <w:pPr>
        <w:spacing w:after="0" w:line="18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Enrollment in managed Medicaid plans is also growing, as states are increasingly relying on managed care organizations to deliver Medicaid program services as a strategy to control costs and manage resources. We may experience increased competition for managed care contracts due to state regulation and limitations. For instance, New York law limits the number of home care providers with which a managed Medicaid long-term care plan can contract.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 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w:t>
      </w:r>
    </w:p>
    <w:p>
      <w:pPr>
        <w:spacing w:after="0" w:line="1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We compete with personal care service providers, hospice providers, home health providers, private caregivers, larger publicly held companies, privately held companies, privately held single-site agencies, hospital-based agencies, not-for-profit organizations, community-based organizations and self-directed care programs.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16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Some states also require a provider to obtain a CON before establishing certain health services, operations or facilities. CON restrictions may reduce the level of competition in a given industry or in a particular geographic region. In addition, economic changes such as increases in minimum wage and changes in Department of Labor rules can also impact the ease of entry into a market. These factors may affect competition in the states in which we operate.</w:t>
      </w:r>
    </w:p>
    <w:p>
      <w:pPr>
        <w:spacing w:after="0" w:line="192"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Often our contracts with payors are not exclusive. Local competitors may develop strategic relationships with referral sources and payors. This could result in pricing pressures, loss of or failure to gain market share or loss of consumers or payors, any of which could harm our business. In addition, existing competitors may offer new or enhanced services that we do not provide, or be viewed by consumers as a more desirable local alternative.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284"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62"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184"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licensure and certification and enrollment with government programs;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860" w:right="700" w:hanging="36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security, interoperability and refraining from information blocking, access and exchange of health-related and personal information and medical records;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addition of, and changes to, facilities and services;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252"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These laws include, but are not limited to the federal Anti-Kickback Statute, the federal Stark law, the federal FCA, the federal Civil Monetary Penalties Law, other federal and state fraud and abuse, insurance fraud, and fee-splitting laws, which may extend to services reimbursable by any payer, including private insurers, and federal and state laws governing the security and privacy of health information.</w:t>
      </w:r>
    </w:p>
    <w:p>
      <w:pPr>
        <w:spacing w:after="0" w:line="184"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currently have contractual relationships with current and potential referral sources and recipients, including hospitals and health systems, skilled nursing facilities and certain physicians who provide medical director and clinical services to our Company. We attempt to structure our relationships to meet applicable regulatory requirements, but we cannot provide assurance that every relationship is fully compliant.</w:t>
      </w:r>
    </w:p>
    <w:p>
      <w:pPr>
        <w:spacing w:after="0" w:line="16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Federal and state government agencies have heightened and coordinated civil and criminal enforcement efforts throughout the healthcare industry. While we endeavor to comply with applicable laws and regulations, we cannot assure you that our practices are fully compliant or that courts or regulatory agencies will not interpret those laws and regulations in ways that will adversely affect our practices. We may also fail to discover instances of noncompliance by businesses we acquire, which could subject us to adverse consequences. The laws and regulations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Failure to comply with applicable laws and regulations could lead to civil sanctions and criminal penalties, the termination of rights to participate in federal and state healthcare programs, exclusion from federal healthcare programs, the suspension or revocation of licenses and nonpayment or delays in our ability to bill and collect for services provided, any of which could adversely affect our business, results of operations, or financial results.</w:t>
      </w:r>
    </w:p>
    <w:p>
      <w:pPr>
        <w:spacing w:after="0" w:line="166"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addition, as a result of our participation in Medicaid, Medicare and Veterans Health Administration programs and other state and local governmental programs, and pursuant to certain of our contractual relationships, we are subject to various reviews, compliance audits and investigations by governmental authorities and other third parties to verify our compliance with these programs and agreements as well as applicable laws, regulations and conditions of participation. Each of our home care and hospice agencies must comply with the extensive conditions of participation in the Medicare program. If any of our agencies fail to meet any of the conditions of participation or coverage with respect to state licensure or our participation in Medicaid, Medicare programs, Veterans Health Administration programs and other state and local governmental programs, we may receive a notice of deficiency from the applicable surveyor or authority. Failure to implement a plan of action to correct the deficiency within the period provided by the surveyor or authority could result in civil or criminal penalties, damage to our reputation, cancellation of our agreements, suspension or revocation of our licenses, requirements to repay amounts received, disqualification from federal and state healthcare programs, deactivation or revocation of billing privileges, bars on re-enrollment and other negative consequences. These actions may adversely affect our ability to provide certain services, to receive payments from other payors and to continue to operate which could adversely affect our revenues and profitability. Additionally, we could face liability under the FCA if we submit claims to Medicare or Medicaid while not in compliance with certain conditions of participation. Further, actions taken against one of our offices may subject our other offices to adverse consequences.</w:t>
      </w:r>
    </w:p>
    <w:p>
      <w:pPr>
        <w:spacing w:after="0" w:line="294" w:lineRule="exact"/>
        <w:rPr>
          <w:sz w:val="20"/>
          <w:szCs w:val="20"/>
          <w:color w:val="auto"/>
        </w:rPr>
      </w:pPr>
    </w:p>
    <w:p>
      <w:pPr>
        <w:ind w:left="260" w:right="26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6"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are required to comply with all applicable federal, state and local laws and regulations relating to employment, including OSHA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lengthening of periods for which unemployment benefits are available. Since our personal care operations are concentrated in Illinois, New Mexico and New York, we are particularly sensitive to changes in laws and regulations in these states. Additionally, the current presidential administration has signaled its support for increases in minimum wage. We may not be able to offset any increased costs and expenses. Furthermore, any failure to comply with these laws, including even a seemingly minor infraction, can result in significant penalties which could harm our reputation and have a material adverse effect on our business. The COVID-19 pandemic has increased some of these risks, with certain states modifying occupational health and safety guidelines in a manner that increases scrutiny and complexity of operations with respect to appropriate training and use in the workplace of PPE and the possibility of corresponding regulatory audit activity with respect to the adequacy of our practices and procedures. The COVID-19 pandemic has also resulted in states modifying standards associated with payment amounts and required justifications to qualify for sick leave and unemployment benefits. These modifications may result in increased operational costs to us, which may adversely impact our financial performance.</w:t>
      </w:r>
    </w:p>
    <w:p>
      <w:pPr>
        <w:spacing w:after="0" w:line="166"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civil monetary penalties, an assessment of up to three times the amount claimed and exclusion from the program.</w:t>
      </w:r>
    </w:p>
    <w:p>
      <w:pPr>
        <w:spacing w:after="0" w:line="17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Each of our subsidiaries that employ an average of at least 50 full-time employees in a calendar year are required to offer a minimum level of health coverage for 95% of our full-time employees in 2021 or be subject to an annual penalty.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adversely impacted by healthcare reform efforts, including significant modifications to the ACA.</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recent years, the U.S. Congress and certain state legislatures have considered and passed a large number of laws intended to result in significant changes to the healthcare industry, including the ACA.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The ACA has been subject to legislative and regulatory changes and court challenges. Although the current presidential administration has indicated that it generally intends to protect and strengthen the ACA, it is possible that there may be continued changes to the ACA, its implementation or its interpretation. Changes by Congress or government agencies could eliminate or alter provisions beneficial to us, while leaving in place provisions reducing our reimbursement or otherwise negatively impacting our business.</w:t>
      </w:r>
    </w:p>
    <w:p>
      <w:pPr>
        <w:spacing w:after="0" w:line="166"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There is also uncertainty regarding whether, when and what other health reform measures will be adopted, and the impact of such efforts on providers as well as other healthcare industry participants. Some members of Congress have proposed expanding government-funded coverage, including proposals to expand coverage of federally-funded insurance programs as an alternative to private insurance or to establish a single payor system (such reforms are often referred to as "Medicare for All"), and some states have implemented or proposed public health insurance options.</w:t>
      </w:r>
    </w:p>
    <w:p>
      <w:pPr>
        <w:spacing w:after="0" w:line="171"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In addition, CMS administrators may make changes to Medicaid payment models or grant various flexibilities to states in the administration of state Medicaid programs, including by expanding the scope of waivers under which states may implement Medicaid expansion provisions, impose different eligibility or enrollment restrictions, or otherwise implement programs that vary from federal standards. Other industry participants, such as private payors, may also introduce financial or delivery system reforms. We are unable to predict the nature and success of such initiatives. Healthcare reform initiatives, including changes to the ACA, may have an adverse effect on our business, financial condition, and operating results.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industry trend toward value-based purchasing may negatively impact our revenues.</w:t>
      </w:r>
    </w:p>
    <w:p>
      <w:pPr>
        <w:spacing w:after="0" w:line="22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is a trend in the healthcare industry toward value-based purchasing of healthcare services among both government and commercial payors. Generally, value-based purchasing programs emphasize quality of outcome and efficiency of care provided, rather than quantity of care provided. For example, Medicare requires hospices and home health agencies to report certain quality data in order to receive full reimbursement. Failure to report quality data or poor performance may negatively impact the amount of reimbursement received. In addition, CMS publishes home health and hospice quality measure data online, through its Care Compare website, to allow consumers and others to search and compare data for Medicare-certified providers. Alongside this quality and public reporting effort, CMS began implementing a nationwide expansion of the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9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the future, CMS may establish new value-based purchasing programs affecting a broader range of providers. Other initiatives aimed at improving quality and cost of care include alternative payment models, including ACOs and bundled payment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also several state-driven value-based care initiatives. For example, some states have aligned quality metrics across payors through legislation or regulation. Commercial payors are shifting toward value-based reimbursement arrangements as well.</w:t>
      </w:r>
    </w:p>
    <w:p>
      <w:pPr>
        <w:spacing w:after="0" w:line="170"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expect value-based purchasing programs, including programs that condition reimbursement on patient outcome measures, to become more common and to involve a higher percentage of reimbursement amounts. It is unclear whether alternative models will successfully coordinate care and reduce costs or whether they will decrease overall reimbursement. While we believe we are adapting our business strategies to compete in a value-based reimbursement environment, we are unable at this time to predict how this trend will affect our results of operations.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financial position, results of operations and cash flows to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Risks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operations subject us to risk of litigation.</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Operating in the personal care services industry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that resulted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 We may also be subject to lawsuits from patients, employees and others exposed to COVID-19 at our facilities or in connection with the services provided by our workforce in client residences and third party facilities. Our professional and general liability insurance may not cover all claims against us.</w:t>
      </w:r>
    </w:p>
    <w:p>
      <w:pPr>
        <w:spacing w:after="0" w:line="17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 addition, regulatory agencies may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FCA or other federal and state whistleblower statutes designed to combat fraud and abuse in our industry. This and other similar lawsuits can involve significant monetary awards or penalties which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civil lawsuits or regulatory proceedings could distract us from running our business or irreparably damage our reputation.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insurance liability coverage may not be sufficient for our business needs.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and Privacy Risks</w:t>
      </w:r>
    </w:p>
    <w:p>
      <w:pPr>
        <w:spacing w:after="0" w:line="229"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Our business depends on the proper functioning, availability, and security of our information systems. Our operations may be disrupted if we are unable to effectively integrate, manage and maintain the security of our information systems.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external service providers to provide continual maintenance, upgrading, and enhancement of our primary information systems used for our operational needs. The software we license for our various patient information systems supports intake, personnel scheduling, office clinical and centralized billing and receivables management in an integrated database, enabling us to standardize the care delivered across our network of offices and monitor our performance and consumer outcomes. Information systems may be vulnerable to damage from a variety of sources, including telecommunications or network failures, human acts and natural disasters.</w:t>
      </w:r>
    </w:p>
    <w:p>
      <w:pPr>
        <w:spacing w:after="0" w:line="19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To the extent providers fail to support the software or systems, or if we lose our licenses, our operations could be negatively affected. Our business also depends on a comprehensive payroll and human resources system for basic payroll functions and reporting, payroll tax reporting, managing wage assignments and garnishments. We rely on an external service provider, ADP, to provide</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spacing w:after="0" w:line="146"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business also supports the use of EVV to collect visit submission information through our delivery of home care services. Our solution uses a combination of IVR and GPS enabled smartphones to capture time in and time out, mileage and travel time, as well as the completed care plan tasks. We license this software through CellTrak along with partnering with states who utilize other software. We rely on these providers to provide continual maintenance, enhancements, as well as security of any protected data. To the extent that our EVV vendors fail to support these processes, our internal operations could be negatively affected. Under the 21</w:t>
      </w:r>
      <w:r>
        <w:rPr>
          <w:rFonts w:ascii="Arial" w:cs="Arial" w:eastAsia="Arial" w:hAnsi="Arial"/>
          <w:sz w:val="13"/>
          <w:szCs w:val="13"/>
          <w:color w:val="auto"/>
        </w:rPr>
        <w:t>st</w:t>
      </w:r>
      <w:r>
        <w:rPr>
          <w:rFonts w:ascii="Arial" w:cs="Arial" w:eastAsia="Arial" w:hAnsi="Arial"/>
          <w:sz w:val="16"/>
          <w:szCs w:val="16"/>
          <w:color w:val="auto"/>
        </w:rPr>
        <w:t xml:space="preserve"> Century Cures Act, as amended, states had until January 1, 2020 to establish standards for EVV for Medicaid-funded personal care services. States that failed to meet this deadline could potentially lose, without an application for a good cause extension, an escalating amount of their funding. To the extent that the states fail to properly implement EVV and lose an amount of their funding or to the extent states adopt standards for EVV that are not compatible with our operations, our internal operations could be negatively affected.</w:t>
      </w:r>
    </w:p>
    <w:p>
      <w:pPr>
        <w:spacing w:after="0" w:line="165"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The COVID-19 pandemic also has led to a substantial increase in administrative employees working remotely and, consequently, accessing our system remotely. As a result, we are more dependent on our systems that facilitate remote access and potentially could experience increased risks.</w:t>
      </w:r>
    </w:p>
    <w:p>
      <w:pPr>
        <w:spacing w:after="0" w:line="12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have taken precautionary measures to prevent unanticipated problems that could affect our information systems. We have implemented backup of our key information systems that are designed to allow our operations to failover to our geographically separate disaster recovery datacenter with a quick return to operations for all sites and systems in the event our main datacenter becomes inoperable because of a natural disaster, attacks or other cause. All of our sites and branch offices have redundant connections to our primary and backup datacenters using data lines and cellular connections through VPN or MPLS. The key business functions for our main sites also have redundancies with key functions geographically split between our two main facilities, should one not be available due to the above mentioned scenarios. While we believe these measures are reasonable, no system of information security is able to eliminate the risk of business disruptions, and we or our third-party vendors that we rely upon may experience system failures.</w:t>
      </w:r>
    </w:p>
    <w:p>
      <w:pPr>
        <w:spacing w:after="0" w:line="166"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The occurrence of any system failure could result in interruptions, delays, the loss or corruption of data and cessations or interruptions in the availability of systems, all of which could have a material, adverse effect on our financial position and results of operations and harm our business reputation.</w:t>
      </w:r>
    </w:p>
    <w:p>
      <w:pPr>
        <w:spacing w:after="0" w:line="300" w:lineRule="exact"/>
        <w:rPr>
          <w:sz w:val="20"/>
          <w:szCs w:val="20"/>
          <w:color w:val="auto"/>
        </w:rPr>
      </w:pPr>
    </w:p>
    <w:p>
      <w:pPr>
        <w:ind w:left="260" w:right="120"/>
        <w:spacing w:after="0" w:line="263"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and otherwise be disruptive to our business.</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rely extensively on computer systems to manage clinical and financial data, to communicate with our consumers, payors, vendors and other third parties, and to summarize and analyze our operating results. We frequently exchange clinical and financial data with third parties in connection with our routine operations and in order to meet our contractual and regulatory obligations. We are required to comply with the federal and state privacy and security laws and requirements, including HIPAA.</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various states, including California, Colorado, Illinois, Nevada, New York, Massachusetts and Virginia have enacted, and other states are expected to enact, laws and regulations concerning privacy, data protection and information security. To the extent we are subject to such legislation, the potential effects of new legislation are often far-reaching and may require us to modify our data processing practices and policies and to incur substantial costs and expenses in an effort to comply. These laws often provide for civil penalties for violations, as well as a private right of action for data breaches that may increase data breach litigation.</w:t>
      </w:r>
    </w:p>
    <w:p>
      <w:pPr>
        <w:spacing w:after="0" w:line="18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have invested in security measures designed to protect against the threat of security breaches, including cyber attacks, email phishing schemes, malware and ransomware. However, our technology, and that of our third-party service providers, may fail to adequately secure the protected health information and personally identifiable information we create, receive, transmit and maintain in our databases. In such circumstances, we may be held liable to our patients and regulators, which could result in fines, litigation or adverse publicity that could have a material adverse effect on our business and consolidated financial condition, results of operations and cash flows. Even if we are not held liable, any resulting negative publicity could harm our business and distract the attention of management.</w:t>
      </w:r>
    </w:p>
    <w:p>
      <w:pPr>
        <w:spacing w:after="0" w:line="19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spite of our policies, procedures and other security measures used to protect our computer systems and data, occasionally, we have experienced breaches that have required us to notify affected consumers and the government, and we have worked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Such attacks or breaches could result in loss of protected patient medical data or other information subject to privacy laws, disrupt our information technology systems or business, subject us to governmental enforcement actions and litigation (the losses associated with which may not be covered by insurance) and otherwise materially and adversely impact our business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Risks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attract and retain qualified personnel or we may incur increased costs in doing so.</w:t>
      </w:r>
    </w:p>
    <w:p>
      <w:pPr>
        <w:spacing w:after="0" w:line="117"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We must attract and retain qualified non-executive personnel in the markets in which we operate in order to provide our services. We compete for personnel with other providers of social and medical services as well as companies in other service-based industries. As the labor market continues to be tight and unemployment has declined in comparison to earlier levels, the competition for employees has increased, which will continue to impact our ability to attract and retain new caregivers. In addition, the competition for skilled healthcare staff has increased significantly, which continues to impact our ability to attract and retain qualified skilled healthcare staff. To the extent that the United States continues to have lower unemployment levels and shortages of caregivers and skilled healthcare staff, it may continue to hinder our ability to attract and retain sufficient caregivers and skilled healthcare staff to meet the continuing demand for both our non-clinical and clinical services. Moreover, the increased staffing challenges have resulted in, and may continue to result in, increased labor cost to satisfy our staffing requirements. In addition, labor shortages could be further exacerbated by COVID-19 vaccination requirements.</w:t>
      </w:r>
    </w:p>
    <w:p>
      <w:pPr>
        <w:spacing w:after="0" w:line="18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We may not be able to offset higher labor costs by increasing the rates we charge for our services. In addition, if we fail to attract and retain qualified and skilled personnel, our ability to conduct our business operations effectively and our results of operations would be harmed.</w:t>
      </w:r>
    </w:p>
    <w:p>
      <w:pPr>
        <w:spacing w:after="0" w:line="146"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the services of our executive team members.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success depends upon the continued employment of certain members of our executive team to manage several of our key functional areas, including operations, business development, accounting, finance, human resources, marketing, information systems, contracting and compliance. Moreover, the current competitive labor market may make it more difficult to retain or hire members of our executive team. The departure of any member of our executive team may materially adversely affect our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Indebtedness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credit facility contains various covenants that limit our ability to take certain actions, including our ability to:</w:t>
      </w:r>
    </w:p>
    <w:p>
      <w:pPr>
        <w:spacing w:after="0" w:line="117"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create, incur, assume or suffer to exist any lien;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sell or otherwise dispose of all or substantially all our assets;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restricted payments, including paying dividends and making certain loans and investments;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create, incur, assume, permit to exist, or otherwise become or remain directly or indirectly liable with respect to any additional indebtedness;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any line of additional line of business;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our organization documents;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a change in accounting treatment or reporting practices, change our name or change our jurisdiction of organization or formation;</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payment or prepayment of certain subordinated indebtedness;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agreements that restrict dividends and certain other payments from subsidiaries;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a sale leaseback or similar transaction;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25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spacing w:after="0" w:line="184"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potential cessation or modification of LIBOR may increase our interest expense or otherwise adversely affect us.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 substantial portion of our indebtedness under the credit facility bears interest at variable interest rates that use the London Inter-Bank Offered Rate (“LIBOR”) as a benchmark rate. On July 27, 2017, the United Kingdom’s Financial Conduct Authority,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The Amended 2021 Credit Agreement contemplates a transition from LIBOR and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260" w:right="640"/>
        <w:spacing w:after="0" w:line="277" w:lineRule="auto"/>
        <w:rPr>
          <w:sz w:val="20"/>
          <w:szCs w:val="20"/>
          <w:color w:val="auto"/>
        </w:rPr>
      </w:pPr>
      <w:r>
        <w:rPr>
          <w:rFonts w:ascii="Arial" w:cs="Arial" w:eastAsia="Arial" w:hAnsi="Arial"/>
          <w:sz w:val="18"/>
          <w:szCs w:val="18"/>
          <w:b w:val="1"/>
          <w:bCs w:val="1"/>
          <w:i w:val="1"/>
          <w:iCs w:val="1"/>
          <w:color w:val="auto"/>
        </w:rPr>
        <w:t>Inclement weather, natural disasters, acts of terrorism, pandemics, riots, civil insurrection or social unrest, looting, protests, strikes or street demonstrations may impact our ability to provide services.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Adverse weather conditions, natural disasters, acts of terrorism, pandemics, riots, civil insurrection or social unrest,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consumers, patients, caregivers and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 tornadoes, flooding, wildfires and earthquakes. The impact of disasters and similar events is inherently uncertain. Moreover, adverse weather conditions may become more frequent and/or severe as the result of climate change. Future adverse weather conditions, natural disasters, acts of terrorism, pandemics, riots, civil insurrection or social unrest, looting, protests, strikes or street demonstrations may adversely affect our reputation, business and consolidated financial condition, results of operations and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We do not own any real property. We lease administrative offices for our local branches, none of which are individually material. We lease approximately 59,000 and 106,000 square feet of office space in Downers Grove, Illinois and Frisco, Texas, respectively, which serve as our support centers. We sublease approximately 21,000 and 15,500 square feet of our office space in Downers Grove and Frisco, respectively, to third parties.</w:t>
      </w: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Further information with respect to this item may be found in Note 12 to the Consolidated Financial Statements in Part II, Item 8—“Financial Statements and Supplementary Data,” which is incorporated herein by reference.</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20" w:right="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“ADUS.”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As of December 31, 2021, 2.0% of our shares of common stock were held by our officers and directors and approximately 98.0% of our common stock was held by 278 institutional investors. An insignificant amount of common stock is held by individual holders. As of February 17, 2022, Addus HomeCare Corporation had approximately 16,930 shareholders of its common stock, including 74 shareholders of record.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i w:val="1"/>
          <w:iCs w:val="1"/>
          <w:color w:val="auto"/>
        </w:rPr>
        <w:t>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as well as other factors that are not currently known to us, that we currently consider immaterial or that are not specific to us, such as general economic conditions. The discussion of our financial condition and results of operations for the year ended December 31, 2020 compared to the year ended December 31, 2019, included in Item 7. Management’s Discussion and Analysis of Financial Condition and Results of Operations (“MD&amp;A”) can be found in the Annual Report on Form 10-K for the year ended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37.2%, 38.6% and 37.8% of our revenue during the years ended December 31, 2021, 2020, and 2019 respectively.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certain consolidated financial and statistical data results for 2021, 2020 and 2019 are provided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312"/>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1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500" w:type="dxa"/>
            <w:vAlign w:val="bottom"/>
            <w:gridSpan w:val="7"/>
          </w:tcPr>
          <w:p>
            <w:pPr>
              <w:jc w:val="center"/>
              <w:spacing w:after="0" w:line="155" w:lineRule="exact"/>
              <w:rPr>
                <w:sz w:val="20"/>
                <w:szCs w:val="20"/>
                <w:color w:val="auto"/>
              </w:rPr>
            </w:pPr>
            <w:r>
              <w:rPr>
                <w:rFonts w:ascii="Arial" w:cs="Arial" w:eastAsia="Arial" w:hAnsi="Arial"/>
                <w:sz w:val="14"/>
                <w:szCs w:val="14"/>
                <w:b w:val="1"/>
                <w:bCs w:val="1"/>
                <w:color w:val="auto"/>
                <w:w w:val="90"/>
              </w:rPr>
              <w:t>(Amounts in Thousands, except States and Locations)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864,499</w:t>
            </w:r>
          </w:p>
        </w:tc>
        <w:tc>
          <w:tcPr>
            <w:tcW w:w="64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45,126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25,811</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discontinued operations</w:t>
            </w:r>
          </w:p>
        </w:tc>
        <w:tc>
          <w:tcPr>
            <w:tcW w:w="1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(574)</w:t>
            </w:r>
          </w:p>
        </w:tc>
      </w:tr>
      <w:tr>
        <w:trPr>
          <w:trHeight w:val="263"/>
        </w:trPr>
        <w:tc>
          <w:tcPr>
            <w:tcW w:w="5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45,126</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Borders>
              <w:bottom w:val="single" w:sz="8" w:color="CFF0FC"/>
            </w:tcBorders>
          </w:tcPr>
          <w:p>
            <w:pPr>
              <w:spacing w:after="0"/>
              <w:rPr>
                <w:sz w:val="22"/>
                <w:szCs w:val="22"/>
                <w:color w:val="auto"/>
              </w:rPr>
            </w:pPr>
          </w:p>
        </w:tc>
      </w:tr>
      <w:tr>
        <w:trPr>
          <w:trHeight w:val="21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947,585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636,748</w:t>
            </w:r>
          </w:p>
        </w:tc>
        <w:tc>
          <w:tcPr>
            <w:tcW w:w="100" w:type="dxa"/>
            <w:vAlign w:val="bottom"/>
            <w:shd w:val="clear" w:color="auto" w:fill="CFF0FC"/>
          </w:tcPr>
          <w:p>
            <w:pPr>
              <w:spacing w:after="0"/>
              <w:rPr>
                <w:sz w:val="18"/>
                <w:szCs w:val="18"/>
                <w:color w:val="auto"/>
              </w:rPr>
            </w:pPr>
          </w:p>
        </w:tc>
      </w:tr>
      <w:tr>
        <w:trPr>
          <w:trHeight w:val="230"/>
        </w:trPr>
        <w:tc>
          <w:tcPr>
            <w:tcW w:w="1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97,661</w:t>
            </w:r>
          </w:p>
        </w:tc>
        <w:tc>
          <w:tcPr>
            <w:tcW w:w="64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76,907</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States served at period end</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1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r>
      <w:tr>
        <w:trPr>
          <w:trHeight w:val="135"/>
        </w:trPr>
        <w:tc>
          <w:tcPr>
            <w:tcW w:w="158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71" w:lineRule="exact"/>
        <w:rPr>
          <w:sz w:val="20"/>
          <w:szCs w:val="20"/>
          <w:color w:val="auto"/>
        </w:rPr>
      </w:pPr>
    </w:p>
    <w:p>
      <w:pPr>
        <w:ind w:left="740" w:right="80" w:hanging="368"/>
        <w:spacing w:after="0" w:line="286" w:lineRule="auto"/>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defines adjusted EBITDA as earnings before discontinued operations, net interest expense, income tax expense, depreciation and amortization, acquisition and de novo expenses, stock-based compensation expense, restructure expenses and other costs, gain or loss on the sale of assets and secondary offering costs. The Company defined adjusted EBITDA to exclude net COVID expenses arising from the pandemic from the second quarter of 2020 to the first quarter of 2021.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Management believes that Adjusted EBITDA is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this Annual Report on Form 10-K should be carefully evaluated.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COVID-19, the disease caused by a novel coronavirus, continues to be widespread throughout the United States and other parts of the world. Although vaccines became widely available in 2021, there continues to be a significant number of COVID-19 cases and deaths in the United States. In response, various governmental authorities and private businesses in the United States have implemented, or reinstituted, certain mitigation strategies, such as masking and vaccine requirements. Economic conditions in the United States significantly improved during 2021 compared to earlier pandemic levels, although inflationary pressures and supply chain disruptions have recently impacted the U.S. economy. The long-term trends of new cases and deaths in the United States and the future impact of the pandemic continues to be unknown.</w:t>
      </w:r>
    </w:p>
    <w:p>
      <w:pPr>
        <w:spacing w:after="0" w:line="39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In September 2021, President Biden announced a federal six-point plan for responding to the COVID-19 pandemic. As part of this plan, OSHA adopted a rule in November 2021 which would require all employers with 100 or more employees to require their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workforce to be fully vaccinated or, alternatively, to provide a negative COVID-19 test result on a weekly basis. Also, CMS issued an interim rule in November 2021 requiring COVID-19 vaccinations for workers in Medicare- and Medicaid-certified providers and suppliers, including hospices and home health agencies, that covers clinical staff, individuals providing services under arrangements, volunteers and staff who are not involved in direct patient care. On January 13, 2022, the U.S. Supreme Court blocked the implementation of the OSHA rule but allowed the CMS interim rule to take effect. In response, President Biden rescinded the private employer mandate and called on states and businesses to voluntarily institute vaccination requirements to protect workers, customers and the broader community. Additionally, some states have implemented, or may implement in the future, vaccine mandates with respect to healthcare personnel. It is currently difficult to predict the impact that any of these vaccine mandates may have on us or the extent to which these vaccine mandates will ultimately become effective. However, we expect that these rules, to the extent that they become effective, will impact our home health and hospice segments.</w:t>
      </w:r>
    </w:p>
    <w:p>
      <w:pPr>
        <w:spacing w:after="0" w:line="18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are monitoring developments as information becomes available, including with respect to national, state and local vaccine mandates, to access the possible impact on our workforce in personal care, home health, hospice and our corporate support centers. While the Company has not mandated vaccines for our employees, we have developed a multistep program in order to strongly encourage our employees to get the COVID-19 vaccine, which included offering a vaccine stipend and incentives as well as creating educational and motivational leadership communication. These educational and motivational leadership communications are ongoing. We are actively engaged in an effort to track vaccination rates among caregivers and to continue to improve those rates. However, it is difficult to predict the future impact of the pandemic or the federal six-point COVID-19 plan and state and local vaccine mandates on economic conditions in the United States and our business at this time.</w:t>
      </w:r>
    </w:p>
    <w:p>
      <w:pPr>
        <w:spacing w:after="0" w:line="17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For the years ended December 31, 2021 and 2020, COVID-19-related expenses in our personal care segment were approximately $16.5 million and $7.0 million, respectively, which were offset by $12.3 million and $1.4 million, respectively, related to the utilization of the amounts received from the Provider Relief Fund in November 2020 and are included in cost of service revenues on the Consolidated Statements of Income. Additionally, we recognized revenue of $7.1 million and $4.9 million attributable to temporary rate increases from certain payors in our personal care segment for the years ended December 31, 2021 and 2020, respectively.</w:t>
      </w:r>
    </w:p>
    <w:p>
      <w:pPr>
        <w:spacing w:after="0" w:line="18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For the year ended December 31, 2021, COVID-19-related expenses in our hospice segment were approximately $1.9 million, which were offset by $1.9 million related to the utilization of a portion of the funds received from the Queen City Hospice Provider Relief Fund and included in cost of service revenues on the Consolidated Statements of Income.</w:t>
      </w:r>
    </w:p>
    <w:p>
      <w:pPr>
        <w:spacing w:after="0" w:line="184"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As of December 31, 2021, the Company deferred the recognition of $6.5 million of payments received from payors for COVID-19 reimbursement, included within accrued expenses, which will be recognized as we incur specific expenses related to the pandemic, such as expenses related to acquiring additional PPE and COVID-19 related paid time off, or will be returned to the extent COVID-19-related expenses are not incurred. We are not able to reasonably predict the total costs we will incur related to the COVID-19 pandemic, and such costs could be substantial.</w:t>
      </w:r>
    </w:p>
    <w:p>
      <w:pPr>
        <w:spacing w:after="0" w:line="157"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As the labor market has tightened and unemployment has declined in comparison to earlier levels, the competition for new caregivers, including skilled healthcare staff, has increased significantly. To the extent that we continue to experience a shortage of caregivers, it may continue to hinder our ability to attract and retain sufficient caregivers to meet the continuing demand for both our non-clinical and clinical services. The increased staffing challenges may also result in increased labor cost to satisfy our staffing requirements.</w:t>
      </w:r>
    </w:p>
    <w:p>
      <w:pPr>
        <w:spacing w:after="0" w:line="17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Federal and state agencies continue to issue regulations and guidance related to the COVID-19 pandemic, and the public health situation continues to evolve, and, therefore, we cannot currently predict with certainty the extent to which our business, results of operations, financial condition or liquidity will ultimately be impacted by the pandemic. We will continue to assess the impact and consequences of the COVID-19 pandemic and government responses to the pandemic, including the enactment and implementation of the CARES Act, the PPPHCE Act, the CAA, the ARPA and other stimulus and relief legislation, as well as the implementation of the President’s federal six-point COVID-19 plan and any federal and state vaccine mandates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7"/>
          <w:szCs w:val="17"/>
          <w:i w:val="1"/>
          <w:iCs w:val="1"/>
          <w:color w:val="auto"/>
        </w:rPr>
        <w:t>The COVID-19</w:t>
      </w:r>
      <w:r>
        <w:rPr>
          <w:rFonts w:ascii="Arial" w:cs="Arial" w:eastAsia="Arial" w:hAnsi="Arial"/>
          <w:sz w:val="17"/>
          <w:szCs w:val="17"/>
          <w:color w:val="auto"/>
        </w:rPr>
        <w:t xml:space="preserve"> </w:t>
      </w:r>
      <w:r>
        <w:rPr>
          <w:rFonts w:ascii="Arial" w:cs="Arial" w:eastAsia="Arial" w:hAnsi="Arial"/>
          <w:sz w:val="17"/>
          <w:szCs w:val="17"/>
          <w:i w:val="1"/>
          <w:iCs w:val="1"/>
          <w:color w:val="auto"/>
        </w:rPr>
        <w:t>pandemic could negatively affect our operations, business and financial condition, and our liquidity could also be negatively impacted, particularly if the U.S. economy remains unstable for a significant amount of time</w:t>
      </w:r>
      <w:r>
        <w:rPr>
          <w:rFonts w:ascii="Arial" w:cs="Arial" w:eastAsia="Arial" w:hAnsi="Arial"/>
          <w:sz w:val="17"/>
          <w:szCs w:val="17"/>
          <w:color w:val="auto"/>
        </w:rPr>
        <w:t>” of our Annual Report on Form 10-K for the year ended December 31, 2020,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on March 1, 2021.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pandemic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On July 1, 2020, we completed the acquisition of A Plus Health Care, Inc. (“A Plus”) for approximately $14.5 million, including the amount of excess cash held by A Plus at the closing of the acquisition (approximately $2.8 million), with funding provided by available cash. With the purchase of A Plus, we expanded our personal care services in the state of Montana.</w:t>
      </w:r>
    </w:p>
    <w:p>
      <w:pPr>
        <w:spacing w:after="0" w:line="184"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On November 1, 2020, we completed the acquisition of County Homemakers, Inc. (“County Homemakers”) for approximately $15.8 million, including the amount of acquired excess cash held by County Homemakers at the closing of the acquisition (approximately $1.1 million), with funding provided by available cash. With the purchase of County Homemakers, we expanded our personal care services in the state of Pennsylvania.</w:t>
      </w:r>
    </w:p>
    <w:p>
      <w:pPr>
        <w:spacing w:after="0" w:line="14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December 4, 2020, we completed the acquisition of Queen City Hospice for approximately $194.8 million, including the amount of acquired excess cash held by Queen City Hospice at the closing of the acquisition (approximately $15.4 million). With the purchase of Queen City Hospice, we expanded our hospice services in the state of Ohio. Additionally, on December 1, 2020, we completed the acquisition of SunLife Home Care (“SunLife”) for approximately $1.7 million. With the purchase of SunLife, we expanded our personal care services in the state of Arizona. We funded these acquisitions through a combination of our revolving credit facility and available cash.</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with funding provided by our revolving credit facility. With the purchase of Armada, we expanded our home health and hospice services in the state of New Mexico.</w:t>
      </w:r>
    </w:p>
    <w:p>
      <w:pPr>
        <w:spacing w:after="0" w:line="187" w:lineRule="exact"/>
        <w:rPr>
          <w:sz w:val="20"/>
          <w:szCs w:val="20"/>
          <w:color w:val="auto"/>
        </w:rPr>
      </w:pPr>
    </w:p>
    <w:p>
      <w:pPr>
        <w:ind w:right="660" w:firstLine="510"/>
        <w:spacing w:after="0" w:line="308" w:lineRule="auto"/>
        <w:rPr>
          <w:sz w:val="20"/>
          <w:szCs w:val="20"/>
          <w:color w:val="auto"/>
        </w:rPr>
      </w:pPr>
      <w:r>
        <w:rPr>
          <w:rFonts w:ascii="Arial" w:cs="Arial" w:eastAsia="Arial" w:hAnsi="Arial"/>
          <w:sz w:val="17"/>
          <w:szCs w:val="17"/>
          <w:color w:val="auto"/>
        </w:rPr>
        <w:t>On October 1, 2021, we completed the acquisition of Summit Home Health, LLC (“Summit”) for approximately $8.1 million, with funding provided by available cash. With the purchase of Summit, we added clinical services in Illinois to our home health segment.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2021, 2020 and 2019, our revenue by payor and significant states by segment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Personal Care</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State, local and other governmental</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programs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338,325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324,670</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303,479</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311,801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287,032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Commercial insurance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Total personal care segment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685,854</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328,619</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288,326</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247,524</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New York</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115,510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Total personal care segment net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service revenues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Hospice</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142,086</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152,253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101,297</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Ohio</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61,415</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New Mexico</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14,811</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152,253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101,297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the acquisition of Queen City Hospice, the Company expanded its hospice services in the state of Ohio.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Home Health</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4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Illinois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home health segment net</w:t>
            </w: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service revenues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the acquisition of Summit, the Company expanded its home health services in the state of Illinois.</w:t>
      </w:r>
    </w:p>
    <w:p>
      <w:pPr>
        <w:spacing w:after="0" w:line="22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derive a significant amount of our net service revenues in Illinois, which represented 38.2% and 37.7% of our net service revenues for the years ended December 31, 2021 and 2020, respectively. A significant amount of our revenue is derived from one payor client, the Illinois Department on Aging, the largest payor program for our Illinois personal care operations, which accounted for 21.4% and 23.0% of our net service revenues for the years ended December 31,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Reimbursement Rates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Effective January 1, 2021, the state of Illinois fiscal year 2021 budget increased in-home care rates through the Community Care Program by 7.1%, to $23.40 from $21.84. However, the rate increase was delayed and did not take effect until April 1, 2021, as a result of on-going state revenue declines due to COVID-19 and the failure of the November 2020 referendum to revise the Illinois income tax code. On June 29, 2021, the Governor announced the authorization of bonus payments to providers in an amount equivalent to the rate increase for services delivered from January 1, 2021 to March 31, 2021 for state reimbursed hours of care provided in the fee-for-service context. The bonus payment of $3.0 million was recognized and received during the year ended December 31, 2021. On December 3, 2021, in connection with the same rate increase for in-home care, the Department of Family Services provided approval and direction for retroactive payments for the same period for all claims billed to managed care organizations. The Company recognized $2.0 million related to the rate increase for the year ended December 31, 2021.</w:t>
      </w:r>
    </w:p>
    <w:p>
      <w:pPr>
        <w:spacing w:after="0" w:line="178"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Illinois fiscal year 2022 budget funds a further increase of in-home care rates to $24.96 effective January 1, 2022. On July 12, 2021, in connection with the temporary increase in federal funding for Medicaid home and community-based services authorized by the ARPA, the State of Illinois submitted its Initial Spending Plan and Narrative to CMS for approval. Included in that plan is the acceleration of the rate increase to $24.96 from January 1, 2022, to November 1, 2021. The Company recognized $3.6 million related to the rate increase for the year ended December 31, 2021. CMS granted partial approval of the Illinois plan, but highlighted that the state will need to submit an amendment for certain Medicaid waiver programs with regard to any rate change methodology. The state is preparing this amendment and has not yet spent any funds in connection with the rate acceleration.</w:t>
      </w:r>
    </w:p>
    <w:p>
      <w:pPr>
        <w:spacing w:after="0" w:line="16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2022, but there is no assurance that there will be additional offsetting rate increases in Illinois for fiscal years beyond fiscal year 2022,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9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CMS updates the HHPPS payment rates each calendar year. For calendar year 2022, CMS increased HHPPS rates by an estimated 3.2%, which reflects a 3.1% market basket update and a productivity adjustment of negative 0.5 percentage points, among other changes. Home health providers that do not comply with quality data reporting requirements are subject to a 2 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64"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Effective January 1, 2022, CMS began implementing a nationwide expansion of the Home Health Value-Based Purchasing (“HHVBP”) Model. Under the model, home health agencies will receive adjustments to their Medicare fee-for-service payments of up to 5%, based on performance against specific quality measures relative to the performance of other home health providers.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collected in each performance year will impact Medicare payments two years later. Calendar year 2023 is the first performance year under the expanded HHVBP Model, which will affect payments in calendar year 2025.</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2021, CMS increased hospice payment rates by 2.0%. This reflects a 2.7% market basket increase and a negative 0.7 percentage point productivity adjustment. Hospices that do not satisfy quality reporting requirements are subject to a 2 percentage point reduction to the market basket update. Beginning in 2024, the reduction to the market basket update for failure to report quality data will increase to 4 percentage points.</w:t>
      </w:r>
    </w:p>
    <w:p>
      <w:pPr>
        <w:spacing w:after="0" w:line="1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$31,297.61 for federal fiscal year 2022. If a hospice’s Medicare payments exceed its inpatient or aggregate caps, it must repay Medicare the excess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New York Consumer Directed Personal Assistance Program (“CDPAP”) is a self-directed care alternative program that allows eligible individuals who need help with activities of daily living or skilled nursing services to choose their caregivers. We provide support services as a CDPAP fiscal intermediary. In 2019, New York initiated a new Request for Offer (“RFO”) process to competitively procure CDPAP fiscal intermediaries. On February 11, 2021, the New York Department of Health announced its initial selection of parties to enter into contracts as a Lead Fiscal Intermediary. The Company was not one of the selected entities in the initial RFO process. The Company has submitted a formal protest in response to the selection process, which was filed and accepted on March 19, 2021. The Company has not yet received a response to the formal protest. The Company recognized approximately $42 million and $3 million in revenue and operating income, respectively, from the program for the year ended December 31, 2021. The Company continues to explore its options, including appeals, other arrangements under which the Company may continue to provide these services, and expense reductions to minimize any potential final impact of the RFO process.</w:t>
      </w:r>
    </w:p>
    <w:p>
      <w:pPr>
        <w:spacing w:after="0" w:line="18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New York fiscal year 2022 state budget included a provision to add additional fiscal intermediaries (one or two entities per county with specified population sizes, plus entities that meet various other requirements) to those awarded contracts as a Lead Fiscal Intermediary under the initial RFO process, based on the scoring of the original RFO. As scoring of RFOs was not publicly released, it is unknown at this time if the Company’s score ranked high enough to qualify for these additional awards. The Company has submitted a response to the survey issued by the New York Department of Health to determine the additional contract awards. The New York Department of Health published an anticipated contract start date for all awards to be no earlier than November 1, 2021, but has not yet announced the exact start date. No later than the contract start date, we will be required to begin transitioning patients within the CDPAP to a fiscal intermediary that has been awarded a contract and cease providing services to those patients. We continue to consider other arrangements and to pursue our protest of the award. Given the uncertainty surrounding the program, the Company has suspended materially all of its new patient admissions under the New York CDPAP program.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consumers.</w:t>
      </w:r>
    </w:p>
    <w:p>
      <w:pPr>
        <w:spacing w:after="0" w:line="14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Our effective income tax rate was 25.2% and 21.0% for the years ended December 31, 2021 and 2020, respectively, compared to our federal statutory rate of 21.0%. Our higher effective income tax rate in 2021 was principally due to the inclusion of state taxes and non-deductible compensation, partially offset by an excess tax benefit and the use of federal employment tax credits.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380" w:firstLine="509"/>
        <w:spacing w:after="0" w:line="275" w:lineRule="auto"/>
        <w:rPr>
          <w:sz w:val="20"/>
          <w:szCs w:val="20"/>
          <w:color w:val="auto"/>
        </w:rPr>
      </w:pPr>
      <w:r>
        <w:rPr>
          <w:rFonts w:ascii="Arial" w:cs="Arial" w:eastAsia="Arial" w:hAnsi="Arial"/>
          <w:sz w:val="17"/>
          <w:szCs w:val="17"/>
          <w:color w:val="auto"/>
        </w:rPr>
        <w:t>Effective March 1, 2013, we sold substantially all of the assets used in our then home health business (the “2013 Home Health Business”) in Arkansas, Nevada and South Carolina, and 90% of the 2013 Home Health Business in California and Illinois. Effective October 1, 2017, we sold the remaining 10% ownership interest in the 2013 Home Health Business in California and Illinois. Therefore, we have segregated the 2013 Home Health Business operating results and presented them separately as discontinued operations for the year ended December 31, 2019, see Note 1, Significant Accounting Policies, to the Notes to Consolidated Financial Statements for additional information.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6"/>
        </w:trPr>
        <w:tc>
          <w:tcPr>
            <w:tcW w:w="2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92"/>
              <w:spacing w:after="0" w:line="147" w:lineRule="exact"/>
              <w:rPr>
                <w:sz w:val="20"/>
                <w:szCs w:val="20"/>
                <w:color w:val="auto"/>
              </w:rPr>
            </w:pPr>
            <w:r>
              <w:rPr>
                <w:rFonts w:ascii="Arial" w:cs="Arial" w:eastAsia="Arial" w:hAnsi="Arial"/>
                <w:sz w:val="14"/>
                <w:szCs w:val="14"/>
                <w:b w:val="1"/>
                <w:bCs w:val="1"/>
                <w:color w:val="auto"/>
                <w:w w:val="96"/>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
              <w:spacing w:after="0" w:line="147" w:lineRule="exact"/>
              <w:rPr>
                <w:sz w:val="20"/>
                <w:szCs w:val="20"/>
                <w:color w:val="auto"/>
              </w:rPr>
            </w:pPr>
            <w:r>
              <w:rPr>
                <w:rFonts w:ascii="Arial" w:cs="Arial" w:eastAsia="Arial" w:hAnsi="Arial"/>
                <w:sz w:val="14"/>
                <w:szCs w:val="14"/>
                <w:b w:val="1"/>
                <w:bCs w:val="1"/>
                <w:color w:val="auto"/>
                <w:w w:val="91"/>
              </w:rPr>
              <w:t>Net Service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99,724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w w:val="96"/>
              </w:rPr>
              <w:t>General and administrative expenses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189,418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19,739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203,912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21,429</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Net service revenues increased by 13.0% to $864.5 million for the year ended December 31, 2021 compared to $764.8 million in 2020. Net service revenue increased by $38.6 million and $51.0 million in our personal care and hospice segments, respectively, for the year ended December 31, 2021, compared to 2020. Net service revenue increased due to a 7.8% increase in revenues per billable hour for the year ended December 31, 2021 in our personal care segment compared to 2020. The increase in our hospice segment revenue was primarily due to an increase in average daily census and revenue per patient day, mainly attributed to the acquisition of Queen City Hospice on December 4, 2020, partially offset by a decrease in average daily census organic growth, compared to 2021.</w:t>
      </w:r>
    </w:p>
    <w:p>
      <w:pPr>
        <w:spacing w:after="0" w:line="192"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31.2% for the year ended December 31, 2021, from 29.6% in 2020. The increase was mainly attributed to the full-year effect in 2021 of the acquisition of our relatively higher margin hospice segment businesses in 2020.</w:t>
      </w:r>
    </w:p>
    <w:p>
      <w:pPr>
        <w:spacing w:after="0" w:line="124"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General and administrative expenses increased to $189.4 million for the year ended December 31, 2021 compared to $169.7 million in 2020. The increase in general and administrative expenses was primarily due to acquisitions that resulted in an increase in administrative employee wages, taxes and benefit costs of $14.0 million. In addition, stock-based compensation increased by $3.4 million for the year ended December 31, 2021 compared to 2020. General and administrative expenses, expressed as a percentage of net service revenues slightly decreased to 21.9% for 2021, from 22.2% in 2020.</w:t>
      </w:r>
    </w:p>
    <w:p>
      <w:pPr>
        <w:spacing w:after="0" w:line="157"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auto"/>
        </w:rPr>
        <w:t>Depreciation and amortization increased to $14.5 million for the year ended December 31, 2021 from $12.1 million in 2020, primarily due to the increase of intangible asset amortization related to the full-year effect in 2021 of our fiscal year 2020 acquisitions and fiscal year 2021 acquisitions.</w:t>
      </w:r>
    </w:p>
    <w:p>
      <w:pPr>
        <w:spacing w:after="0" w:line="124"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Interest expense increased to $5.5 million from $2.6 million for the year ended December 31, 2021 compared to 2020. The increase in interest expense was primarily due to higher outstanding borrowings under our credit facility for the year ended December 31, 2021 compared to 2020.</w:t>
      </w:r>
    </w:p>
    <w:p>
      <w:pPr>
        <w:spacing w:after="0" w:line="12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25.2% and 21.0% for the years ended December 31, 2021 and 2020, respectively, compared to our federal statutory rate of 21.0%. Our higher effective income tax rate in 2021 was principally due to the inclusion of state taxes and non-deductible compensation, partially offset by an excess tax benefit and the use of federal employment tax credits. For the years ended December 31, 2021 and 2020, the effective tax rates were inclusive of an excess tax benefit of 2.0% and 5.6%, respectively. The excess tax benefit is a discrete item, primarily related to the vesting of equity shares, which requires the Company to recognize the benefit fully in the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4"/>
                <w:szCs w:val="14"/>
                <w:b w:val="1"/>
                <w:bCs w:val="1"/>
                <w:color w:val="auto"/>
                <w:w w:val="92"/>
              </w:rPr>
              <w:t>For the 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left="573"/>
              <w:spacing w:after="0" w:line="155" w:lineRule="exact"/>
              <w:rPr>
                <w:sz w:val="20"/>
                <w:szCs w:val="20"/>
                <w:color w:val="auto"/>
              </w:rPr>
            </w:pPr>
            <w:r>
              <w:rPr>
                <w:rFonts w:ascii="Arial" w:cs="Arial" w:eastAsia="Arial" w:hAnsi="Arial"/>
                <w:sz w:val="14"/>
                <w:szCs w:val="14"/>
                <w:b w:val="1"/>
                <w:bCs w:val="1"/>
                <w:color w:val="auto"/>
                <w:w w:val="89"/>
              </w:rPr>
              <w:t>2020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11"/>
          </w:tcPr>
          <w:p>
            <w:pPr>
              <w:jc w:val="center"/>
              <w:ind w:left="538"/>
              <w:spacing w:after="0" w:line="155" w:lineRule="exact"/>
              <w:rPr>
                <w:sz w:val="20"/>
                <w:szCs w:val="20"/>
                <w:color w:val="auto"/>
              </w:rPr>
            </w:pPr>
            <w:r>
              <w:rPr>
                <w:rFonts w:ascii="Arial" w:cs="Arial" w:eastAsia="Arial" w:hAnsi="Arial"/>
                <w:sz w:val="14"/>
                <w:szCs w:val="14"/>
                <w:b w:val="1"/>
                <w:bCs w:val="1"/>
                <w:color w:val="auto"/>
                <w:w w:val="90"/>
              </w:rPr>
              <w:t>(Amounts in Thousands, Except Percentages)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Net service revenues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685,854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4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502,024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480,191</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167,042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60,468</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122,265</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106,574</w:t>
            </w:r>
          </w:p>
        </w:tc>
        <w:tc>
          <w:tcPr>
            <w:tcW w:w="22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15,691</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8"/>
                <w:szCs w:val="18"/>
                <w:b w:val="1"/>
                <w:bCs w:val="1"/>
                <w:color w:val="auto"/>
              </w:rPr>
              <w:t>Business Metrics (Actual Numbers, Except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140"/>
              <w:spacing w:after="0"/>
              <w:rPr>
                <w:sz w:val="20"/>
                <w:szCs w:val="20"/>
                <w:color w:val="auto"/>
              </w:rPr>
            </w:pPr>
            <w:r>
              <w:rPr>
                <w:rFonts w:ascii="Arial" w:cs="Arial" w:eastAsia="Arial" w:hAnsi="Arial"/>
                <w:sz w:val="18"/>
                <w:szCs w:val="18"/>
                <w:b w:val="1"/>
                <w:bCs w:val="1"/>
                <w:color w:val="auto"/>
              </w:rPr>
              <w:t>Billable Hours 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15"/>
                <w:szCs w:val="15"/>
                <w:color w:val="auto"/>
              </w:rPr>
              <w:t>(1)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39,199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Billable hours * </w:t>
            </w:r>
            <w:r>
              <w:rPr>
                <w:rFonts w:ascii="Arial" w:cs="Arial" w:eastAsia="Arial" w:hAnsi="Arial"/>
                <w:sz w:val="15"/>
                <w:szCs w:val="15"/>
                <w:color w:val="auto"/>
              </w:rPr>
              <w:t>(2)</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15"/>
                <w:szCs w:val="15"/>
                <w:color w:val="auto"/>
              </w:rPr>
              <w:t>(2)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15"/>
                <w:szCs w:val="15"/>
                <w:color w:val="auto"/>
              </w:rPr>
              <w:t>(2)</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(1,446)</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15"/>
                <w:szCs w:val="15"/>
                <w:color w:val="auto"/>
              </w:rPr>
              <w:t>(2)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Same store growth revenue % * </w:t>
            </w:r>
            <w:r>
              <w:rPr>
                <w:rFonts w:ascii="Arial" w:cs="Arial" w:eastAsia="Arial" w:hAnsi="Arial"/>
                <w:sz w:val="15"/>
                <w:szCs w:val="15"/>
                <w:color w:val="auto"/>
              </w:rPr>
              <w:t>(3)</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94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59" w:lineRule="exact"/>
        <w:rPr>
          <w:sz w:val="20"/>
          <w:szCs w:val="20"/>
          <w:color w:val="auto"/>
        </w:rPr>
      </w:pPr>
    </w:p>
    <w:p>
      <w:pPr>
        <w:ind w:left="500" w:right="120" w:hanging="492"/>
        <w:spacing w:after="0" w:line="290"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ind w:left="500" w:right="160" w:hanging="492"/>
        <w:spacing w:after="0" w:line="278"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8" w:lineRule="exact"/>
        <w:rPr>
          <w:rFonts w:ascii="Arial" w:cs="Arial" w:eastAsia="Arial" w:hAnsi="Arial"/>
          <w:sz w:val="16"/>
          <w:szCs w:val="16"/>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Same store growth reflects the change in year-over-year revenue for the same store base. We define the same store base to include those stores open for at least</w:t>
      </w:r>
    </w:p>
    <w:p>
      <w:pPr>
        <w:spacing w:after="0" w:line="45" w:lineRule="exact"/>
        <w:rPr>
          <w:rFonts w:ascii="Arial" w:cs="Arial" w:eastAsia="Arial" w:hAnsi="Arial"/>
          <w:sz w:val="14"/>
          <w:szCs w:val="14"/>
          <w:color w:val="auto"/>
        </w:rPr>
      </w:pPr>
    </w:p>
    <w:p>
      <w:pPr>
        <w:jc w:val="both"/>
        <w:ind w:left="500" w:right="100"/>
        <w:spacing w:after="0" w:line="276" w:lineRule="auto"/>
        <w:rPr>
          <w:rFonts w:ascii="Arial" w:cs="Arial" w:eastAsia="Arial" w:hAnsi="Arial"/>
          <w:sz w:val="14"/>
          <w:szCs w:val="14"/>
          <w:color w:val="auto"/>
        </w:rPr>
      </w:pPr>
      <w:r>
        <w:rPr>
          <w:rFonts w:ascii="Arial" w:cs="Arial" w:eastAsia="Arial" w:hAnsi="Arial"/>
          <w:sz w:val="16"/>
          <w:szCs w:val="16"/>
          <w:color w:val="auto"/>
        </w:rPr>
        <w:t>52 full weeks. This measure highlights the performance of existing stores, while excluding the impact of acquisitions, new store openings and closures. In addition, the Company has suspended materially all of its new patient admissions under the New York CDPAP program based on program uncertainty and therefore excludes associated revenues from this calculation.</w:t>
      </w:r>
    </w:p>
    <w:p>
      <w:pPr>
        <w:spacing w:after="0" w:line="9" w:lineRule="exact"/>
        <w:rPr>
          <w:sz w:val="20"/>
          <w:szCs w:val="20"/>
          <w:color w:val="auto"/>
        </w:rPr>
      </w:pPr>
    </w:p>
    <w:p>
      <w:pPr>
        <w:ind w:left="500" w:hanging="492"/>
        <w:spacing w:after="0" w:line="268"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88"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personal care segment derives a significant amount of net service revenues from operations in Illinois, which represented 47.9% and 44.6% of our net service revenues for the years ended December 31, 2021 and 2020, respectively. One payor client, the Illinois Department on Aging, accounted for 21.4% and 23.0% of net service revenues for the years ended December 31, 2021 and 2020, respectively. Net service revenues from state, local and other governmental programs accounted for 49.3% and 50.2% of net service revenues for the years ended December 31, 2021 and 2020, respectively. Managed care organizations accounted for 45.5% and 44.3% of net service revenues for the years ended December 31, 2021 and 2020, respectively, with commercial insurance, private pay and other payors accounting for the remainder of net service revenues.</w:t>
      </w:r>
    </w:p>
    <w:p>
      <w:pPr>
        <w:spacing w:after="0" w:line="16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Net service revenues increased by 6.0% for the year ended December 31, 2021 compared to the year ended December 31, 2020 primarily as a result of an increase in revenues per billable hour of 7.8%, mainly attributed to rate increases discussed above. The Company experienced a decrease in New York net service revenues of $15.8 million for the year ended December 31, 2021, primarily driven by a decrease in the New York CDPAP program as discussed above, compared to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Gross profit, expressed as a percentage of net service revenues, increased from 25.8% for the year ended December 31, 2020 to 26.8% for the year ended December 31, 2021 due to a decrease in direct service employee wages, taxes and benefit costs of 0.7%.</w:t>
      </w:r>
    </w:p>
    <w:p>
      <w:pPr>
        <w:spacing w:after="0" w:line="170"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General and administrative expenses increased by approximately $1.1 million for the year ended December 31, 2021. General and administrative expenses, expressed as a percentage of net service revenues was 9.0% and 9.3% for the years ended December 31, 2021 and 2020, respectively. The decrease for the year ended December 31, 2021 compared to 2020 is primarily due to synergies from acquisitions.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Hospice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For the Years Ended December 31,</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68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2"/>
          </w:tcPr>
          <w:p>
            <w:pPr>
              <w:jc w:val="center"/>
              <w:ind w:left="19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Net Service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gridSpan w:val="8"/>
          </w:tcPr>
          <w:p>
            <w:pPr>
              <w:jc w:val="right"/>
              <w:spacing w:after="0" w:line="155" w:lineRule="exact"/>
              <w:rPr>
                <w:sz w:val="20"/>
                <w:szCs w:val="20"/>
                <w:color w:val="auto"/>
              </w:rPr>
            </w:pPr>
            <w:r>
              <w:rPr>
                <w:rFonts w:ascii="Arial" w:cs="Arial" w:eastAsia="Arial" w:hAnsi="Arial"/>
                <w:sz w:val="14"/>
                <w:szCs w:val="14"/>
                <w:b w:val="1"/>
                <w:bCs w:val="1"/>
                <w:color w:val="auto"/>
                <w:w w:val="92"/>
              </w:rPr>
              <w:t>(Amounts in Thousands, Except Percentages)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Net service revenues</w:t>
            </w:r>
          </w:p>
        </w:tc>
        <w:tc>
          <w:tcPr>
            <w:tcW w:w="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152,253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101,297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50,956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47,197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77,067</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54,100</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22,967</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5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42,435</w:t>
            </w: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28,706</w:t>
            </w: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13,729</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b w:val="1"/>
                <w:bCs w:val="1"/>
                <w:color w:val="auto"/>
              </w:rPr>
              <w:t>Business Metrics (Actual Numbers)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 xml:space="preserve">Admissions * </w:t>
            </w:r>
            <w:r>
              <w:rPr>
                <w:rFonts w:ascii="Arial" w:cs="Arial" w:eastAsia="Arial" w:hAnsi="Arial"/>
                <w:sz w:val="15"/>
                <w:szCs w:val="15"/>
                <w:color w:val="auto"/>
              </w:rPr>
              <w:t>(1)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9,592</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6,376</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15"/>
                <w:szCs w:val="15"/>
                <w:color w:val="auto"/>
              </w:rPr>
              <w:t>(2)</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 xml:space="preserve">Average length of stay * </w:t>
            </w:r>
            <w:r>
              <w:rPr>
                <w:rFonts w:ascii="Arial" w:cs="Arial" w:eastAsia="Arial" w:hAnsi="Arial"/>
                <w:sz w:val="15"/>
                <w:szCs w:val="15"/>
                <w:color w:val="auto"/>
              </w:rPr>
              <w:t>(3)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Patient days * </w:t>
            </w:r>
            <w:r>
              <w:rPr>
                <w:rFonts w:ascii="Arial" w:cs="Arial" w:eastAsia="Arial" w:hAnsi="Arial"/>
                <w:sz w:val="15"/>
                <w:szCs w:val="15"/>
                <w:color w:val="auto"/>
              </w:rPr>
              <w:t>(4)</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923,014</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657,172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265,842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 xml:space="preserve">Revenue per patient day * </w:t>
            </w:r>
            <w:r>
              <w:rPr>
                <w:rFonts w:ascii="Arial" w:cs="Arial" w:eastAsia="Arial" w:hAnsi="Arial"/>
                <w:sz w:val="15"/>
                <w:szCs w:val="15"/>
                <w:color w:val="auto"/>
              </w:rPr>
              <w:t>(5)</w:t>
            </w:r>
          </w:p>
        </w:tc>
        <w:tc>
          <w:tcPr>
            <w:tcW w:w="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164.95</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154.14</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Organic growth</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Arial" w:cs="Arial" w:eastAsia="Arial" w:hAnsi="Arial"/>
                <w:sz w:val="18"/>
                <w:szCs w:val="18"/>
                <w:color w:val="auto"/>
              </w:rPr>
              <w:t xml:space="preserve">- Revenue * </w:t>
            </w:r>
            <w:r>
              <w:rPr>
                <w:rFonts w:ascii="Arial" w:cs="Arial" w:eastAsia="Arial" w:hAnsi="Arial"/>
                <w:sz w:val="15"/>
                <w:szCs w:val="15"/>
                <w:color w:val="auto"/>
              </w:rPr>
              <w:t>(6)</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 Average daily census * </w:t>
            </w:r>
            <w:r>
              <w:rPr>
                <w:rFonts w:ascii="Arial" w:cs="Arial" w:eastAsia="Arial" w:hAnsi="Arial"/>
                <w:sz w:val="15"/>
                <w:szCs w:val="15"/>
                <w:color w:val="auto"/>
              </w:rPr>
              <w:t>(6)</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 %</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94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Average daily census is total patient days divided by the number of days in the period, adjusted for patient days for acquisitions beginning on date of acquisition.</w:t>
      </w:r>
    </w:p>
    <w:p>
      <w:pPr>
        <w:spacing w:after="0" w:line="70" w:lineRule="exact"/>
        <w:rPr>
          <w:rFonts w:ascii="Arial" w:cs="Arial" w:eastAsia="Arial" w:hAnsi="Arial"/>
          <w:sz w:val="15"/>
          <w:szCs w:val="15"/>
          <w:color w:val="auto"/>
        </w:rPr>
      </w:pPr>
    </w:p>
    <w:p>
      <w:pPr>
        <w:ind w:left="500" w:right="300" w:hanging="492"/>
        <w:spacing w:after="0" w:line="290"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59" w:lineRule="exact"/>
        <w:rPr>
          <w:rFonts w:ascii="Arial" w:cs="Arial" w:eastAsia="Arial" w:hAnsi="Arial"/>
          <w:sz w:val="16"/>
          <w:szCs w:val="16"/>
          <w:color w:val="auto"/>
        </w:rPr>
      </w:pPr>
    </w:p>
    <w:p>
      <w:pPr>
        <w:ind w:left="500" w:right="100" w:hanging="492"/>
        <w:spacing w:after="0" w:line="278"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9" w:lineRule="exact"/>
        <w:rPr>
          <w:sz w:val="20"/>
          <w:szCs w:val="20"/>
          <w:color w:val="auto"/>
        </w:rPr>
      </w:pPr>
    </w:p>
    <w:p>
      <w:pPr>
        <w:ind w:left="500" w:hanging="492"/>
        <w:spacing w:after="0" w:line="268"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28"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Hospice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 but with the acquisition of Queen City Hospice, the Company expanded continuous care services.</w:t>
      </w:r>
    </w:p>
    <w:p>
      <w:pPr>
        <w:spacing w:after="0" w:line="18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Net service revenues from Medicare accounted for 93.3% and 92.9% and managed care organizations accounted for 3.7% and 4.9% for the years ended December 31, 2021 and 2020, respectively. Net service revenues increased by $51.0 million for the year</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ended December 31, 2021 compared to the year ended December 31, 2020 primarily due to increases in average daily census and revenue per patient day, mainly attributed to the acquisition of Queen City Hospice on December 4, 2020, partially offset by a decrease in average daily census organic growth, compared to 2021.</w:t>
      </w:r>
    </w:p>
    <w:p>
      <w:pPr>
        <w:spacing w:after="0" w:line="18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Gross profit, expressed as a percentage of net service revenues was 50.6% and 53.4% for the years ended December 31, 2021 and 2020, respectively. The decrease in gross profit as a percentage of net service revenues was mainly attributed to an increase of direct employee wages, taxes and benefit costs of 3.0%.</w:t>
      </w:r>
    </w:p>
    <w:p>
      <w:pPr>
        <w:spacing w:after="0" w:line="1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22.7% and 25.1% for the years ended December 31, 2021 and 2020, respectively. The decrease for the year ended December 31, 2021 compared to 2020 is primarily due to synergies from acquisitions. The increase in general and administrative expenses was primarily due to acquisitions that resulted in a $7.3 million increase in administrative employee wages, taxes and benefit costs and a $0.5 million increase in rent expenses for the year ended December 31, 2021.</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For the Years Ended December 31,</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2021</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60" w:type="dxa"/>
            <w:vAlign w:val="bottom"/>
            <w:gridSpan w:val="7"/>
          </w:tcPr>
          <w:p>
            <w:pPr>
              <w:jc w:val="right"/>
              <w:ind w:right="50"/>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26,392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16,245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10,147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17,441</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 xml:space="preserve">New admissions *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 xml:space="preserve">Total volume *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Visits * </w:t>
            </w:r>
            <w:r>
              <w:rPr>
                <w:rFonts w:ascii="Arial" w:cs="Arial" w:eastAsia="Arial" w:hAnsi="Arial"/>
                <w:sz w:val="15"/>
                <w:szCs w:val="15"/>
                <w:color w:val="auto"/>
              </w:rPr>
              <w:t>(4)</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183,951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Organic growth</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 Revenue * </w:t>
            </w:r>
            <w:r>
              <w:rPr>
                <w:rFonts w:ascii="Arial" w:cs="Arial" w:eastAsia="Arial" w:hAnsi="Arial"/>
                <w:sz w:val="15"/>
                <w:szCs w:val="15"/>
                <w:color w:val="auto"/>
              </w:rPr>
              <w:t>(5)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 %</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59" w:lineRule="exact"/>
        <w:rPr>
          <w:rFonts w:ascii="Arial" w:cs="Arial" w:eastAsia="Arial" w:hAnsi="Arial"/>
          <w:sz w:val="16"/>
          <w:szCs w:val="16"/>
          <w:color w:val="auto"/>
        </w:rPr>
      </w:pPr>
    </w:p>
    <w:p>
      <w:pPr>
        <w:ind w:left="500" w:right="160" w:hanging="492"/>
        <w:spacing w:after="0" w:line="290"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59" w:lineRule="exact"/>
        <w:rPr>
          <w:rFonts w:ascii="Arial" w:cs="Arial" w:eastAsia="Arial" w:hAnsi="Arial"/>
          <w:sz w:val="16"/>
          <w:szCs w:val="16"/>
          <w:color w:val="auto"/>
        </w:rPr>
      </w:pPr>
    </w:p>
    <w:p>
      <w:pPr>
        <w:ind w:left="500" w:right="20" w:hanging="492"/>
        <w:spacing w:after="0" w:line="278"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organic growth and new admissions organic growth reflect the change in year-over-year revenue and new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9" w:lineRule="exact"/>
        <w:rPr>
          <w:sz w:val="20"/>
          <w:szCs w:val="20"/>
          <w:color w:val="auto"/>
        </w:rPr>
      </w:pPr>
    </w:p>
    <w:p>
      <w:pPr>
        <w:ind w:left="500" w:hanging="492"/>
        <w:spacing w:after="0" w:line="268"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28"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Home health generates revenue by providing home health services on a short-term, intermittent or episodic basis to individuals, generally to treat an illness or injury. Net service revenues from Medicare accounted for 78.4% and 78.6% and managed care organizations accounted for 16.9% and 19.6% for the years ended December 31, 2021 and 2020, respectively. Home health services provided to Medicare beneficiaries are paid under the Medicare Home Health Prospective Payment System, which uses national,</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4"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Net service revenues increased by $10.1 million for the year ended December 31, 2021 compared to 2020. Total visits increased for the year ended December 31, 2021, mainly attributed to organic growth and the acquisition of Armada on August 1, 2021.</w:t>
      </w:r>
    </w:p>
    <w:p>
      <w:pPr>
        <w:spacing w:after="0" w:line="170"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Gross profit, expressed as a percentage of net service revenues was 33.9% and 31.4% for the years ended December 31, 2021 and 2020, respectively. The increase in gross profit as a percentage of net service revenues was due to a decrease in direct employee wages, taxes and benefit costs of 1.9% for the year ended December 31, 2021 compared to 2020. Gross profit, expressed as a percentage of net service revenues, for the year ended December 31, 2021 improved compared to 2020, due to PDGM case mix and improvements as restrictions related to COVID-19 eased.</w:t>
      </w:r>
    </w:p>
    <w:p>
      <w:pPr>
        <w:spacing w:after="0" w:line="26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21.6% and 23.2% for the years ended December 31, 2021 and 2020, respectively. The decrease for the year ended December 31, 2021 compared to 2020 is primarily due to synergies from acquisitions. The increase in general and administrative expenses was primarily due to acquisitions that resulted in a $1.6 million increase in administrative employee wages, taxes and benefit costs for the year ended December 31, 2021.</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Adjusted EBITDA is a non-GAAP measure that has limitations as an analytical tool, and should not be considered in isolation or as a substitute for analysis of our results of operations as reported under generally accepted accounting principles in the United States (“GAAP”). The financial results presented in accordance with U.S. GAAP and a reconciliation of this non-GAAP measure included within this Annual Report on Form 10-K should be carefully evaluated.</w:t>
      </w:r>
    </w:p>
    <w:p>
      <w:pPr>
        <w:spacing w:after="0" w:line="187"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We define Adjusted EBITDA as net income before discontinued operations, net interest expense, income tax expense, depreciation and amortization, acquisition and de novo expenses, stock-based compensation expense, restructure and other costs, gain or loss on the sale of assets, and secondary offering costs. The Company defined adjusted EBITDA to exclude net COVID expenses arising from the pandemic from the second quarter of 2020 to the first quarter of 2021. Adjusted EBITDA is a performance measure used by management that is not calculated in accordance with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w:t>
      </w:r>
    </w:p>
    <w:p>
      <w:pPr>
        <w:spacing w:after="0" w:line="195"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Management believes that Adjusted EBITDA is useful to investors, management and others in evaluating our operating performance for the following reasons:</w:t>
      </w:r>
    </w:p>
    <w:p>
      <w:pPr>
        <w:spacing w:after="0" w:line="62" w:lineRule="exact"/>
        <w:rPr>
          <w:sz w:val="20"/>
          <w:szCs w:val="20"/>
          <w:color w:val="auto"/>
        </w:rPr>
      </w:pPr>
    </w:p>
    <w:p>
      <w:pPr>
        <w:ind w:left="1260" w:right="20" w:hanging="510"/>
        <w:spacing w:after="0" w:line="275"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spacing w:after="0" w:line="68" w:lineRule="exact"/>
        <w:rPr>
          <w:rFonts w:ascii="Arial" w:cs="Arial" w:eastAsia="Arial" w:hAnsi="Arial"/>
          <w:sz w:val="17"/>
          <w:szCs w:val="17"/>
          <w:color w:val="auto"/>
        </w:rPr>
      </w:pPr>
    </w:p>
    <w:p>
      <w:pPr>
        <w:ind w:left="1260" w:right="760" w:hanging="510"/>
        <w:spacing w:after="0" w:line="277"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believe that Adjusted EBITDA is a measure widely used by securities analysts, investors and others to evaluate the financial performance of other public companies.</w:t>
      </w:r>
    </w:p>
    <w:p>
      <w:pPr>
        <w:spacing w:after="0" w:line="62" w:lineRule="exact"/>
        <w:rPr>
          <w:rFonts w:ascii="Arial" w:cs="Arial" w:eastAsia="Arial" w:hAnsi="Arial"/>
          <w:sz w:val="18"/>
          <w:szCs w:val="18"/>
          <w:color w:val="auto"/>
        </w:rPr>
      </w:pPr>
    </w:p>
    <w:p>
      <w:pPr>
        <w:jc w:val="both"/>
        <w:ind w:left="1260" w:right="260" w:hanging="510"/>
        <w:spacing w:after="0" w:line="311"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recorded stock-based compensation expense of $9.4 million, $6.0 million and $5.8 million for the years ended December 31, 2021, 2020 and 2019, respectively. By comparing our Adjusted EBITDA in different periods, our investors can evaluate our operating results without stock-based compensation expense, which is a non-cash expense which we believe is not a key measure of our operations.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In addition, management has chosen to use Adjusted EBITDA as a performance measure because we believe that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spacing w:after="0" w:line="56" w:lineRule="exact"/>
        <w:rPr>
          <w:sz w:val="20"/>
          <w:szCs w:val="20"/>
          <w:color w:val="auto"/>
        </w:rPr>
      </w:pPr>
    </w:p>
    <w:p>
      <w:pPr>
        <w:ind w:left="1260" w:right="100" w:hanging="510"/>
        <w:spacing w:after="0" w:line="263"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spacing w:after="0" w:line="75" w:lineRule="exact"/>
        <w:rPr>
          <w:rFonts w:ascii="Arial" w:cs="Arial" w:eastAsia="Arial" w:hAnsi="Arial"/>
          <w:sz w:val="18"/>
          <w:szCs w:val="18"/>
          <w:color w:val="auto"/>
        </w:rPr>
      </w:pPr>
    </w:p>
    <w:p>
      <w:pPr>
        <w:ind w:left="1260" w:right="240" w:hanging="510"/>
        <w:spacing w:after="0" w:line="263"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spacing w:after="0" w:line="75" w:lineRule="exact"/>
        <w:rPr>
          <w:rFonts w:ascii="Arial" w:cs="Arial" w:eastAsia="Arial" w:hAnsi="Arial"/>
          <w:sz w:val="18"/>
          <w:szCs w:val="18"/>
          <w:color w:val="auto"/>
        </w:rPr>
      </w:pPr>
    </w:p>
    <w:p>
      <w:pPr>
        <w:ind w:left="1260" w:right="160" w:hanging="510"/>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evaluate the effectiveness of business strategies, such as the allocation of resources, the mix of organic growth and acquisitive growth and adjustments to our payor mix;</w:t>
      </w:r>
    </w:p>
    <w:p>
      <w:pPr>
        <w:spacing w:after="0" w:line="62" w:lineRule="exact"/>
        <w:rPr>
          <w:rFonts w:ascii="Arial" w:cs="Arial" w:eastAsia="Arial" w:hAnsi="Arial"/>
          <w:sz w:val="18"/>
          <w:szCs w:val="18"/>
          <w:color w:val="auto"/>
        </w:rPr>
      </w:pPr>
    </w:p>
    <w:p>
      <w:pPr>
        <w:ind w:left="1260" w:right="120" w:hanging="510"/>
        <w:spacing w:after="0" w:line="263"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spacing w:after="0" w:line="75"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the valuation of prospective acquisitions, and to evaluate the effectiveness of integration of past acquisitions into our Company; and</w:t>
      </w:r>
    </w:p>
    <w:p>
      <w:pPr>
        <w:spacing w:after="0" w:line="153" w:lineRule="exact"/>
        <w:rPr>
          <w:rFonts w:ascii="Arial" w:cs="Arial" w:eastAsia="Arial" w:hAnsi="Arial"/>
          <w:sz w:val="16"/>
          <w:szCs w:val="16"/>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communications with our Board concerning our financial performance.</w:t>
      </w:r>
    </w:p>
    <w:p>
      <w:pPr>
        <w:spacing w:after="0" w:line="239"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spacing w:after="0" w:line="76" w:lineRule="exact"/>
        <w:rPr>
          <w:sz w:val="20"/>
          <w:szCs w:val="20"/>
          <w:color w:val="auto"/>
        </w:rPr>
      </w:pPr>
    </w:p>
    <w:p>
      <w:pPr>
        <w:ind w:left="1260" w:right="1000" w:hanging="510"/>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other contractual commitments;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interest income;</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w:t>
      </w:r>
    </w:p>
    <w:p>
      <w:pPr>
        <w:spacing w:after="0" w:line="130" w:lineRule="exact"/>
        <w:rPr>
          <w:rFonts w:ascii="Arial" w:cs="Arial" w:eastAsia="Arial" w:hAnsi="Arial"/>
          <w:sz w:val="18"/>
          <w:szCs w:val="18"/>
          <w:color w:val="auto"/>
        </w:rPr>
      </w:pPr>
    </w:p>
    <w:p>
      <w:pPr>
        <w:ind w:left="1260" w:right="180" w:hanging="510"/>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have to be replaced in the future, and Adjusted EBITDA does not reflect any cash requirements for these replacements;</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acquisition and de novo expenses;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stock-based compensation;</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restructure expense and other costs;</w:t>
      </w:r>
    </w:p>
    <w:p>
      <w:pPr>
        <w:spacing w:after="0" w:line="130" w:lineRule="exact"/>
        <w:rPr>
          <w:rFonts w:ascii="Arial" w:cs="Arial" w:eastAsia="Arial" w:hAnsi="Arial"/>
          <w:sz w:val="18"/>
          <w:szCs w:val="18"/>
          <w:color w:val="auto"/>
        </w:rPr>
      </w:pPr>
    </w:p>
    <w:p>
      <w:pPr>
        <w:ind w:left="1260" w:right="340" w:hanging="510"/>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net COVID-19 expense arising from the pandemic from the second quarter of 2020 to the first quarter of 2021;</w:t>
      </w:r>
    </w:p>
    <w:p>
      <w:pPr>
        <w:spacing w:after="0" w:line="62"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gains or losses on the sale of assets;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any secondary offering costs; and</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reconciliation of net income, the most directly comparable GAAP measure, to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80" w:type="dxa"/>
            <w:vAlign w:val="bottom"/>
            <w:gridSpan w:val="7"/>
          </w:tcPr>
          <w:p>
            <w:pPr>
              <w:jc w:val="center"/>
              <w:ind w:left="91"/>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320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3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231"/>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3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Reconciliation of net income to Adjusted EBITDA </w:t>
            </w:r>
            <w:r>
              <w:rPr>
                <w:rFonts w:ascii="Arial" w:cs="Arial" w:eastAsia="Arial" w:hAnsi="Arial"/>
                <w:sz w:val="15"/>
                <w:szCs w:val="15"/>
                <w:color w:val="auto"/>
              </w:rPr>
              <w:t>(a):</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45,126</w:t>
            </w:r>
          </w:p>
        </w:tc>
        <w:tc>
          <w:tcPr>
            <w:tcW w:w="10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19"/>
                <w:szCs w:val="19"/>
                <w:color w:val="auto"/>
              </w:rPr>
            </w:pPr>
          </w:p>
        </w:tc>
      </w:tr>
      <w:tr>
        <w:trPr>
          <w:trHeight w:val="229"/>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Less: loss from discontinued operations,</w:t>
            </w:r>
          </w:p>
        </w:tc>
        <w:tc>
          <w:tcPr>
            <w:tcW w:w="4260" w:type="dxa"/>
            <w:vAlign w:val="bottom"/>
            <w:gridSpan w:val="2"/>
            <w:shd w:val="clear" w:color="auto" w:fill="CFF0FC"/>
          </w:tcPr>
          <w:p>
            <w:pPr>
              <w:jc w:val="right"/>
              <w:ind w:right="3459"/>
              <w:spacing w:after="0"/>
              <w:rPr>
                <w:sz w:val="20"/>
                <w:szCs w:val="20"/>
                <w:color w:val="auto"/>
              </w:rPr>
            </w:pPr>
            <w:r>
              <w:rPr>
                <w:rFonts w:ascii="Arial" w:cs="Arial" w:eastAsia="Arial" w:hAnsi="Arial"/>
                <w:sz w:val="18"/>
                <w:szCs w:val="18"/>
                <w:color w:val="auto"/>
                <w:w w:val="94"/>
              </w:rPr>
              <w:t>net of tax</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9"/>
                <w:szCs w:val="19"/>
                <w:color w:val="auto"/>
              </w:rPr>
            </w:pPr>
          </w:p>
        </w:tc>
      </w:tr>
      <w:tr>
        <w:trPr>
          <w:trHeight w:val="223"/>
        </w:trPr>
        <w:tc>
          <w:tcPr>
            <w:tcW w:w="3200" w:type="dxa"/>
            <w:vAlign w:val="bottom"/>
          </w:tcPr>
          <w:p>
            <w:pPr>
              <w:ind w:left="260"/>
              <w:spacing w:after="0"/>
              <w:rPr>
                <w:sz w:val="20"/>
                <w:szCs w:val="20"/>
                <w:color w:val="auto"/>
              </w:rPr>
            </w:pPr>
            <w:r>
              <w:rPr>
                <w:rFonts w:ascii="Arial" w:cs="Arial" w:eastAsia="Arial" w:hAnsi="Arial"/>
                <w:sz w:val="18"/>
                <w:szCs w:val="18"/>
                <w:color w:val="auto"/>
                <w:w w:val="94"/>
              </w:rPr>
              <w:t>Net income from continuing operations</w:t>
            </w:r>
          </w:p>
        </w:tc>
        <w:tc>
          <w:tcPr>
            <w:tcW w:w="34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45,126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25,811</w:t>
            </w:r>
          </w:p>
        </w:tc>
        <w:tc>
          <w:tcPr>
            <w:tcW w:w="100" w:type="dxa"/>
            <w:vAlign w:val="bottom"/>
          </w:tcPr>
          <w:p>
            <w:pPr>
              <w:spacing w:after="0"/>
              <w:rPr>
                <w:sz w:val="19"/>
                <w:szCs w:val="19"/>
                <w:color w:val="auto"/>
              </w:rPr>
            </w:pPr>
          </w:p>
        </w:tc>
      </w:tr>
      <w:tr>
        <w:trPr>
          <w:trHeight w:val="229"/>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3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FF0FC"/>
          </w:tcPr>
          <w:p>
            <w:pPr>
              <w:spacing w:after="0"/>
              <w:rPr>
                <w:sz w:val="19"/>
                <w:szCs w:val="19"/>
                <w:color w:val="auto"/>
              </w:rPr>
            </w:pPr>
          </w:p>
        </w:tc>
      </w:tr>
      <w:tr>
        <w:trPr>
          <w:trHeight w:val="230"/>
        </w:trPr>
        <w:tc>
          <w:tcPr>
            <w:tcW w:w="7460" w:type="dxa"/>
            <w:vAlign w:val="bottom"/>
            <w:gridSpan w:val="3"/>
          </w:tcPr>
          <w:p>
            <w:pPr>
              <w:ind w:left="260"/>
              <w:spacing w:after="0"/>
              <w:rPr>
                <w:sz w:val="20"/>
                <w:szCs w:val="20"/>
                <w:color w:val="auto"/>
              </w:rPr>
            </w:pPr>
            <w:r>
              <w:rPr>
                <w:rFonts w:ascii="Arial" w:cs="Arial" w:eastAsia="Arial" w:hAnsi="Arial"/>
                <w:sz w:val="18"/>
                <w:szCs w:val="18"/>
                <w:color w:val="auto"/>
              </w:rPr>
              <w:t>Income tax expense from continuing operations</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9"/>
                <w:szCs w:val="19"/>
                <w:color w:val="auto"/>
              </w:rPr>
            </w:pPr>
          </w:p>
        </w:tc>
      </w:tr>
      <w:tr>
        <w:trPr>
          <w:trHeight w:val="229"/>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14,494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FF0FC"/>
          </w:tcPr>
          <w:p>
            <w:pPr>
              <w:spacing w:after="0"/>
              <w:rPr>
                <w:sz w:val="19"/>
                <w:szCs w:val="19"/>
                <w:color w:val="auto"/>
              </w:rPr>
            </w:pP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rPr>
              <w:t>Acquisition and de novo expenses</w:t>
            </w:r>
          </w:p>
        </w:tc>
        <w:tc>
          <w:tcPr>
            <w:tcW w:w="3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w:t>
            </w:r>
          </w:p>
        </w:tc>
        <w:tc>
          <w:tcPr>
            <w:tcW w:w="100" w:type="dxa"/>
            <w:vAlign w:val="bottom"/>
            <w:shd w:val="clear" w:color="auto" w:fill="CFF0FC"/>
          </w:tcPr>
          <w:p>
            <w:pPr>
              <w:spacing w:after="0"/>
              <w:rPr>
                <w:sz w:val="19"/>
                <w:szCs w:val="19"/>
                <w:color w:val="auto"/>
              </w:rPr>
            </w:pP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w w:val="99"/>
              </w:rPr>
              <w:t>Restructure expense and other costs</w:t>
            </w:r>
          </w:p>
        </w:tc>
        <w:tc>
          <w:tcPr>
            <w:tcW w:w="3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COVID-19 expense, net </w:t>
            </w:r>
            <w:r>
              <w:rPr>
                <w:rFonts w:ascii="Arial" w:cs="Arial" w:eastAsia="Arial" w:hAnsi="Arial"/>
                <w:sz w:val="15"/>
                <w:szCs w:val="15"/>
                <w:color w:val="auto"/>
              </w:rPr>
              <w:t>(b)</w:t>
            </w:r>
          </w:p>
        </w:tc>
        <w:tc>
          <w:tcPr>
            <w:tcW w:w="3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tcPr>
          <w:p>
            <w:pPr>
              <w:ind w:left="260"/>
              <w:spacing w:after="0"/>
              <w:rPr>
                <w:sz w:val="20"/>
                <w:szCs w:val="20"/>
                <w:color w:val="auto"/>
              </w:rPr>
            </w:pPr>
            <w:r>
              <w:rPr>
                <w:rFonts w:ascii="Arial" w:cs="Arial" w:eastAsia="Arial" w:hAnsi="Arial"/>
                <w:sz w:val="18"/>
                <w:szCs w:val="18"/>
                <w:color w:val="auto"/>
              </w:rPr>
              <w:t>Loss on sale of assets</w:t>
            </w:r>
          </w:p>
        </w:tc>
        <w:tc>
          <w:tcPr>
            <w:tcW w:w="3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Secondary offering costs</w:t>
            </w:r>
          </w:p>
        </w:tc>
        <w:tc>
          <w:tcPr>
            <w:tcW w:w="3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Adjusted EBITDA*</w:t>
            </w:r>
          </w:p>
        </w:tc>
        <w:tc>
          <w:tcPr>
            <w:tcW w:w="34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97,661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76,907</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1500" w:right="60" w:hanging="790"/>
        <w:spacing w:after="0" w:line="266" w:lineRule="auto"/>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selected historical Consolidated Statements of Income data for the fiscal years ended December 31, 2021, 2020 and 2019, were derived from our audited Consolidated Financial Statements.</w:t>
      </w:r>
    </w:p>
    <w:p>
      <w:pPr>
        <w:spacing w:after="0" w:line="1" w:lineRule="exact"/>
        <w:rPr>
          <w:rFonts w:ascii="Arial" w:cs="Arial" w:eastAsia="Arial" w:hAnsi="Arial"/>
          <w:sz w:val="16"/>
          <w:szCs w:val="16"/>
          <w:color w:val="auto"/>
        </w:rPr>
      </w:pPr>
    </w:p>
    <w:p>
      <w:pPr>
        <w:ind w:left="1500" w:hanging="790"/>
        <w:spacing w:after="0" w:line="234"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6"/>
          <w:szCs w:val="16"/>
          <w:color w:val="auto"/>
        </w:rPr>
        <w:t>Excludes net COVID expenses arising from the pandemic from the second quarter of 2020 to the first quarter of 2021.</w:t>
      </w:r>
    </w:p>
    <w:p>
      <w:pPr>
        <w:spacing w:after="0" w:line="131" w:lineRule="exact"/>
        <w:rPr>
          <w:rFonts w:ascii="Arial" w:cs="Arial" w:eastAsia="Arial" w:hAnsi="Arial"/>
          <w:sz w:val="18"/>
          <w:szCs w:val="18"/>
          <w:color w:val="auto"/>
        </w:rPr>
      </w:pPr>
    </w:p>
    <w:p>
      <w:pPr>
        <w:ind w:left="720"/>
        <w:spacing w:after="0" w:line="288" w:lineRule="auto"/>
        <w:rPr>
          <w:rFonts w:ascii="Arial" w:cs="Arial" w:eastAsia="Arial" w:hAnsi="Arial"/>
          <w:sz w:val="18"/>
          <w:szCs w:val="18"/>
          <w:color w:val="auto"/>
        </w:rPr>
      </w:pPr>
      <w:r>
        <w:rPr>
          <w:rFonts w:ascii="Arial" w:cs="Arial" w:eastAsia="Arial" w:hAnsi="Arial"/>
          <w:sz w:val="15"/>
          <w:szCs w:val="15"/>
          <w:color w:val="auto"/>
        </w:rPr>
        <w:t>* 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December 31, 2021 and 2020, we had cash balances of $168.9 million and $145.1 million, respectively. Cash flows from operating activities represent the inflow of cash from our payor clients and the outflow of cash for payroll and payroll taxes, operating expenses, interest and taxes.</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drew approximately $29.0 million on the revolver portion of our credit facility to fund, in part, the acquisition of Armada on August 1, 2021. Additionally, we reallocated and refinanced $17.4 million of our outstanding initial term loans as revolving loans, as discussed below. At December 31, 2021, we had a total of $224.9 million in revolving loans, with an interest rate of 2.10% outstanding on our credit facility. After giving effect to the amount drawn on our credit facility, approximately $8.2 million of outstanding letters of credit and borrowing limits based on an advance multiple of Adjusted EBITDA (as defined in the Credit Agreement), we had $376.6 million of capacity and $143.6 million available for borrowing under our credit facility. At December 31, 2020, we had a total of $178.5 million revolving credit loans, with an interest rate of 1.90%, and $18.1 million term loans, with an interest rate of 1.90%. During the year ended December 31, 2020, the Company drew approximately $135.0 million on the revolver portion of its credit facility to fund, in part, the purchase price for the Queen City Hospice acquisition on December 4, 2020.</w:t>
      </w:r>
    </w:p>
    <w:p>
      <w:pPr>
        <w:spacing w:after="0" w:line="178"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December 31, 2021,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17"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On July 30, 2021, the Company entered into a Second Amendment (the “Second Amendment”) to our Credit Agreement. The Second Amendment, among other things, reallocated and refinanced $17.4 million of our outstanding initial term loans as revolving loans (such that the Company has no outstanding initial term loans and no further initial term loans may be borrowed) and increased the Company’s revolving credit facility to an aggregate amount of $600.0 million. Moreover, the Second Amendment increased the Company’s incremental loan facility to an aggregate amount $125.0 million, which incremental loan facility may be for term loans or an increase to the revolving loan commitments. The maturity of the revolving credit facility was also extended from May 8, 2023 to July 30, 2026. Additionally, the Credit Agreement contains hardwired fallback language that contemplates a transition from LIBOR and specifically it identifies SOFR as the replacement reference rate and details the mechanism for transition at LIBOR cessation, which is anticipated to occur on June 30, 2023. The transition to SOFR is not expected to have a material impact on the Company’s results of operations or liquidity. In connection with the Second Amendment, we incurred approximately $3.0 million of debt issuance costs.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8, Long-Term Debt, to the Notes to Consolidated Financial Statements for additional details of our long-term debt.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Any deterioration in economic conditions in the United States, including as the result of the COVID-19 pandemic, would pose a risk to states’ revenues, which in turn could affect our reimbursements and collections received for services rendered. Depending on the severity and length of any potential economic downturn, states could face significant fiscal challenges and revise their revenue forecasts and adjust their budgets, and sales tax collections and income tax withholdings could be depressed in fiscal year 2021 (which began July 1 in most states), and, potentially, future fiscal years. In this regard, Illinois, New Mexico and New York, our top three personal care markets, previously revised revenue estimates downward for the 2021 fiscal year as the result of earlier negative economic conditions arising from the pandemic. Also in response to reduced revenues, the state of New York authorized the issuance of short-term bonds and implemented uniform reductions to Medicaid payments. Effective for dates of service on or after April 2, 2020, the uniform reduction rate is 1.5%. The reduction applies to home health and personal care services but hospice services are exempt.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Government Stimulus and Relief Measures</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April 16, 2022, but HHS has indicated it will provide states with 60 days’ notice prior to termination of the declaration.</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ARPA, which became law on March 11, 2021, provides for $350 billion in relief funding for eligible state, local, territorial, and Tribal governments to mitigate the fiscal effects of the COVID-19 public health emergency. Additionally, the law provides for a 10 percentage point increase in federal matching funds for Medicaid HCBS from April 1, 2021, through March 30, 2022, provided the state satisfies certain conditions. States must use the monies attributable to this matching fund increase to supplement, not supplant, their level of spending for the implementation of activities enhanced under the Medicaid HCBS in effect as of April 1, 2021. States will be permitted to use the state funds equivalent to the additional federal funds through March 31, 2024.</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One of the primary sources of relief for healthcare providers is the Provider Relief Fund, which has been funded through the CARES Act and related legislation.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88"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In November 2020, the Company received grants in an aggregate principal amount of $13.7 million from the Provider Relief Fund, for which we had previously applied. The Company utilized $12.3 million and $1.4 million of these funds during the years ended December 31, 2021 and 2020, respectively, for healthcare related expenses, including retention payments attributable to COVID-19 that were unreimbursed by other sources. We are required to properly and fully document the use of such funds in reports to HHS, which must be submitted no later than March 31, 2022. Queen City Hospice administered retention payments totaling $1.9 million to caregivers for the year ended December 31, 2021, which we believed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CMS recoupment and before any interest accrual.</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allowing for the deferral of the employer portion of Social Security payroll taxes through December 31, 2020.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$3.0 million of the $7.1 million in 2021.</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CARES Act and related legislation also include other provisions offering financial relief, for example temporarily lifting the Medicare sequester, which would have otherwise reduced payments to Medicare providers by 2% as required by the Budget Control Act of 2011, from May 1, 2020, through December 31, 2021 (but also extending sequestration through 2030). Congress further delayed these sequestration cuts through March 31, 2022, and reduced the sequestration adjustment to 1% from April 1 through June 30, 2022. The full 2% reduction is currently scheduled to resume July 1, 2022. These sequestration cuts have been extended through 2030, with the reductions for 2030 set to increase to 2.25% for the first six months and to 3% for the second six months.</w:t>
      </w:r>
    </w:p>
    <w:p>
      <w:pPr>
        <w:spacing w:after="0" w:line="19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our hospice segment, Medicare sequester relief resulted in an increase in net service revenues of $2.9 million and $1.3 million for the years ended December 31, 2021 and 2020, respectively. In our home health segment, Medicare sequester relief resulted in an increase in net service revenues of $0.5 million and $0.2 million, for the years ended December 31, 2021 and 2020, respectively.</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However, 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historical changes in our cash flows for the years ended December 31,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(Amounts 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39,488</w:t>
            </w: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109,411</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(42,015)</w:t>
            </w:r>
          </w:p>
        </w:tc>
        <w:tc>
          <w:tcPr>
            <w:tcW w:w="4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(214,236)</w:t>
            </w:r>
          </w:p>
        </w:tc>
        <w:tc>
          <w:tcPr>
            <w:tcW w:w="3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(188,697)</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26,344</w:t>
            </w:r>
          </w:p>
        </w:tc>
        <w:tc>
          <w:tcPr>
            <w:tcW w:w="4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138,189</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217,986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Net cash provided by operating activities was $39.5 million for the year ended December 31, 2021, compared to $109.4 million in 2020 primarily due to the timing of receipts on accounts receivable and the timing of government stimulus funds. The changes in accounts receivable were primarily related to the growth in revenue and a decrease in days sales outstanding (“DSO”) during the year ended December 31, 2021 compared to 2020, as described below. The related receivables due from the Illinois Department on Aging represented 16.1% and 15.9% of net accounts receivable at December 31, 2021 and 2020, respectively.</w:t>
      </w:r>
    </w:p>
    <w:p>
      <w:pPr>
        <w:spacing w:after="0" w:line="18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Net cash used in investing activities was $42.0 million for the year ended December 31, 2021, compared to $214.2 million for the year ended December 31, 2020. Our investing activities for the year ended December 31, 2021 consisted of $29.1 million primarily for the acquisition of Armada, $8.2 million for the acquisition of Summit and $4.6 million in purchases of property and equipment primarily related to technology infrastructure. Our investing activities for the year ended December 31, 2020 primarily consisted of $194.8 million for the acquisition of Queen City Hospice, $15.8 million for the acquisition of County Homemakers, $14.5 million for the acquisition of A Plus and $6.8 million in purchases of property and equipment primarily related to our ongoing investments in our technology infrastructure and investments in expanding our corporate office.</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Net cash provided by financing activities was $26.3 million for the year ended December 31, 2021 compared to $138.2 million for the year ended December 31, 2020. Our financing activities for the year ended December 31, 2021 included borrowings of $29.0 million on the revolver portion of our credit facility to fund the Armada acquisition, the reallocation and refinancing of $17.4 million of our outstanding initial term loans as revolving loans and cash paid for debt issuance costs of $3.0 million. Our financing activities for the year ended December 31, 2020 primarily related to borrowings of approximately $135.0 million on the revolver portion of our credit facility to fund, in part, the Queen City Hospice acquisition and $3.9 million in cash received from the exercise of stock options.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accounts receivable as of December 31, 2021 and 2020 were $138.4 million and $133.4 million, respectively. Outstanding accounts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receivable, net of the allowance for doubtful accounts, increased by $4.3 million as of December 31, 2021 compared to December 31, 2020. The open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receivable balance from the Illinois Department on Aging, the largest payor program for the Company’s Illinois personal care operation,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$0.8 million from $21.2 million as of December 31, 2020 to $22.0 million as of December 31, 2021. Our collection procedures include review of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aging and direct contact with our payors. We have historically not used collection agencies. An uncollectible amount is written off to the allowance account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reasonable collection efforts have been exhausted.</w:t>
      </w:r>
    </w:p>
    <w:p>
      <w:pPr>
        <w:spacing w:after="0" w:line="21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calculate our DSO by taking the accounts receivable outstanding, net of the allowance for doubtful accounts, divided by the net service revenues for the last quarter, multiplied by the number of days in that quarter. Our DSOs were 54 and 61 days at December 31, 2021 and 2020, respectively. The DSOs for our largest payor, the Illinois Department on Aging, at December 31, 2021 and 2020 were 43 and 46 days, respectively.</w:t>
      </w:r>
    </w:p>
    <w:p>
      <w:pPr>
        <w:spacing w:after="0" w:line="165"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As discussed above in “COVID-19 Pandemic”, any deterioration in economic conditions in the United States, including as the result of the COVID-19 pandemic, would pose a risk to states’ revenues, which in turn could affect our reimbursements and collections received for services rendered. Depending on the severity and length of any potential economic downturn, states could face significant fiscal challenges and revise their revenue forecasts and adjust their budgets, and sales tax collections and income tax withholdings could be depressed in fiscal year 2021 (which began July 1 in most states), and, potentially, future fiscal years. We cannot determine if Congress will provide additional relief with additional stimulus and relief legislation.</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we did not have any off-balance sheet guarantees or arrangements with unconsolidated entities.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w:t>
      </w:r>
    </w:p>
    <w:p>
      <w:pPr>
        <w:spacing w:after="0" w:line="184"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significant accounting policies are described in Note 1 to the Notes to Consolidated Financial Statements. An accounting policy is deemed to be critical if it involves a significant level of estimation uncertainty and has had or is reasonably likely to have a material impact on our financial condition or results of operations. We base our estimates and judgments on historical experience and other sources and factors that we believe to be reasonable under the circumstances, however, actual results may differ from these estimates. Our critical accounting policies requiring estimates, assumptions and judgments that we believe have the most significant impact on our consolidated financial statements are described below.</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Accounts Receivable and Allowances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we participate are complex and subject to interpretation. Net service revenues related to uninsured accounts, or self-pay, is recorded net of implicit price concessions estimated based on historical collection experience to reduce revenue to the estimated amount we expect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We monitor our net service revenues and collections from these sources and record any necessary adjustment to net service revenues based upon management’s assessment of historical write offs and expected net collections, business and economic conditions, trends in federal, state and private employer health care coverage and other collection indicators.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we expect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we compare our cash collections to recorded net service revenues and evaluate our historical allowances, including implicit price concessions, based upon the ultimate resolution of the accounts receivable balance.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468"/>
        <w:spacing w:after="0" w:line="284"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8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As of December 31, 2021 and 2020, goodwill was $504.4 million and $469.1 million, respectively, included in our Consolidated Balance Sheets. The carrying value of our goodwill is the excess of the purchase price over the fair value of the net assets acquired from various acquisitions.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We may also bypass the qualitative assessment and perform a quantitative test. Additionally, it is our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w:t>
      </w:r>
    </w:p>
    <w:p>
      <w:pPr>
        <w:spacing w:after="0" w:line="179" w:lineRule="exact"/>
        <w:rPr>
          <w:sz w:val="20"/>
          <w:szCs w:val="20"/>
          <w:color w:val="auto"/>
        </w:rPr>
      </w:pPr>
    </w:p>
    <w:p>
      <w:pPr>
        <w:ind w:right="100" w:firstLine="478"/>
        <w:spacing w:after="0" w:line="270" w:lineRule="auto"/>
        <w:rPr>
          <w:sz w:val="20"/>
          <w:szCs w:val="20"/>
          <w:color w:val="auto"/>
        </w:rPr>
      </w:pPr>
      <w:r>
        <w:rPr>
          <w:rFonts w:ascii="Arial" w:cs="Arial" w:eastAsia="Arial" w:hAnsi="Arial"/>
          <w:sz w:val="17"/>
          <w:szCs w:val="17"/>
          <w:color w:val="auto"/>
        </w:rPr>
        <w:t>For the years ended December 31, 2021, 2020 and 2019, we performed the quantitative analysis to evaluate whether an impairment occurred. Since quoted market prices for our reporting units are not available, we rely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and the weighted-average cost of capital.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Based on the totality of the information available, we concluded that it was more likely than not that the estimated fair values of our reporting units were greater than their carrying values. Consequently, we concluded that there were no impairments for the years ended December 31, 2021, 2020 or 2019. For the fiscal year 2021 impairment tests, the fair value of the reporting units exceeded their respective carrying values (commonly referred to as “headroom”) by at least 100% in the personal care and home health reporting units, and by 20% in the hospice reporting unit. The headroom percentage for the hospice reporting unit decreased as compared to the prior year primarily due to prior acquisitions increasing the carrying value combined with a decline in estimates to average daily census and an increase in estimates for labor costs both driven by the impact of the COVID-19 pandemic, resulting in lower discounted cash flows compared to 2020. We performed a sensitivity analysis on this reporting unit and determined that a more than 1.5% increase to the weighted- average cost of capital, the most sensitive assumption used in the estimate, would result in the fair value being lower than the carrying value. The Company bases its fair value estimates on assumptions management believes to be reasonable but which are unpredictable and inherently uncertain. Actual future results may differ from those estimates.</w:t>
      </w:r>
    </w:p>
    <w:p>
      <w:pPr>
        <w:spacing w:after="0" w:line="18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 xml:space="preserve">As of December 31, 2021 and 2020, intangibles, net of accumulated amortization, was $64.3 million and $71.5 million, respectively, included in our Consolidated Balance Sheets. Our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intangible assets with indefinite useful lives are not amortized. We test intangible assets with indefinite useful lives for impairment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2021, 2020 or 2019. Amortization of intangible assets is reported in the statement of income caption, “Depreciation and amortization” and not included in the income statement caption cost of service revenues.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ind w:right="20" w:firstLine="468"/>
        <w:spacing w:after="0" w:line="342" w:lineRule="auto"/>
        <w:rPr>
          <w:sz w:val="20"/>
          <w:szCs w:val="20"/>
          <w:color w:val="auto"/>
        </w:rPr>
      </w:pPr>
      <w:r>
        <w:rPr>
          <w:rFonts w:ascii="Arial" w:cs="Arial" w:eastAsia="Arial" w:hAnsi="Arial"/>
          <w:sz w:val="16"/>
          <w:szCs w:val="16"/>
          <w:color w:val="auto"/>
        </w:rPr>
        <w:t>We had outstanding letters of credit of $8.2 million at December 31, 2021. These standby letters of credit benefit our third-party insurer for our high deductible workers’ compensation insurance program. The amount of the letters of credit is negotiated annually in conjunction with the insurance renewals.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We believe that our existing cash on hand, our anticipated cash flows from operations and amounts available under our Credit Agreement will be sufficient to fund our anticipated operating and investing needs for the next 12 months and for the foreseeable future thereafter. Cash from operations could also be affected by various risks and uncertainties, including, but not limited to, the effects of the COVID-19 pandemic and other risks detailed in Part I, Item 1A—“Risk Factors”.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180" w:firstLine="468"/>
        <w:spacing w:after="0" w:line="275" w:lineRule="auto"/>
        <w:rPr>
          <w:sz w:val="20"/>
          <w:szCs w:val="20"/>
          <w:color w:val="auto"/>
        </w:rPr>
      </w:pPr>
      <w:r>
        <w:rPr>
          <w:rFonts w:ascii="Arial" w:cs="Arial" w:eastAsia="Arial" w:hAnsi="Arial"/>
          <w:sz w:val="17"/>
          <w:szCs w:val="17"/>
          <w:color w:val="auto"/>
        </w:rPr>
        <w:t>As of December 31, 2021, the Company had outstanding debt on our revolving loan under our credit facility of $224.9 million, payable on July 30, 2026. Interest payments associated with the debt totals $27.6 million, with $6.3 million payable within 12 months. As described in Note 8 to the Notes to Consolidated Financial Statements, interest on borrowings under the revolving loan are variable. The calculated interest payable amounts use actual rates available through January 2021 and assumes the January rates of 2.10%, respectively, for all future interest payable on the revolving loans. See Note 8, Long-Term Debt, to the Notes to Consolidated Financial Statements for additional details of our long-term debt.</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468"/>
        <w:spacing w:after="0" w:line="263" w:lineRule="auto"/>
        <w:rPr>
          <w:sz w:val="20"/>
          <w:szCs w:val="20"/>
          <w:color w:val="auto"/>
        </w:rPr>
      </w:pPr>
      <w:r>
        <w:rPr>
          <w:rFonts w:ascii="Arial" w:cs="Arial" w:eastAsia="Arial" w:hAnsi="Arial"/>
          <w:sz w:val="18"/>
          <w:szCs w:val="18"/>
          <w:color w:val="auto"/>
        </w:rPr>
        <w:t>The Company has lease arrangements for local branches, our corporate headquarters and certain equipment. As of December 31, 2021, the Company had fixed lease payment obligations of $48.5 million, with $11.0 million payable within 12 months. See Note 2, Leases, to the Notes to Consolidated Financial Statements for additional details of our leases.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Inflation</w:t>
      </w:r>
    </w:p>
    <w:p>
      <w:pPr>
        <w:spacing w:after="0" w:line="117" w:lineRule="exact"/>
        <w:rPr>
          <w:sz w:val="20"/>
          <w:szCs w:val="20"/>
          <w:color w:val="auto"/>
        </w:rPr>
      </w:pPr>
    </w:p>
    <w:p>
      <w:pPr>
        <w:ind w:firstLine="464"/>
        <w:spacing w:after="0" w:line="273" w:lineRule="auto"/>
        <w:rPr>
          <w:sz w:val="20"/>
          <w:szCs w:val="20"/>
          <w:color w:val="auto"/>
        </w:rPr>
      </w:pPr>
      <w:r>
        <w:rPr>
          <w:rFonts w:ascii="Arial" w:cs="Arial" w:eastAsia="Arial" w:hAnsi="Arial"/>
          <w:sz w:val="17"/>
          <w:szCs w:val="17"/>
          <w:color w:val="auto"/>
        </w:rPr>
        <w:t>The United States has recently experienced inflationary conditions, which we believe generally commenced in the latter half of 2021. The impact of inflation on us is reflected in, and may continue to result in, increased operating costs, particularly the wages we pay our caregivers and other personnel and our ability to attract and retain personnel. Rising price levels might allow us to increase our fees to private pay clients, but our ability to realize rate increases from government programs might be limited despite inflation. Inflation may also raise our financing costs. For additional information regarding the risks to us from the current competitive labor market and increasing labor costs, see Item 1A—Risk Factors — “</w:t>
      </w:r>
      <w:r>
        <w:rPr>
          <w:rFonts w:ascii="Arial" w:cs="Arial" w:eastAsia="Arial" w:hAnsi="Arial"/>
          <w:sz w:val="17"/>
          <w:szCs w:val="17"/>
          <w:i w:val="1"/>
          <w:iCs w:val="1"/>
          <w:color w:val="auto"/>
        </w:rPr>
        <w:t>We may not be able to attract and</w:t>
      </w:r>
      <w:r>
        <w:rPr>
          <w:rFonts w:ascii="Arial" w:cs="Arial" w:eastAsia="Arial" w:hAnsi="Arial"/>
          <w:sz w:val="17"/>
          <w:szCs w:val="17"/>
          <w:color w:val="auto"/>
        </w:rPr>
        <w:t xml:space="preserve"> </w:t>
      </w:r>
      <w:r>
        <w:rPr>
          <w:rFonts w:ascii="Arial" w:cs="Arial" w:eastAsia="Arial" w:hAnsi="Arial"/>
          <w:sz w:val="17"/>
          <w:szCs w:val="17"/>
          <w:i w:val="1"/>
          <w:iCs w:val="1"/>
          <w:color w:val="auto"/>
        </w:rPr>
        <w:t>retain qualified personnel or we may incur increased costs in doing so.</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are exposed to market risk associated with changes in interest rates on our variable rate long-term debt, including, without limitation, the potential impact of the discontinuation or modification of LIBOR. As of December 31, 2021, we had outstanding borrowings of approximately $224.9 million on our credit facility, all of which was subject to variable interest rates. As of December 31, 2020, we had outstanding borrowings of approximately $196.6 million on our credit facility, all of which was subject to variable interest rates. If the variable rates on this debt were 100 basis points higher than the rate applicable to the borrowing during the year ended December 31, 2021, our net income would have decreased by $1.7 million, or $0.10 per diluted share. We do not currently have any derivative or hedging arrangements, or other known exposures, to changes in interest rates.</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40" w:firstLine="509"/>
        <w:spacing w:after="0" w:line="342" w:lineRule="auto"/>
        <w:rPr>
          <w:sz w:val="20"/>
          <w:szCs w:val="20"/>
          <w:color w:val="auto"/>
        </w:rPr>
      </w:pPr>
      <w:r>
        <w:rPr>
          <w:rFonts w:ascii="Arial" w:cs="Arial" w:eastAsia="Arial" w:hAnsi="Arial"/>
          <w:sz w:val="16"/>
          <w:szCs w:val="16"/>
          <w:color w:val="auto"/>
        </w:rPr>
        <w:t>Our Consolidated Financial Statements together with the related Notes to Consolidated Financial Statements and the report of our independent registered public accounting firm, are set forth on the pages indicated in Part IV, Item 15—“Exhibits and Financial Statement Schedules.”</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conducted an evaluation of our disclosure controls and procedures, as such term is defined under Rule 13a-15(e)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recorded, processed, summarized and reported, within the time periods specified in the SEC’s rules and forms, and that such information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5"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December 31, 2021.</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Under the supervision and with the participation of our management, including our Chief Executive Officer and Chief Financial Officer, we conducted an assessment of the effectiveness of our internal control over financial reporting based on the framework in Internal Control — Integrated Framework issued by the Committee of Sponsoring Organizations of the Treadway Commission (2013 framework). Based on our assessment under the framework in Internal Control — Integrated Framework, our management concluded that our internal control over financial reporting was effective as of December 31, 2021.</w:t>
      </w:r>
    </w:p>
    <w:p>
      <w:pPr>
        <w:spacing w:after="0" w:line="164" w:lineRule="exact"/>
        <w:rPr>
          <w:sz w:val="20"/>
          <w:szCs w:val="20"/>
          <w:color w:val="auto"/>
        </w:rPr>
      </w:pPr>
    </w:p>
    <w:p>
      <w:pPr>
        <w:ind w:right="60" w:firstLine="468"/>
        <w:spacing w:after="0" w:line="257" w:lineRule="auto"/>
        <w:rPr>
          <w:sz w:val="20"/>
          <w:szCs w:val="20"/>
          <w:color w:val="auto"/>
        </w:rPr>
      </w:pPr>
      <w:r>
        <w:rPr>
          <w:rFonts w:ascii="Arial" w:cs="Arial" w:eastAsia="Arial" w:hAnsi="Arial"/>
          <w:sz w:val="18"/>
          <w:szCs w:val="18"/>
          <w:color w:val="auto"/>
        </w:rPr>
        <w:t>Under SEC Staff guidance, companies are permitted to exclude acquisitions from their first assessment of internal control over financial reporting which covers the period in which such acquisition was completed. We excluded Armada Skilled Homecare of New Mexico LLC, Armada Hospice of New Mexico LLC and Armada Hospice of Santa Fe LLC (collectively, “Armada”) and Summit Home Health, LLC (“Summit”), each of which are wholly-owned subsidiaries, from our assessment of internal control over financial reporting as of December 31, 2021 because they were acquired in purchase business combinations on August 1, 2021 and October 1, 2021, respectively.</w:t>
      </w:r>
    </w:p>
    <w:p>
      <w:pPr>
        <w:spacing w:after="0" w:line="80"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Armada represented 0.5% of our revenues and 2.0% of our operating income, respectively for the year ended December 31, 2021.</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Summit represented 0.2% of our revenues and 0.0% of our operating income, respectively for the year ended December 31, 2021.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firstLine="468"/>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its report which appears within Part IV, Item 15—“Exhibits and Financial Statement Schedules.”.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December 31, 2021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or about February 23, 2022, the Company entered into new indemnification agreements with each of its directors and executive officers (each, an “Indemnitee”). The indemnification agreements provide that the Company will indemnify the Indemnitee against certain expenses and costs arising out of claims to which he or she becomes subject in connection with his or her service to the Company. The indemnification agreements contain customary terms and conditions and establish certain customary procedures and presumptions. Each new indemnification agreement with a current director or officer will replace and supersede the prior indemnification agreement between the Company and such director or officer, if such director or officer was a party to a prior indemnification agreement. The foregoing description of the indemnification agreements does not purport to be complete and is qualified in its entirety by reference to the form of indemnification agreement filed as Exhibit 10.50 hereto and incorporated herein by reference.</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as we intend to file our definitive Proxy Statement for the 2022 Annual Meeting of Stockholders pursuant to Regulation 14A of the Exchange Act not later than 120 days after the end of the fiscal year covered by this Annual Report, and certain information included in the Proxy Statement is incorporated herein by reference.</w:t>
      </w:r>
    </w:p>
    <w:p>
      <w:pPr>
        <w:spacing w:after="0" w:line="2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not later than 120 days after the end of the fiscal year ended December 31, 2021.</w:t>
      </w:r>
    </w:p>
    <w:p>
      <w:pPr>
        <w:spacing w:after="0" w:line="170"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have adopted a Code of Business Conduct and Ethics (“Code of Conduct”) that is applicable to all of our employees, officers and members of our Board of Directors,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 copy of the current version of our Code of Conduct is available in the Investors—Corporate Governance section of our internet website located at www.addus.com. A copy of the Code of Conduct is also available in print, free of charge, to any stockholder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not later than 120 days after the end of the fiscal year ended December 31, 2021.</w:t>
      </w:r>
    </w:p>
    <w:p>
      <w:pPr>
        <w:spacing w:after="0" w:line="274" w:lineRule="exact"/>
        <w:rPr>
          <w:sz w:val="20"/>
          <w:szCs w:val="20"/>
          <w:color w:val="auto"/>
        </w:rPr>
      </w:pPr>
    </w:p>
    <w:p>
      <w:pPr>
        <w:ind w:left="1020" w:right="3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not later than 120 days after the end of the fiscal year ended December 31, 2021.</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not later than 120 days after the end of the fiscal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2022 Proxy Statement to be filed with the SEC not later than 120 days after the end of the fiscal year ended December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880" w:right="16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 (2) The Financial Statements listed on the index on page F-1 following are included herein. All schedules are omitted, either because they are not applicable or because the required information is shown in the financial statements or the notes thereto.</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Number</w:t>
            </w:r>
          </w:p>
        </w:tc>
        <w:tc>
          <w:tcPr>
            <w:tcW w:w="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25"/>
          </w:tcPr>
          <w:p>
            <w:pPr>
              <w:ind w:left="940"/>
              <w:spacing w:after="0"/>
              <w:rPr>
                <w:sz w:val="20"/>
                <w:szCs w:val="20"/>
                <w:color w:val="auto"/>
              </w:rPr>
            </w:pPr>
            <w:r>
              <w:rPr>
                <w:rFonts w:ascii="Arial" w:cs="Arial" w:eastAsia="Arial" w:hAnsi="Arial"/>
                <w:sz w:val="18"/>
                <w:szCs w:val="18"/>
                <w:b w:val="1"/>
                <w:bCs w:val="1"/>
                <w:color w:val="auto"/>
              </w:rPr>
              <w:t>Description of Document</w:t>
            </w:r>
          </w:p>
        </w:tc>
      </w:tr>
      <w:tr>
        <w:trPr>
          <w:trHeight w:val="290"/>
        </w:trPr>
        <w:tc>
          <w:tcPr>
            <w:tcW w:w="18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75">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Certificate of Incorporation of Addus HomeCare</w:t>
              </w:r>
            </w:hyperlink>
          </w:p>
        </w:tc>
        <w:tc>
          <w:tcPr>
            <w:tcW w:w="720" w:type="dxa"/>
            <w:vAlign w:val="bottom"/>
            <w:gridSpan w:val="14"/>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60" w:type="dxa"/>
            <w:vAlign w:val="bottom"/>
            <w:gridSpan w:val="29"/>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Corporation dated as of October 27, 2009.</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Amended and Restated Bylaws of Addus HomeCare Corporation, as amended by</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the First Amendment to Amended and Restated Bylaws.</w:t>
              </w:r>
            </w:hyperlink>
          </w:p>
        </w:tc>
        <w:tc>
          <w:tcPr>
            <w:tcW w:w="100" w:type="dxa"/>
            <w:vAlign w:val="bottom"/>
            <w:gridSpan w:val="4"/>
          </w:tcPr>
          <w:p>
            <w:pPr>
              <w:spacing w:after="0"/>
              <w:rPr>
                <w:sz w:val="17"/>
                <w:szCs w:val="17"/>
                <w:color w:val="auto"/>
              </w:rPr>
            </w:pPr>
          </w:p>
        </w:tc>
      </w:tr>
      <w:tr>
        <w:trPr>
          <w:trHeight w:val="318"/>
        </w:trPr>
        <w:tc>
          <w:tcPr>
            <w:tcW w:w="180" w:type="dxa"/>
            <w:vAlign w:val="bottom"/>
            <w:gridSpan w:val="2"/>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7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tcBorders>
              <w:top w:val="single" w:sz="8" w:color="0000EE"/>
            </w:tcBorders>
            <w:gridSpan w:val="12"/>
          </w:tcPr>
          <w:p>
            <w:pPr>
              <w:spacing w:after="0"/>
              <w:rPr>
                <w:rFonts w:ascii="Arial" w:cs="Arial" w:eastAsia="Arial" w:hAnsi="Arial"/>
                <w:sz w:val="18"/>
                <w:szCs w:val="18"/>
                <w:color w:val="0000EE"/>
              </w:rPr>
            </w:pPr>
            <w:hyperlink r:id="rId77">
              <w:r>
                <w:rPr>
                  <w:rFonts w:ascii="Arial" w:cs="Arial" w:eastAsia="Arial" w:hAnsi="Arial"/>
                  <w:sz w:val="18"/>
                  <w:szCs w:val="18"/>
                  <w:color w:val="0000EE"/>
                </w:rPr>
                <w:t>Form of Common Stock Certificate.</w:t>
              </w:r>
            </w:hyperlink>
          </w:p>
        </w:tc>
        <w:tc>
          <w:tcPr>
            <w:tcW w:w="1900" w:type="dxa"/>
            <w:vAlign w:val="bottom"/>
            <w:gridSpan w:val="17"/>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80" w:type="dxa"/>
            <w:vAlign w:val="bottom"/>
            <w:gridSpan w:val="2"/>
          </w:tcPr>
          <w:p>
            <w:pPr>
              <w:spacing w:after="0"/>
              <w:rPr>
                <w:sz w:val="24"/>
                <w:szCs w:val="24"/>
                <w:color w:val="auto"/>
              </w:rPr>
            </w:pPr>
          </w:p>
        </w:tc>
        <w:tc>
          <w:tcPr>
            <w:tcW w:w="240" w:type="dxa"/>
            <w:vAlign w:val="bottom"/>
            <w:tcBorders>
              <w:bottom w:val="single" w:sz="8" w:color="0000EE"/>
            </w:tcBorders>
          </w:tcPr>
          <w:p>
            <w:pPr>
              <w:jc w:val="cente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Borders>
              <w:bottom w:val="single" w:sz="8" w:color="0000EE"/>
            </w:tcBorders>
            <w:gridSpan w:val="20"/>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Description of Securities of Addus HomeCare Corporation Registered under</w:t>
              </w:r>
            </w:hyperlink>
          </w:p>
        </w:tc>
        <w:tc>
          <w:tcPr>
            <w:tcW w:w="440" w:type="dxa"/>
            <w:vAlign w:val="bottom"/>
            <w:gridSpan w:val="9"/>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Section 12 of the Exchange Act.</w:t>
              </w:r>
            </w:hyperlink>
          </w:p>
        </w:tc>
        <w:tc>
          <w:tcPr>
            <w:tcW w:w="3620" w:type="dxa"/>
            <w:vAlign w:val="bottom"/>
            <w:gridSpan w:val="23"/>
          </w:tcPr>
          <w:p>
            <w:pPr>
              <w:spacing w:after="0"/>
              <w:rPr>
                <w:sz w:val="17"/>
                <w:szCs w:val="17"/>
                <w:color w:val="auto"/>
              </w:rPr>
            </w:pPr>
          </w:p>
        </w:tc>
      </w:tr>
      <w:tr>
        <w:trPr>
          <w:trHeight w:val="318"/>
        </w:trPr>
        <w:tc>
          <w:tcPr>
            <w:tcW w:w="60" w:type="dxa"/>
            <w:vAlign w:val="bottom"/>
          </w:tcPr>
          <w:p>
            <w:pPr>
              <w:spacing w:after="0"/>
              <w:rPr>
                <w:sz w:val="24"/>
                <w:szCs w:val="24"/>
                <w:color w:val="auto"/>
              </w:rPr>
            </w:pPr>
          </w:p>
        </w:tc>
        <w:tc>
          <w:tcPr>
            <w:tcW w:w="440" w:type="dxa"/>
            <w:vAlign w:val="bottom"/>
            <w:gridSpan w:val="4"/>
          </w:tcPr>
          <w:p>
            <w:pPr>
              <w:ind w:left="40"/>
              <w:spacing w:after="0"/>
              <w:rPr>
                <w:rFonts w:ascii="Arial" w:cs="Arial" w:eastAsia="Arial" w:hAnsi="Arial"/>
                <w:sz w:val="17"/>
                <w:szCs w:val="17"/>
                <w:color w:val="0000EE"/>
                <w:w w:val="90"/>
              </w:rPr>
            </w:pPr>
            <w:hyperlink r:id="rId79">
              <w:r>
                <w:rPr>
                  <w:rFonts w:ascii="Arial" w:cs="Arial" w:eastAsia="Arial" w:hAnsi="Arial"/>
                  <w:sz w:val="17"/>
                  <w:szCs w:val="17"/>
                  <w:color w:val="0000EE"/>
                  <w:w w:val="90"/>
                </w:rPr>
                <w:t>10.1*</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Separation and General Release Agreement, dated as of September 20, 2009,</w:t>
              </w:r>
            </w:hyperlink>
          </w:p>
        </w:tc>
      </w:tr>
      <w:tr>
        <w:trPr>
          <w:trHeight w:val="196"/>
        </w:trPr>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between Addus HealthCare, Inc. and W. Andrew Wright, III.</w:t>
              </w:r>
            </w:hyperlink>
          </w:p>
        </w:tc>
        <w:tc>
          <w:tcPr>
            <w:tcW w:w="420" w:type="dxa"/>
            <w:vAlign w:val="bottom"/>
            <w:gridSpan w:val="8"/>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00" w:type="dxa"/>
            <w:vAlign w:val="bottom"/>
            <w:gridSpan w:val="5"/>
          </w:tcPr>
          <w:p>
            <w:pPr>
              <w:jc w:val="center"/>
              <w:ind w:left="10"/>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Addus HealthCare, Inc. Home Health and Home Care Division Vice President and</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Regional Director Bonus Plan.</w:t>
              </w:r>
            </w:hyperlink>
          </w:p>
        </w:tc>
        <w:tc>
          <w:tcPr>
            <w:tcW w:w="372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500" w:type="dxa"/>
            <w:vAlign w:val="bottom"/>
            <w:gridSpan w:val="5"/>
          </w:tcPr>
          <w:p>
            <w:pPr>
              <w:jc w:val="center"/>
              <w:ind w:left="10"/>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Addus HealthCare, Inc. Support Center Vice President and Department Director</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Bonus Plan.</w:t>
              </w:r>
            </w:hyperlink>
          </w:p>
        </w:tc>
        <w:tc>
          <w:tcPr>
            <w:tcW w:w="4900" w:type="dxa"/>
            <w:vAlign w:val="bottom"/>
            <w:tcBorders>
              <w:top w:val="single" w:sz="8" w:color="0000EE"/>
            </w:tcBorders>
            <w:gridSpan w:val="20"/>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18"/>
        </w:trPr>
        <w:tc>
          <w:tcPr>
            <w:tcW w:w="500" w:type="dxa"/>
            <w:vAlign w:val="bottom"/>
            <w:gridSpan w:val="5"/>
          </w:tcPr>
          <w:p>
            <w:pPr>
              <w:jc w:val="center"/>
              <w:ind w:left="10"/>
              <w:spacing w:after="0"/>
              <w:rPr>
                <w:rFonts w:ascii="Arial" w:cs="Arial" w:eastAsia="Arial" w:hAnsi="Arial"/>
                <w:sz w:val="18"/>
                <w:szCs w:val="18"/>
                <w:color w:val="0000EE"/>
                <w:w w:val="95"/>
              </w:rPr>
            </w:pPr>
            <w:hyperlink r:id="rId8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rPr>
            </w:pPr>
            <w:hyperlink r:id="rId82">
              <w:r>
                <w:rPr>
                  <w:rFonts w:ascii="Arial" w:cs="Arial" w:eastAsia="Arial" w:hAnsi="Arial"/>
                  <w:sz w:val="18"/>
                  <w:szCs w:val="18"/>
                  <w:color w:val="0000EE"/>
                </w:rPr>
                <w:t>Addus Holding Corporation 2006 Stock Incentive Plan.</w:t>
              </w:r>
            </w:hyperlink>
          </w:p>
        </w:tc>
      </w:tr>
      <w:tr>
        <w:trPr>
          <w:trHeight w:val="20"/>
        </w:trPr>
        <w:tc>
          <w:tcPr>
            <w:tcW w:w="180" w:type="dxa"/>
            <w:vAlign w:val="bottom"/>
            <w:tcBorders>
              <w:right w:val="single" w:sz="8" w:color="0000EE"/>
            </w:tcBorders>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500" w:type="dxa"/>
            <w:vAlign w:val="bottom"/>
            <w:gridSpan w:val="5"/>
          </w:tcPr>
          <w:p>
            <w:pPr>
              <w:jc w:val="center"/>
              <w:ind w:left="10"/>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6"/>
              </w:rPr>
            </w:pPr>
            <w:hyperlink r:id="rId83">
              <w:r>
                <w:rPr>
                  <w:rFonts w:ascii="Arial" w:cs="Arial" w:eastAsia="Arial" w:hAnsi="Arial"/>
                  <w:sz w:val="18"/>
                  <w:szCs w:val="18"/>
                  <w:color w:val="0000EE"/>
                  <w:w w:val="96"/>
                </w:rPr>
                <w:t>Director Form of Non-Qualified Stock Option Certificate under the 2006 Stock</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Incentive Plan.</w:t>
              </w:r>
            </w:hyperlink>
          </w:p>
        </w:tc>
        <w:tc>
          <w:tcPr>
            <w:tcW w:w="240" w:type="dxa"/>
            <w:vAlign w:val="bottom"/>
            <w:gridSpan w:val="7"/>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500" w:type="dxa"/>
            <w:vAlign w:val="bottom"/>
            <w:gridSpan w:val="5"/>
          </w:tcPr>
          <w:p>
            <w:pPr>
              <w:jc w:val="center"/>
              <w:ind w:left="10"/>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6*</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Executive Form of Non-Qualified Stock Option Certificate under the 2006 Stock</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Incentive Plan.</w:t>
              </w:r>
            </w:hyperlink>
          </w:p>
        </w:tc>
        <w:tc>
          <w:tcPr>
            <w:tcW w:w="120" w:type="dxa"/>
            <w:vAlign w:val="bottom"/>
            <w:gridSpan w:val="5"/>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7"/>
        </w:trPr>
        <w:tc>
          <w:tcPr>
            <w:tcW w:w="180" w:type="dxa"/>
            <w:vAlign w:val="bottom"/>
            <w:gridSpan w:val="2"/>
          </w:tcPr>
          <w:p>
            <w:pPr>
              <w:spacing w:after="0"/>
              <w:rPr>
                <w:sz w:val="24"/>
                <w:szCs w:val="24"/>
                <w:color w:val="auto"/>
              </w:rPr>
            </w:pPr>
          </w:p>
        </w:tc>
        <w:tc>
          <w:tcPr>
            <w:tcW w:w="280" w:type="dxa"/>
            <w:vAlign w:val="bottom"/>
            <w:tcBorders>
              <w:bottom w:val="single" w:sz="8" w:color="0000EE"/>
            </w:tcBorders>
            <w:gridSpan w:val="2"/>
          </w:tcPr>
          <w:p>
            <w:pPr>
              <w:jc w:val="center"/>
              <w:spacing w:after="0"/>
              <w:rPr>
                <w:rFonts w:ascii="Arial" w:cs="Arial" w:eastAsia="Arial" w:hAnsi="Arial"/>
                <w:sz w:val="18"/>
                <w:szCs w:val="18"/>
                <w:color w:val="0000EE"/>
                <w:w w:val="79"/>
              </w:rPr>
            </w:pPr>
            <w:hyperlink r:id="rId8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2009 Form of Indemnification Agreement.</w:t>
              </w:r>
            </w:hyperlink>
          </w:p>
        </w:tc>
        <w:tc>
          <w:tcPr>
            <w:tcW w:w="2880" w:type="dxa"/>
            <w:vAlign w:val="bottom"/>
            <w:gridSpan w:val="19"/>
          </w:tcPr>
          <w:p>
            <w:pPr>
              <w:spacing w:after="0"/>
              <w:rPr>
                <w:sz w:val="24"/>
                <w:szCs w:val="24"/>
                <w:color w:val="auto"/>
              </w:rPr>
            </w:pPr>
          </w:p>
        </w:tc>
      </w:tr>
      <w:tr>
        <w:trPr>
          <w:trHeight w:val="345"/>
        </w:trPr>
        <w:tc>
          <w:tcPr>
            <w:tcW w:w="180" w:type="dxa"/>
            <w:vAlign w:val="bottom"/>
            <w:gridSpan w:val="2"/>
          </w:tcPr>
          <w:p>
            <w:pPr>
              <w:spacing w:after="0"/>
              <w:rPr>
                <w:sz w:val="24"/>
                <w:szCs w:val="24"/>
                <w:color w:val="auto"/>
              </w:rPr>
            </w:pPr>
          </w:p>
        </w:tc>
        <w:tc>
          <w:tcPr>
            <w:tcW w:w="280" w:type="dxa"/>
            <w:vAlign w:val="bottom"/>
            <w:tcBorders>
              <w:bottom w:val="single" w:sz="8" w:color="0000EE"/>
            </w:tcBorders>
            <w:gridSpan w:val="2"/>
          </w:tcPr>
          <w:p>
            <w:pPr>
              <w:jc w:val="center"/>
              <w:spacing w:after="0"/>
              <w:rPr>
                <w:rFonts w:ascii="Arial" w:cs="Arial" w:eastAsia="Arial" w:hAnsi="Arial"/>
                <w:sz w:val="18"/>
                <w:szCs w:val="18"/>
                <w:color w:val="0000EE"/>
                <w:w w:val="79"/>
              </w:rPr>
            </w:pPr>
            <w:hyperlink r:id="rId8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Borders>
              <w:bottom w:val="single" w:sz="8" w:color="0000EE"/>
            </w:tcBorders>
            <w:gridSpan w:val="19"/>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License Agreement for Horizon Homecare Software, dated March 24, 2006,</w:t>
              </w:r>
            </w:hyperlink>
          </w:p>
        </w:tc>
        <w:tc>
          <w:tcPr>
            <w:tcW w:w="460" w:type="dxa"/>
            <w:vAlign w:val="bottom"/>
            <w:gridSpan w:val="10"/>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60" w:type="dxa"/>
            <w:vAlign w:val="bottom"/>
            <w:gridSpan w:val="29"/>
          </w:tcPr>
          <w:p>
            <w:pPr>
              <w:spacing w:after="0" w:line="196"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between McKesson Information Solutions, LLC and Addus HealthCare, Inc.</w:t>
              </w:r>
            </w:hyperlink>
          </w:p>
        </w:tc>
      </w:tr>
      <w:tr>
        <w:trPr>
          <w:trHeight w:val="20"/>
        </w:trPr>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60" w:type="dxa"/>
            <w:vAlign w:val="bottom"/>
            <w:gridSpan w:val="4"/>
          </w:tcPr>
          <w:p>
            <w:pPr>
              <w:jc w:val="center"/>
              <w:ind w:left="50"/>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7"/>
              </w:rPr>
            </w:pPr>
            <w:hyperlink r:id="rId87">
              <w:r>
                <w:rPr>
                  <w:rFonts w:ascii="Arial" w:cs="Arial" w:eastAsia="Arial" w:hAnsi="Arial"/>
                  <w:sz w:val="18"/>
                  <w:szCs w:val="18"/>
                  <w:color w:val="0000EE"/>
                  <w:w w:val="97"/>
                </w:rPr>
                <w:t>Contract Supplement to License Agreement No. C0608555, dated March 24,</w:t>
              </w:r>
            </w:hyperlink>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2006.</w:t>
              </w:r>
            </w:hyperlink>
          </w:p>
        </w:tc>
        <w:tc>
          <w:tcPr>
            <w:tcW w:w="4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500" w:type="dxa"/>
            <w:vAlign w:val="bottom"/>
            <w:gridSpan w:val="5"/>
          </w:tcPr>
          <w:p>
            <w:pPr>
              <w:jc w:val="center"/>
              <w:ind w:left="10"/>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Contract Supplement to License Agreement No. 00608555, dated March 28, 2006.</w:t>
              </w:r>
            </w:hyperlink>
          </w:p>
        </w:tc>
      </w:tr>
      <w:tr>
        <w:trPr>
          <w:trHeight w:val="20"/>
        </w:trPr>
        <w:tc>
          <w:tcPr>
            <w:tcW w:w="180" w:type="dxa"/>
            <w:vAlign w:val="bottom"/>
            <w:tcBorders>
              <w:right w:val="single" w:sz="8" w:color="0000EE"/>
            </w:tcBorders>
            <w:gridSpan w:val="2"/>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r>
      <w:tr>
        <w:trPr>
          <w:trHeight w:val="344"/>
        </w:trPr>
        <w:tc>
          <w:tcPr>
            <w:tcW w:w="500" w:type="dxa"/>
            <w:vAlign w:val="bottom"/>
            <w:gridSpan w:val="5"/>
          </w:tcPr>
          <w:p>
            <w:pPr>
              <w:jc w:val="center"/>
              <w:ind w:left="10"/>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Amendment to License Agreement No. C0608555, dated March 28, 2006,</w:t>
              </w:r>
            </w:hyperlink>
          </w:p>
        </w:tc>
      </w:tr>
      <w:tr>
        <w:trPr>
          <w:trHeight w:val="20"/>
        </w:trPr>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60" w:type="dxa"/>
            <w:vAlign w:val="bottom"/>
            <w:gridSpan w:val="29"/>
          </w:tcPr>
          <w:p>
            <w:pPr>
              <w:spacing w:after="0" w:line="196"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between McKesson Information Solutions LLC and Addus HealthCare, Inc.</w:t>
              </w:r>
            </w:hyperlink>
          </w:p>
        </w:tc>
      </w:tr>
      <w:tr>
        <w:trPr>
          <w:trHeight w:val="318"/>
        </w:trPr>
        <w:tc>
          <w:tcPr>
            <w:tcW w:w="540" w:type="dxa"/>
            <w:vAlign w:val="bottom"/>
            <w:gridSpan w:val="6"/>
          </w:tcPr>
          <w:p>
            <w:pPr>
              <w:jc w:val="cente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12*</w:t>
              </w:r>
            </w:hyperlink>
          </w:p>
        </w:tc>
        <w:tc>
          <w:tcPr>
            <w:tcW w:w="380" w:type="dxa"/>
            <w:vAlign w:val="bottom"/>
          </w:tcPr>
          <w:p>
            <w:pPr>
              <w:spacing w:after="0"/>
              <w:rPr>
                <w:sz w:val="24"/>
                <w:szCs w:val="24"/>
                <w:color w:val="auto"/>
              </w:rPr>
            </w:pPr>
          </w:p>
        </w:tc>
        <w:tc>
          <w:tcPr>
            <w:tcW w:w="5480" w:type="dxa"/>
            <w:vAlign w:val="bottom"/>
            <w:tcBorders>
              <w:top w:val="single" w:sz="8" w:color="0000EE"/>
            </w:tcBorders>
            <w:gridSpan w:val="18"/>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Addus HomeCare Corporation 2009 Stock Incentive Plan.</w:t>
              </w:r>
            </w:hyperlink>
          </w:p>
        </w:tc>
        <w:tc>
          <w:tcPr>
            <w:tcW w:w="480" w:type="dxa"/>
            <w:vAlign w:val="bottom"/>
            <w:gridSpan w:val="11"/>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540" w:type="dxa"/>
            <w:vAlign w:val="bottom"/>
            <w:gridSpan w:val="6"/>
          </w:tcPr>
          <w:p>
            <w:pPr>
              <w:jc w:val="cente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13*</w:t>
              </w:r>
            </w:hyperlink>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Nonqualified Stock Option Award Agreement pursuant to the 2009 Stock</w:t>
              </w:r>
            </w:hyperlink>
          </w:p>
        </w:tc>
      </w:tr>
      <w:tr>
        <w:trPr>
          <w:trHeight w:val="196"/>
        </w:trPr>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59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Incentive Plan.</w:t>
              </w:r>
            </w:hyperlink>
          </w:p>
        </w:tc>
        <w:tc>
          <w:tcPr>
            <w:tcW w:w="40" w:type="dxa"/>
            <w:vAlign w:val="bottom"/>
            <w:gridSpan w:val="2"/>
          </w:tcPr>
          <w:p>
            <w:pPr>
              <w:spacing w:after="0"/>
              <w:rPr>
                <w:sz w:val="17"/>
                <w:szCs w:val="17"/>
                <w:color w:val="auto"/>
              </w:rPr>
            </w:pPr>
          </w:p>
        </w:tc>
      </w:tr>
      <w:tr>
        <w:trPr>
          <w:trHeight w:val="20"/>
        </w:trPr>
        <w:tc>
          <w:tcPr>
            <w:tcW w:w="54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540" w:type="dxa"/>
            <w:vAlign w:val="bottom"/>
            <w:gridSpan w:val="6"/>
          </w:tcPr>
          <w:p>
            <w:pPr>
              <w:jc w:val="cente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14*</w:t>
              </w:r>
            </w:hyperlink>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Form of Restricted Stock Award Agreement pursuant to the 2009 Stock Incentive</w:t>
              </w:r>
            </w:hyperlink>
          </w:p>
        </w:tc>
      </w:tr>
      <w:tr>
        <w:trPr>
          <w:trHeight w:val="196"/>
        </w:trPr>
        <w:tc>
          <w:tcPr>
            <w:tcW w:w="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Plan.</w:t>
              </w:r>
            </w:hyperlink>
          </w:p>
        </w:tc>
        <w:tc>
          <w:tcPr>
            <w:tcW w:w="5500" w:type="dxa"/>
            <w:vAlign w:val="bottom"/>
            <w:tcBorders>
              <w:top w:val="single" w:sz="8" w:color="0000EE"/>
            </w:tcBorders>
            <w:gridSpan w:val="2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38"/>
        </w:trPr>
        <w:tc>
          <w:tcPr>
            <w:tcW w:w="540" w:type="dxa"/>
            <w:vAlign w:val="bottom"/>
            <w:gridSpan w:val="6"/>
          </w:tcPr>
          <w:p>
            <w:pPr>
              <w:jc w:val="cente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15*</w:t>
              </w:r>
            </w:hyperlink>
          </w:p>
        </w:tc>
        <w:tc>
          <w:tcPr>
            <w:tcW w:w="380" w:type="dxa"/>
            <w:vAlign w:val="bottom"/>
          </w:tcPr>
          <w:p>
            <w:pPr>
              <w:spacing w:after="0"/>
              <w:rPr>
                <w:sz w:val="24"/>
                <w:szCs w:val="24"/>
                <w:color w:val="auto"/>
              </w:rPr>
            </w:pPr>
          </w:p>
        </w:tc>
        <w:tc>
          <w:tcPr>
            <w:tcW w:w="5960" w:type="dxa"/>
            <w:vAlign w:val="bottom"/>
            <w:gridSpan w:val="29"/>
          </w:tcPr>
          <w:p>
            <w:pPr>
              <w:spacing w:after="0"/>
              <w:rPr>
                <w:rFonts w:ascii="Arial" w:cs="Arial" w:eastAsia="Arial" w:hAnsi="Arial"/>
                <w:sz w:val="18"/>
                <w:szCs w:val="18"/>
                <w:color w:val="0000EE"/>
              </w:rPr>
            </w:pPr>
            <w:hyperlink r:id="rId93">
              <w:r>
                <w:rPr>
                  <w:rFonts w:ascii="Arial" w:cs="Arial" w:eastAsia="Arial" w:hAnsi="Arial"/>
                  <w:sz w:val="18"/>
                  <w:szCs w:val="18"/>
                  <w:color w:val="0000EE"/>
                </w:rPr>
                <w:t>The Executive Nonqualified “Excess” Plan Adoption Agreement, by Addus</w:t>
              </w:r>
            </w:hyperlink>
          </w:p>
        </w:tc>
      </w:tr>
      <w:tr>
        <w:trPr>
          <w:trHeight w:val="176"/>
        </w:trPr>
        <w:tc>
          <w:tcPr>
            <w:tcW w:w="6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54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r:id="rId93">
              <w:r>
                <w:rPr>
                  <w:rFonts w:ascii="Arial" w:cs="Arial" w:eastAsia="Arial" w:hAnsi="Arial"/>
                  <w:sz w:val="18"/>
                  <w:szCs w:val="18"/>
                  <w:color w:val="0000EE"/>
                </w:rPr>
                <w:t>HealthCare, Inc., dated April 1, 2012.</w:t>
              </w:r>
            </w:hyperlink>
          </w:p>
        </w:tc>
        <w:tc>
          <w:tcPr>
            <w:tcW w:w="500" w:type="dxa"/>
            <w:vAlign w:val="bottom"/>
            <w:gridSpan w:val="12"/>
          </w:tcPr>
          <w:p>
            <w:pPr>
              <w:spacing w:after="0"/>
              <w:rPr>
                <w:sz w:val="15"/>
                <w:szCs w:val="15"/>
                <w:color w:val="auto"/>
              </w:rPr>
            </w:pPr>
          </w:p>
        </w:tc>
      </w:tr>
      <w:tr>
        <w:trPr>
          <w:trHeight w:val="452"/>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tcBorders>
              <w:top w:val="single" w:sz="8" w:color="0000EE"/>
            </w:tcBorders>
            <w:gridSpan w:val="8"/>
          </w:tcPr>
          <w:p>
            <w:pPr>
              <w:spacing w:after="0"/>
              <w:rPr>
                <w:sz w:val="24"/>
                <w:szCs w:val="24"/>
                <w:color w:val="auto"/>
              </w:rPr>
            </w:pPr>
          </w:p>
        </w:tc>
        <w:tc>
          <w:tcPr>
            <w:tcW w:w="2100" w:type="dxa"/>
            <w:vAlign w:val="bottom"/>
            <w:gridSpan w:val="6"/>
          </w:tcPr>
          <w:p>
            <w:pPr>
              <w:jc w:val="right"/>
              <w:ind w:right="2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Exhibit</w:t>
            </w:r>
          </w:p>
        </w:tc>
      </w:t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Date Filing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439"/>
        </w:trPr>
        <w:tc>
          <w:tcPr>
            <w:tcW w:w="8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11/20/2009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3.1</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05/9/2013</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10/2/2009</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8/10/2020</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4.2</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9/21/2009</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10.1(b)</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10.10</w:t>
            </w:r>
          </w:p>
        </w:tc>
      </w:tr>
      <w:tr>
        <w:trPr>
          <w:trHeight w:val="554"/>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10.11</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10.12</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10.13</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7/17/2009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8/26/2009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8/26/2009</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10.17(a)</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8/26/2009</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10.17(b)</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8/26/2009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10.17(c)</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9/21/2009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10.20</w:t>
            </w:r>
          </w:p>
        </w:tc>
      </w:tr>
      <w:tr>
        <w:trPr>
          <w:trHeight w:val="45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9/21/2009</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10.20(a)</w:t>
            </w:r>
          </w:p>
        </w:tc>
      </w:tr>
      <w:tr>
        <w:trPr>
          <w:trHeight w:val="553"/>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9/21/2009</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10.20(b)</w:t>
            </w:r>
          </w:p>
        </w:tc>
      </w:tr>
      <w:tr>
        <w:trPr>
          <w:trHeight w:val="554"/>
        </w:trPr>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4/5/2012</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99.1</w:t>
            </w:r>
          </w:p>
        </w:tc>
      </w:tr>
    </w:tbl>
    <w:p>
      <w:pPr>
        <w:sectPr>
          <w:pgSz w:w="11900" w:h="16838" w:orient="portrait"/>
          <w:cols w:equalWidth="0" w:num="2">
            <w:col w:w="6880" w:space="100"/>
            <w:col w:w="4260"/>
          </w:cols>
          <w:pgMar w:left="320" w:top="121"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60"/>
        <w:spacing w:after="0"/>
        <w:tabs>
          <w:tab w:leader="none" w:pos="900" w:val="left"/>
        </w:tabs>
        <w:rPr>
          <w:rFonts w:ascii="Arial" w:cs="Arial" w:eastAsia="Arial" w:hAnsi="Arial"/>
          <w:sz w:val="16"/>
          <w:szCs w:val="16"/>
          <w:u w:val="single" w:color="auto"/>
          <w:color w:val="0000EE"/>
        </w:rPr>
      </w:pPr>
      <w:hyperlink r:id="rId95">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95">
        <w:r>
          <w:rPr>
            <w:rFonts w:ascii="Arial" w:cs="Arial" w:eastAsia="Arial" w:hAnsi="Arial"/>
            <w:sz w:val="16"/>
            <w:szCs w:val="16"/>
            <w:u w:val="single" w:color="auto"/>
            <w:color w:val="0000EE"/>
          </w:rPr>
          <w:t>The Executive Nonqualified Excess Plan Document.</w:t>
        </w:r>
      </w:hyperlink>
    </w:p>
    <w:p>
      <w:pPr>
        <w:spacing w:after="0" w:line="158" w:lineRule="exact"/>
        <w:rPr>
          <w:sz w:val="20"/>
          <w:szCs w:val="20"/>
          <w:color w:val="auto"/>
        </w:rPr>
      </w:pPr>
    </w:p>
    <w:p>
      <w:pPr>
        <w:ind w:left="920" w:right="240" w:hanging="827"/>
        <w:spacing w:after="0" w:line="263" w:lineRule="auto"/>
        <w:tabs>
          <w:tab w:leader="none" w:pos="900" w:val="left"/>
        </w:tabs>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r:id="rId96">
        <w:r>
          <w:rPr>
            <w:rFonts w:ascii="Arial" w:cs="Arial" w:eastAsia="Arial" w:hAnsi="Arial"/>
            <w:sz w:val="18"/>
            <w:szCs w:val="18"/>
            <w:u w:val="single" w:color="auto"/>
            <w:color w:val="0000EE"/>
          </w:rPr>
          <w:t>Asset Purchase Agreement, dated as of February 7, 2013, by and among Addus</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HealthCare, Inc., its subsidiaries identified therein, LHC Group, Inc. and its</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subsidiaries identified therein.</w:t>
        </w:r>
      </w:hyperlink>
    </w:p>
    <w:p>
      <w:pPr>
        <w:spacing w:after="0" w:line="89" w:lineRule="exact"/>
        <w:rPr>
          <w:rFonts w:ascii="Arial" w:cs="Arial" w:eastAsia="Arial" w:hAnsi="Arial"/>
          <w:sz w:val="18"/>
          <w:szCs w:val="18"/>
          <w:u w:val="single" w:color="auto"/>
          <w:color w:val="0000EE"/>
        </w:rPr>
      </w:pPr>
    </w:p>
    <w:p>
      <w:pPr>
        <w:ind w:left="920" w:right="120" w:hanging="872"/>
        <w:spacing w:after="0" w:line="277" w:lineRule="auto"/>
        <w:tabs>
          <w:tab w:leader="none" w:pos="900" w:val="left"/>
        </w:tabs>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97">
        <w:r>
          <w:rPr>
            <w:rFonts w:ascii="Arial" w:cs="Arial" w:eastAsia="Arial" w:hAnsi="Arial"/>
            <w:sz w:val="18"/>
            <w:szCs w:val="18"/>
            <w:u w:val="single" w:color="auto"/>
            <w:color w:val="0000EE"/>
          </w:rPr>
          <w:t>Employment and Non-Competition Agreement, effective December 15, 2014, by</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and between Addus HealthCare, Inc. and Maxine Hochhauser.</w:t>
        </w:r>
      </w:hyperlink>
    </w:p>
    <w:p>
      <w:pPr>
        <w:spacing w:after="0" w:line="76" w:lineRule="exact"/>
        <w:rPr>
          <w:rFonts w:ascii="Arial" w:cs="Arial" w:eastAsia="Arial" w:hAnsi="Arial"/>
          <w:sz w:val="18"/>
          <w:szCs w:val="18"/>
          <w:u w:val="single" w:color="auto"/>
          <w:color w:val="0000EE"/>
        </w:rPr>
      </w:pPr>
    </w:p>
    <w:p>
      <w:pPr>
        <w:ind w:left="920" w:right="120" w:hanging="827"/>
        <w:spacing w:after="0" w:line="263" w:lineRule="auto"/>
        <w:tabs>
          <w:tab w:leader="none" w:pos="900" w:val="left"/>
        </w:tabs>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98">
        <w:r>
          <w:rPr>
            <w:rFonts w:ascii="Arial" w:cs="Arial" w:eastAsia="Arial" w:hAnsi="Arial"/>
            <w:sz w:val="18"/>
            <w:szCs w:val="18"/>
            <w:u w:val="single" w:color="auto"/>
            <w:color w:val="0000EE"/>
          </w:rPr>
          <w:t>Securities Purchase Agreement, dated as of April 24, 2015, by and among Addus</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HealthCare, Inc., Margaret Coffey, Carol Kolar, South Shore Home Health</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Service, Inc. and Acaring Home Care, LLC.</w:t>
        </w:r>
      </w:hyperlink>
    </w:p>
    <w:p>
      <w:pPr>
        <w:spacing w:after="0" w:line="89" w:lineRule="exact"/>
        <w:rPr>
          <w:rFonts w:ascii="Arial" w:cs="Arial" w:eastAsia="Arial" w:hAnsi="Arial"/>
          <w:sz w:val="18"/>
          <w:szCs w:val="18"/>
          <w:u w:val="single" w:color="auto"/>
          <w:color w:val="0000EE"/>
        </w:rPr>
      </w:pPr>
    </w:p>
    <w:p>
      <w:pPr>
        <w:ind w:left="920" w:right="180" w:hanging="872"/>
        <w:spacing w:after="0" w:line="277" w:lineRule="auto"/>
        <w:tabs>
          <w:tab w:leader="none" w:pos="900" w:val="left"/>
        </w:tabs>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99">
        <w:r>
          <w:rPr>
            <w:rFonts w:ascii="Arial" w:cs="Arial" w:eastAsia="Arial" w:hAnsi="Arial"/>
            <w:sz w:val="18"/>
            <w:szCs w:val="18"/>
            <w:u w:val="single" w:color="auto"/>
            <w:color w:val="0000EE"/>
          </w:rPr>
          <w:t>Separation Agreement and General Release, dated as of March 18, 2016, by and</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between Addus HealthCare, Inc. and Inna Berkovich.</w:t>
        </w:r>
      </w:hyperlink>
    </w:p>
    <w:p>
      <w:pPr>
        <w:spacing w:after="0" w:line="76" w:lineRule="exact"/>
        <w:rPr>
          <w:rFonts w:ascii="Arial" w:cs="Arial" w:eastAsia="Arial" w:hAnsi="Arial"/>
          <w:sz w:val="18"/>
          <w:szCs w:val="18"/>
          <w:u w:val="single" w:color="auto"/>
          <w:color w:val="0000EE"/>
        </w:rPr>
      </w:pPr>
    </w:p>
    <w:p>
      <w:pPr>
        <w:ind w:left="920" w:right="480" w:hanging="872"/>
        <w:spacing w:after="0" w:line="277" w:lineRule="auto"/>
        <w:tabs>
          <w:tab w:leader="none" w:pos="900" w:val="left"/>
        </w:tabs>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10.21*</w:t>
        </w:r>
      </w:hyperlink>
      <w:r>
        <w:rPr>
          <w:rFonts w:ascii="Arial" w:cs="Arial" w:eastAsia="Arial" w:hAnsi="Arial"/>
          <w:sz w:val="18"/>
          <w:szCs w:val="18"/>
          <w:u w:val="single" w:color="auto"/>
          <w:color w:val="0000EE"/>
        </w:rPr>
        <w:tab/>
      </w:r>
      <w:hyperlink r:id="rId100">
        <w:r>
          <w:rPr>
            <w:rFonts w:ascii="Arial" w:cs="Arial" w:eastAsia="Arial" w:hAnsi="Arial"/>
            <w:sz w:val="18"/>
            <w:szCs w:val="18"/>
            <w:u w:val="single" w:color="auto"/>
            <w:color w:val="0000EE"/>
          </w:rPr>
          <w:t>Separation Agreement and General Release, effective May 25, 2016, by and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between Addus HealthCare, Inc. and Donald Klink.</w:t>
        </w:r>
      </w:hyperlink>
    </w:p>
    <w:p>
      <w:pPr>
        <w:spacing w:after="0" w:line="76" w:lineRule="exact"/>
        <w:rPr>
          <w:rFonts w:ascii="Arial" w:cs="Arial" w:eastAsia="Arial" w:hAnsi="Arial"/>
          <w:sz w:val="18"/>
          <w:szCs w:val="18"/>
          <w:u w:val="single" w:color="auto"/>
          <w:color w:val="0000EE"/>
        </w:rPr>
      </w:pPr>
    </w:p>
    <w:p>
      <w:pPr>
        <w:ind w:left="920" w:right="280" w:hanging="872"/>
        <w:spacing w:after="0" w:line="308" w:lineRule="auto"/>
        <w:tabs>
          <w:tab w:leader="none" w:pos="900" w:val="left"/>
        </w:tabs>
        <w:rPr>
          <w:rFonts w:ascii="Arial" w:cs="Arial" w:eastAsia="Arial" w:hAnsi="Arial"/>
          <w:sz w:val="17"/>
          <w:szCs w:val="17"/>
          <w:u w:val="single" w:color="auto"/>
          <w:color w:val="0000EE"/>
        </w:rPr>
      </w:pPr>
      <w:hyperlink r:id="rId101">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101">
        <w:r>
          <w:rPr>
            <w:rFonts w:ascii="Arial" w:cs="Arial" w:eastAsia="Arial" w:hAnsi="Arial"/>
            <w:sz w:val="17"/>
            <w:szCs w:val="17"/>
            <w:u w:val="single" w:color="auto"/>
            <w:color w:val="0000EE"/>
          </w:rPr>
          <w:t>Separation Agreement and General Release, dated as of March 1, 2016, by and</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between Addus HomeCare Corporation and Mark S. Heaney.</w:t>
        </w:r>
      </w:hyperlink>
    </w:p>
    <w:p>
      <w:pPr>
        <w:spacing w:after="0" w:line="52" w:lineRule="exact"/>
        <w:rPr>
          <w:rFonts w:ascii="Arial" w:cs="Arial" w:eastAsia="Arial" w:hAnsi="Arial"/>
          <w:sz w:val="18"/>
          <w:szCs w:val="18"/>
          <w:u w:val="single" w:color="auto"/>
          <w:color w:val="0000EE"/>
        </w:rPr>
      </w:pPr>
    </w:p>
    <w:p>
      <w:pPr>
        <w:ind w:left="920" w:right="40" w:hanging="872"/>
        <w:spacing w:after="0" w:line="308" w:lineRule="auto"/>
        <w:tabs>
          <w:tab w:leader="none" w:pos="900" w:val="left"/>
        </w:tabs>
        <w:rPr>
          <w:rFonts w:ascii="Arial" w:cs="Arial" w:eastAsia="Arial" w:hAnsi="Arial"/>
          <w:sz w:val="17"/>
          <w:szCs w:val="17"/>
          <w:u w:val="single" w:color="auto"/>
          <w:color w:val="0000EE"/>
        </w:rPr>
      </w:pPr>
      <w:hyperlink r:id="rId102">
        <w:r>
          <w:rPr>
            <w:rFonts w:ascii="Arial" w:cs="Arial" w:eastAsia="Arial" w:hAnsi="Arial"/>
            <w:sz w:val="18"/>
            <w:szCs w:val="18"/>
            <w:u w:val="single" w:color="auto"/>
            <w:color w:val="0000EE"/>
          </w:rPr>
          <w:t>10.23*</w:t>
        </w:r>
      </w:hyperlink>
      <w:r>
        <w:rPr>
          <w:rFonts w:ascii="Arial" w:cs="Arial" w:eastAsia="Arial" w:hAnsi="Arial"/>
          <w:sz w:val="18"/>
          <w:szCs w:val="18"/>
          <w:u w:val="single" w:color="auto"/>
          <w:color w:val="0000EE"/>
        </w:rPr>
        <w:tab/>
      </w:r>
      <w:hyperlink r:id="rId102">
        <w:r>
          <w:rPr>
            <w:rFonts w:ascii="Arial" w:cs="Arial" w:eastAsia="Arial" w:hAnsi="Arial"/>
            <w:sz w:val="17"/>
            <w:szCs w:val="17"/>
            <w:u w:val="single" w:color="auto"/>
            <w:color w:val="0000EE"/>
          </w:rPr>
          <w:t>Severance Agreement and General Release, dated as of February 13, 2017, by and</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between Addus HomeCare Corporation and Maxine Hochhauser.</w:t>
        </w:r>
      </w:hyperlink>
    </w:p>
    <w:p>
      <w:pPr>
        <w:spacing w:after="0" w:line="52" w:lineRule="exact"/>
        <w:rPr>
          <w:rFonts w:ascii="Arial" w:cs="Arial" w:eastAsia="Arial" w:hAnsi="Arial"/>
          <w:sz w:val="18"/>
          <w:szCs w:val="18"/>
          <w:u w:val="single" w:color="auto"/>
          <w:color w:val="0000EE"/>
        </w:rPr>
      </w:pPr>
    </w:p>
    <w:p>
      <w:pPr>
        <w:ind w:left="920" w:right="40" w:hanging="827"/>
        <w:spacing w:after="0" w:line="289" w:lineRule="auto"/>
        <w:tabs>
          <w:tab w:leader="none" w:pos="900" w:val="left"/>
        </w:tabs>
        <w:rPr>
          <w:rFonts w:ascii="Arial" w:cs="Arial" w:eastAsia="Arial" w:hAnsi="Arial"/>
          <w:sz w:val="16"/>
          <w:szCs w:val="16"/>
          <w:u w:val="single" w:color="auto"/>
          <w:color w:val="0000EE"/>
        </w:rPr>
      </w:pPr>
      <w:hyperlink r:id="rId103">
        <w:r>
          <w:rPr>
            <w:rFonts w:ascii="Arial" w:cs="Arial" w:eastAsia="Arial" w:hAnsi="Arial"/>
            <w:sz w:val="18"/>
            <w:szCs w:val="18"/>
            <w:u w:val="single" w:color="auto"/>
            <w:color w:val="0000EE"/>
          </w:rPr>
          <w:t>10.24</w:t>
        </w:r>
      </w:hyperlink>
      <w:r>
        <w:rPr>
          <w:rFonts w:ascii="Arial" w:cs="Arial" w:eastAsia="Arial" w:hAnsi="Arial"/>
          <w:sz w:val="18"/>
          <w:szCs w:val="18"/>
          <w:u w:val="single" w:color="auto"/>
          <w:color w:val="0000EE"/>
        </w:rPr>
        <w:tab/>
      </w:r>
      <w:hyperlink r:id="rId103">
        <w:r>
          <w:rPr>
            <w:rFonts w:ascii="Arial" w:cs="Arial" w:eastAsia="Arial" w:hAnsi="Arial"/>
            <w:sz w:val="16"/>
            <w:szCs w:val="16"/>
            <w:u w:val="single" w:color="auto"/>
            <w:color w:val="0000EE"/>
          </w:rPr>
          <w:t>Credit Agreement, dated as of May 8, 2017, by and among Addus Healthcare,</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Inc., as the Borrower, the other parties from time to time a party thereto, and</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Capital One, National Association, as a Lender and Swing Lender and as Agent</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for all Lenders, Suntrust Bank, as Documentation Agent, Bank of the West,</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Compass Bank, Fifth Third Bank and JPMorgan Chase Bank, N.A., as Co-</w:t>
        </w:r>
      </w:hyperlink>
      <w:hyperlink r:id="rId103">
        <w:r>
          <w:rPr>
            <w:rFonts w:ascii="Arial" w:cs="Arial" w:eastAsia="Arial" w:hAnsi="Arial"/>
            <w:sz w:val="16"/>
            <w:szCs w:val="16"/>
            <w:u w:val="single" w:color="auto"/>
            <w:color w:val="0000EE"/>
          </w:rPr>
          <w:t>Syndication Agents, the other financial institutions party thereto, as Lenders,</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Capital One, National Association, Bank of the West, Compass Bank, Fifth Third</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Bank and JPMorgan Chase Bank, N.A. and Suntrust Robinson Humphrey as Joint</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Lead Arrangers and Capital One, National Association, as Sole Bookrunner.</w:t>
        </w:r>
      </w:hyperlink>
    </w:p>
    <w:p>
      <w:pPr>
        <w:spacing w:after="0" w:line="72" w:lineRule="exact"/>
        <w:rPr>
          <w:rFonts w:ascii="Arial" w:cs="Arial" w:eastAsia="Arial" w:hAnsi="Arial"/>
          <w:sz w:val="16"/>
          <w:szCs w:val="16"/>
          <w:u w:val="single" w:color="auto"/>
          <w:color w:val="0000EE"/>
        </w:rPr>
      </w:pPr>
    </w:p>
    <w:p>
      <w:pPr>
        <w:ind w:left="920" w:right="340" w:hanging="872"/>
        <w:spacing w:after="0" w:line="277" w:lineRule="auto"/>
        <w:tabs>
          <w:tab w:leader="none" w:pos="900" w:val="left"/>
        </w:tabs>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10.25*</w:t>
        </w:r>
      </w:hyperlink>
      <w:r>
        <w:rPr>
          <w:rFonts w:ascii="Arial" w:cs="Arial" w:eastAsia="Arial" w:hAnsi="Arial"/>
          <w:sz w:val="18"/>
          <w:szCs w:val="18"/>
          <w:u w:val="single" w:color="auto"/>
          <w:color w:val="0000EE"/>
        </w:rPr>
        <w:tab/>
      </w:r>
      <w:hyperlink r:id="rId104">
        <w:r>
          <w:rPr>
            <w:rFonts w:ascii="Arial" w:cs="Arial" w:eastAsia="Arial" w:hAnsi="Arial"/>
            <w:sz w:val="18"/>
            <w:szCs w:val="18"/>
            <w:u w:val="single" w:color="auto"/>
            <w:color w:val="0000EE"/>
          </w:rPr>
          <w:t>Addus HomeCare Corporation’s 2017 Omnibus Incentive Plan, effective as of</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April 27, 2017.</w:t>
        </w:r>
      </w:hyperlink>
    </w:p>
    <w:p>
      <w:pPr>
        <w:spacing w:after="0" w:line="76" w:lineRule="exact"/>
        <w:rPr>
          <w:rFonts w:ascii="Arial" w:cs="Arial" w:eastAsia="Arial" w:hAnsi="Arial"/>
          <w:sz w:val="18"/>
          <w:szCs w:val="18"/>
          <w:u w:val="single" w:color="auto"/>
          <w:color w:val="0000EE"/>
        </w:rPr>
      </w:pPr>
    </w:p>
    <w:p>
      <w:pPr>
        <w:ind w:left="920" w:right="500" w:hanging="872"/>
        <w:spacing w:after="0" w:line="277" w:lineRule="auto"/>
        <w:tabs>
          <w:tab w:leader="none" w:pos="900" w:val="left"/>
        </w:tabs>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10.26*</w:t>
        </w:r>
      </w:hyperlink>
      <w:r>
        <w:rPr>
          <w:rFonts w:ascii="Arial" w:cs="Arial" w:eastAsia="Arial" w:hAnsi="Arial"/>
          <w:sz w:val="18"/>
          <w:szCs w:val="18"/>
          <w:u w:val="single" w:color="auto"/>
          <w:color w:val="0000EE"/>
        </w:rPr>
        <w:tab/>
      </w:r>
      <w:hyperlink r:id="rId105">
        <w:r>
          <w:rPr>
            <w:rFonts w:ascii="Arial" w:cs="Arial" w:eastAsia="Arial" w:hAnsi="Arial"/>
            <w:sz w:val="18"/>
            <w:szCs w:val="18"/>
            <w:u w:val="single" w:color="auto"/>
            <w:color w:val="0000EE"/>
          </w:rPr>
          <w:t>Form of Nonqualified Stock Option Award Agreement pursuant to the 2017</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Omnibus Incentive Plan.</w:t>
        </w:r>
      </w:hyperlink>
    </w:p>
    <w:p>
      <w:pPr>
        <w:spacing w:after="0" w:line="76" w:lineRule="exact"/>
        <w:rPr>
          <w:rFonts w:ascii="Arial" w:cs="Arial" w:eastAsia="Arial" w:hAnsi="Arial"/>
          <w:sz w:val="18"/>
          <w:szCs w:val="18"/>
          <w:u w:val="single" w:color="auto"/>
          <w:color w:val="0000EE"/>
        </w:rPr>
      </w:pPr>
    </w:p>
    <w:p>
      <w:pPr>
        <w:ind w:left="920" w:right="560" w:hanging="872"/>
        <w:spacing w:after="0" w:line="277" w:lineRule="auto"/>
        <w:tabs>
          <w:tab w:leader="none" w:pos="900" w:val="left"/>
        </w:tabs>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10.27*</w:t>
        </w:r>
      </w:hyperlink>
      <w:r>
        <w:rPr>
          <w:rFonts w:ascii="Arial" w:cs="Arial" w:eastAsia="Arial" w:hAnsi="Arial"/>
          <w:sz w:val="18"/>
          <w:szCs w:val="18"/>
          <w:u w:val="single" w:color="auto"/>
          <w:color w:val="0000EE"/>
        </w:rPr>
        <w:tab/>
      </w:r>
      <w:hyperlink r:id="rId106">
        <w:r>
          <w:rPr>
            <w:rFonts w:ascii="Arial" w:cs="Arial" w:eastAsia="Arial" w:hAnsi="Arial"/>
            <w:sz w:val="18"/>
            <w:szCs w:val="18"/>
            <w:u w:val="single" w:color="auto"/>
            <w:color w:val="0000EE"/>
          </w:rPr>
          <w:t>Form of Restricted Stock Award Agreement pursuant to the 2017 Omnibus</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Incentive Plan.</w:t>
        </w:r>
      </w:hyperlink>
    </w:p>
    <w:p>
      <w:pPr>
        <w:spacing w:after="0" w:line="76" w:lineRule="exact"/>
        <w:rPr>
          <w:rFonts w:ascii="Arial" w:cs="Arial" w:eastAsia="Arial" w:hAnsi="Arial"/>
          <w:sz w:val="18"/>
          <w:szCs w:val="18"/>
          <w:u w:val="single" w:color="auto"/>
          <w:color w:val="0000EE"/>
        </w:rPr>
      </w:pPr>
    </w:p>
    <w:p>
      <w:pPr>
        <w:ind w:left="920" w:right="360" w:hanging="872"/>
        <w:spacing w:after="0" w:line="342" w:lineRule="auto"/>
        <w:tabs>
          <w:tab w:leader="none" w:pos="900" w:val="left"/>
        </w:tabs>
        <w:rPr>
          <w:rFonts w:ascii="Arial" w:cs="Arial" w:eastAsia="Arial" w:hAnsi="Arial"/>
          <w:sz w:val="16"/>
          <w:szCs w:val="16"/>
          <w:u w:val="single" w:color="auto"/>
          <w:color w:val="0000EE"/>
        </w:rPr>
      </w:pPr>
      <w:hyperlink r:id="rId107">
        <w:r>
          <w:rPr>
            <w:rFonts w:ascii="Arial" w:cs="Arial" w:eastAsia="Arial" w:hAnsi="Arial"/>
            <w:sz w:val="18"/>
            <w:szCs w:val="18"/>
            <w:u w:val="single" w:color="auto"/>
            <w:color w:val="0000EE"/>
          </w:rPr>
          <w:t>10.28*</w:t>
        </w:r>
      </w:hyperlink>
      <w:r>
        <w:rPr>
          <w:rFonts w:ascii="Arial" w:cs="Arial" w:eastAsia="Arial" w:hAnsi="Arial"/>
          <w:sz w:val="18"/>
          <w:szCs w:val="18"/>
          <w:u w:val="single" w:color="auto"/>
          <w:color w:val="0000EE"/>
        </w:rPr>
        <w:tab/>
      </w:r>
      <w:hyperlink r:id="rId107">
        <w:r>
          <w:rPr>
            <w:rFonts w:ascii="Arial" w:cs="Arial" w:eastAsia="Arial" w:hAnsi="Arial"/>
            <w:sz w:val="16"/>
            <w:szCs w:val="16"/>
            <w:u w:val="single" w:color="auto"/>
            <w:color w:val="0000EE"/>
          </w:rPr>
          <w:t>Amended and Restated Employment and Non-Competition Agreement, dated</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April 25, 2017, by and between Addus HealthCare, Inc. and Brenda Belger.</w:t>
        </w:r>
      </w:hyperlink>
    </w:p>
    <w:p>
      <w:pPr>
        <w:spacing w:after="0" w:line="29" w:lineRule="exact"/>
        <w:rPr>
          <w:rFonts w:ascii="Arial" w:cs="Arial" w:eastAsia="Arial" w:hAnsi="Arial"/>
          <w:sz w:val="18"/>
          <w:szCs w:val="18"/>
          <w:u w:val="single" w:color="auto"/>
          <w:color w:val="0000EE"/>
        </w:rPr>
      </w:pPr>
    </w:p>
    <w:p>
      <w:pPr>
        <w:ind w:left="920" w:right="540" w:hanging="872"/>
        <w:spacing w:after="0" w:line="277" w:lineRule="auto"/>
        <w:tabs>
          <w:tab w:leader="none" w:pos="900" w:val="left"/>
        </w:tabs>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10.29</w:t>
        </w:r>
      </w:hyperlink>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ab/>
      </w:r>
      <w:hyperlink r:id="rId108">
        <w:r>
          <w:rPr>
            <w:rFonts w:ascii="Arial" w:cs="Arial" w:eastAsia="Arial" w:hAnsi="Arial"/>
            <w:sz w:val="18"/>
            <w:szCs w:val="18"/>
            <w:u w:val="single" w:color="auto"/>
            <w:color w:val="0000EE"/>
          </w:rPr>
          <w:t>Transition Agreement and Release, effective as of August 14, 2017, by and</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between Addus HealthCare, Inc. and Brenda Belger.</w:t>
        </w:r>
      </w:hyperlink>
    </w:p>
    <w:p>
      <w:pPr>
        <w:spacing w:after="0" w:line="76" w:lineRule="exact"/>
        <w:rPr>
          <w:rFonts w:ascii="Arial" w:cs="Arial" w:eastAsia="Arial" w:hAnsi="Arial"/>
          <w:sz w:val="18"/>
          <w:szCs w:val="18"/>
          <w:u w:val="single" w:color="auto"/>
          <w:color w:val="0000EE"/>
        </w:rPr>
      </w:pPr>
    </w:p>
    <w:p>
      <w:pPr>
        <w:ind w:left="920" w:hanging="827"/>
        <w:spacing w:after="0" w:line="275" w:lineRule="auto"/>
        <w:tabs>
          <w:tab w:leader="none" w:pos="900" w:val="left"/>
        </w:tabs>
        <w:rPr>
          <w:rFonts w:ascii="Arial" w:cs="Arial" w:eastAsia="Arial" w:hAnsi="Arial"/>
          <w:sz w:val="17"/>
          <w:szCs w:val="17"/>
          <w:u w:val="single" w:color="auto"/>
          <w:color w:val="0000EE"/>
        </w:rPr>
      </w:pPr>
      <w:hyperlink r:id="rId109">
        <w:r>
          <w:rPr>
            <w:rFonts w:ascii="Arial" w:cs="Arial" w:eastAsia="Arial" w:hAnsi="Arial"/>
            <w:sz w:val="18"/>
            <w:szCs w:val="18"/>
            <w:u w:val="single" w:color="auto"/>
            <w:color w:val="0000EE"/>
          </w:rPr>
          <w:t>10.30</w:t>
        </w:r>
      </w:hyperlink>
      <w:r>
        <w:rPr>
          <w:rFonts w:ascii="Arial" w:cs="Arial" w:eastAsia="Arial" w:hAnsi="Arial"/>
          <w:sz w:val="18"/>
          <w:szCs w:val="18"/>
          <w:u w:val="single" w:color="auto"/>
          <w:color w:val="0000EE"/>
        </w:rPr>
        <w:tab/>
      </w:r>
      <w:hyperlink r:id="rId109">
        <w:r>
          <w:rPr>
            <w:rFonts w:ascii="Arial" w:cs="Arial" w:eastAsia="Arial" w:hAnsi="Arial"/>
            <w:sz w:val="17"/>
            <w:szCs w:val="17"/>
            <w:u w:val="single" w:color="auto"/>
            <w:color w:val="0000EE"/>
          </w:rPr>
          <w:t>Stock Purchase Agreement, dated February 27, 2018, by and among Addus</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Healthcare, Inc., Michael J. Merrell and Mary E. Merrell, individually, Michael J.</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Merrell and Mary E. Merrell, as Trustees of the Merrell Revocable Trust UTA</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dated June 3, 2012, and Michael J. Merrell and Mary E. Merrell, as Trustees of the</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Ambercare Corporation Employee Stock Ownership Plan Trust.</w:t>
        </w:r>
      </w:hyperlink>
    </w:p>
    <w:p>
      <w:pPr>
        <w:spacing w:after="0" w:line="176" w:lineRule="exact"/>
        <w:rPr>
          <w:rFonts w:ascii="Arial" w:cs="Arial" w:eastAsia="Arial" w:hAnsi="Arial"/>
          <w:sz w:val="17"/>
          <w:szCs w:val="17"/>
          <w:u w:val="single" w:color="auto"/>
          <w:color w:val="0000EE"/>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00" w:lineRule="exact"/>
        <w:rPr>
          <w:rFonts w:ascii="Arial" w:cs="Arial" w:eastAsia="Arial" w:hAnsi="Arial"/>
          <w:sz w:val="17"/>
          <w:szCs w:val="17"/>
          <w:u w:val="single" w:color="auto"/>
          <w:color w:val="0000EE"/>
        </w:rPr>
      </w:pPr>
    </w:p>
    <w:p>
      <w:pPr>
        <w:spacing w:after="0" w:line="351" w:lineRule="exact"/>
        <w:rPr>
          <w:rFonts w:ascii="Arial" w:cs="Arial" w:eastAsia="Arial" w:hAnsi="Arial"/>
          <w:sz w:val="17"/>
          <w:szCs w:val="17"/>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4/5/2012</w:t>
            </w:r>
          </w:p>
        </w:tc>
        <w:tc>
          <w:tcPr>
            <w:tcW w:w="60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567"/>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3/6/2013</w:t>
            </w: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662"/>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12/15/2014</w:t>
            </w: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661"/>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5/8/2015</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662"/>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03/23/2016</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5/27/2016</w:t>
            </w: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3/2/2016</w:t>
            </w:r>
          </w:p>
        </w:tc>
        <w:tc>
          <w:tcPr>
            <w:tcW w:w="60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001-34504</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1/18/2017</w:t>
            </w: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79" w:lineRule="exact"/>
        <w:rPr>
          <w:rFonts w:ascii="Arial" w:cs="Arial" w:eastAsia="Arial" w:hAnsi="Arial"/>
          <w:sz w:val="17"/>
          <w:szCs w:val="17"/>
          <w:u w:val="single" w:color="auto"/>
          <w:color w:val="0000EE"/>
        </w:rPr>
      </w:pPr>
    </w:p>
    <w:p>
      <w:pPr>
        <w:spacing w:after="0"/>
        <w:tabs>
          <w:tab w:leader="none" w:pos="820" w:val="left"/>
          <w:tab w:leader="none" w:pos="2080" w:val="left"/>
          <w:tab w:leader="none" w:pos="33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001-34504</w:t>
      </w:r>
      <w:r>
        <w:rPr>
          <w:sz w:val="20"/>
          <w:szCs w:val="20"/>
          <w:color w:val="auto"/>
        </w:rPr>
        <w:tab/>
      </w:r>
      <w:r>
        <w:rPr>
          <w:rFonts w:ascii="Arial" w:cs="Arial" w:eastAsia="Arial" w:hAnsi="Arial"/>
          <w:sz w:val="18"/>
          <w:szCs w:val="18"/>
          <w:color w:val="auto"/>
        </w:rPr>
        <w:t>5/9/2017</w:t>
      </w:r>
      <w:r>
        <w:rPr>
          <w:sz w:val="20"/>
          <w:szCs w:val="20"/>
          <w:color w:val="auto"/>
        </w:rPr>
        <w:tab/>
      </w:r>
      <w:r>
        <w:rPr>
          <w:rFonts w:ascii="Arial" w:cs="Arial" w:eastAsia="Arial" w:hAnsi="Arial"/>
          <w:sz w:val="16"/>
          <w:szCs w:val="16"/>
          <w:color w:val="auto"/>
        </w:rPr>
        <w:t>10.3</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303" w:lineRule="exact"/>
        <w:rPr>
          <w:rFonts w:ascii="Arial" w:cs="Arial" w:eastAsia="Arial" w:hAnsi="Arial"/>
          <w:sz w:val="17"/>
          <w:szCs w:val="17"/>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6/16/2017</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3/14/2018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10.28</w:t>
            </w:r>
          </w:p>
        </w:tc>
      </w:tr>
      <w:tr>
        <w:trPr>
          <w:trHeight w:val="554"/>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3/14/2018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10.29</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8/8/2017</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10.7</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7/31/2017</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87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3/5/2018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bl>
    <w:p>
      <w:pPr>
        <w:sectPr>
          <w:pgSz w:w="11900" w:h="16838" w:orient="portrait"/>
          <w:cols w:equalWidth="0" w:num="2">
            <w:col w:w="6880" w:space="340"/>
            <w:col w:w="3760"/>
          </w:cols>
          <w:pgMar w:left="320" w:top="121"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920" w:right="80" w:hanging="827"/>
        <w:spacing w:after="0" w:line="259" w:lineRule="auto"/>
        <w:tabs>
          <w:tab w:leader="none" w:pos="900" w:val="left"/>
        </w:tabs>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10.31</w:t>
        </w:r>
      </w:hyperlink>
      <w:r>
        <w:rPr>
          <w:rFonts w:ascii="Arial" w:cs="Arial" w:eastAsia="Arial" w:hAnsi="Arial"/>
          <w:sz w:val="18"/>
          <w:szCs w:val="18"/>
          <w:u w:val="single" w:color="auto"/>
          <w:color w:val="0000EE"/>
        </w:rPr>
        <w:tab/>
      </w:r>
      <w:hyperlink r:id="rId111">
        <w:r>
          <w:rPr>
            <w:rFonts w:ascii="Arial" w:cs="Arial" w:eastAsia="Arial" w:hAnsi="Arial"/>
            <w:sz w:val="18"/>
            <w:szCs w:val="18"/>
            <w:u w:val="single" w:color="auto"/>
            <w:color w:val="0000EE"/>
          </w:rPr>
          <w:t>Amended and Restated Credit Agreement by and among Addus HealthCare, Inc.,</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as borrower, the Company, the other Credit Parties party thereto, the Lenders and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L/C Issuers party thereto, and Capital One, National Association, as</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administrative agent.</w:t>
        </w:r>
      </w:hyperlink>
    </w:p>
    <w:p>
      <w:pPr>
        <w:spacing w:after="0" w:line="92" w:lineRule="exact"/>
        <w:rPr>
          <w:rFonts w:ascii="Arial" w:cs="Arial" w:eastAsia="Arial" w:hAnsi="Arial"/>
          <w:sz w:val="18"/>
          <w:szCs w:val="18"/>
          <w:u w:val="single" w:color="auto"/>
          <w:color w:val="0000EE"/>
        </w:rPr>
      </w:pPr>
    </w:p>
    <w:p>
      <w:pPr>
        <w:ind w:left="920" w:right="200" w:hanging="872"/>
        <w:spacing w:after="0" w:line="263" w:lineRule="auto"/>
        <w:tabs>
          <w:tab w:leader="none" w:pos="900" w:val="left"/>
        </w:tabs>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10.32*</w:t>
        </w:r>
      </w:hyperlink>
      <w:r>
        <w:rPr>
          <w:rFonts w:ascii="Arial" w:cs="Arial" w:eastAsia="Arial" w:hAnsi="Arial"/>
          <w:sz w:val="18"/>
          <w:szCs w:val="18"/>
          <w:u w:val="single" w:color="auto"/>
          <w:color w:val="0000EE"/>
        </w:rPr>
        <w:tab/>
      </w:r>
      <w:hyperlink r:id="rId112">
        <w:r>
          <w:rPr>
            <w:rFonts w:ascii="Arial" w:cs="Arial" w:eastAsia="Arial" w:hAnsi="Arial"/>
            <w:sz w:val="18"/>
            <w:szCs w:val="18"/>
            <w:u w:val="single" w:color="auto"/>
            <w:color w:val="0000EE"/>
          </w:rPr>
          <w:t>Second Amended and Restated Employment and Non-Competition Agreement,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dated November 5, 2018, by and between Addus HealthCare, Inc. and R. Dirk</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Allison.</w:t>
        </w:r>
      </w:hyperlink>
    </w:p>
    <w:p>
      <w:pPr>
        <w:spacing w:after="0" w:line="89" w:lineRule="exact"/>
        <w:rPr>
          <w:rFonts w:ascii="Arial" w:cs="Arial" w:eastAsia="Arial" w:hAnsi="Arial"/>
          <w:sz w:val="18"/>
          <w:szCs w:val="18"/>
          <w:u w:val="single" w:color="auto"/>
          <w:color w:val="0000EE"/>
        </w:rPr>
      </w:pPr>
    </w:p>
    <w:p>
      <w:pPr>
        <w:ind w:left="920" w:right="40" w:hanging="872"/>
        <w:spacing w:after="0" w:line="342" w:lineRule="auto"/>
        <w:tabs>
          <w:tab w:leader="none" w:pos="900" w:val="left"/>
        </w:tabs>
        <w:rPr>
          <w:rFonts w:ascii="Arial" w:cs="Arial" w:eastAsia="Arial" w:hAnsi="Arial"/>
          <w:sz w:val="16"/>
          <w:szCs w:val="16"/>
          <w:u w:val="single" w:color="auto"/>
          <w:color w:val="0000EE"/>
        </w:rPr>
      </w:pPr>
      <w:hyperlink r:id="rId113">
        <w:r>
          <w:rPr>
            <w:rFonts w:ascii="Arial" w:cs="Arial" w:eastAsia="Arial" w:hAnsi="Arial"/>
            <w:sz w:val="18"/>
            <w:szCs w:val="18"/>
            <w:u w:val="single" w:color="auto"/>
            <w:color w:val="0000EE"/>
          </w:rPr>
          <w:t>10.33*</w:t>
        </w:r>
      </w:hyperlink>
      <w:r>
        <w:rPr>
          <w:rFonts w:ascii="Arial" w:cs="Arial" w:eastAsia="Arial" w:hAnsi="Arial"/>
          <w:sz w:val="18"/>
          <w:szCs w:val="18"/>
          <w:u w:val="single" w:color="auto"/>
          <w:color w:val="0000EE"/>
        </w:rPr>
        <w:tab/>
      </w:r>
      <w:hyperlink r:id="rId113">
        <w:r>
          <w:rPr>
            <w:rFonts w:ascii="Arial" w:cs="Arial" w:eastAsia="Arial" w:hAnsi="Arial"/>
            <w:sz w:val="16"/>
            <w:szCs w:val="16"/>
            <w:u w:val="single" w:color="auto"/>
            <w:color w:val="0000EE"/>
          </w:rPr>
          <w:t>Second Amended and Restated Employment and Non-Competition Agreement,</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dated November 5, 2018, by and between Addus HealthCare, Inc. and Brian Poff.</w:t>
        </w:r>
      </w:hyperlink>
    </w:p>
    <w:p>
      <w:pPr>
        <w:spacing w:after="0" w:line="29" w:lineRule="exact"/>
        <w:rPr>
          <w:rFonts w:ascii="Arial" w:cs="Arial" w:eastAsia="Arial" w:hAnsi="Arial"/>
          <w:sz w:val="18"/>
          <w:szCs w:val="18"/>
          <w:u w:val="single" w:color="auto"/>
          <w:color w:val="0000EE"/>
        </w:rPr>
      </w:pPr>
    </w:p>
    <w:p>
      <w:pPr>
        <w:ind w:left="920" w:right="200" w:hanging="872"/>
        <w:spacing w:after="0" w:line="263" w:lineRule="auto"/>
        <w:tabs>
          <w:tab w:leader="none" w:pos="900" w:val="left"/>
        </w:tabs>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10.34*</w:t>
        </w:r>
      </w:hyperlink>
      <w:r>
        <w:rPr>
          <w:rFonts w:ascii="Arial" w:cs="Arial" w:eastAsia="Arial" w:hAnsi="Arial"/>
          <w:sz w:val="18"/>
          <w:szCs w:val="18"/>
          <w:u w:val="single" w:color="auto"/>
          <w:color w:val="0000EE"/>
        </w:rPr>
        <w:tab/>
      </w:r>
      <w:hyperlink r:id="rId114">
        <w:r>
          <w:rPr>
            <w:rFonts w:ascii="Arial" w:cs="Arial" w:eastAsia="Arial" w:hAnsi="Arial"/>
            <w:sz w:val="18"/>
            <w:szCs w:val="18"/>
            <w:u w:val="single" w:color="auto"/>
            <w:color w:val="0000EE"/>
          </w:rPr>
          <w:t>Second Amended and Restated Employment and Non-Competition Agreement,</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dated November 5, 2018, by and between Addus HealthCare, Inc. and James</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Zoccoli.</w:t>
        </w:r>
      </w:hyperlink>
    </w:p>
    <w:p>
      <w:pPr>
        <w:spacing w:after="0" w:line="89" w:lineRule="exact"/>
        <w:rPr>
          <w:rFonts w:ascii="Arial" w:cs="Arial" w:eastAsia="Arial" w:hAnsi="Arial"/>
          <w:sz w:val="18"/>
          <w:szCs w:val="18"/>
          <w:u w:val="single" w:color="auto"/>
          <w:color w:val="0000EE"/>
        </w:rPr>
      </w:pPr>
    </w:p>
    <w:p>
      <w:pPr>
        <w:ind w:left="920" w:right="200" w:hanging="872"/>
        <w:spacing w:after="0" w:line="263" w:lineRule="auto"/>
        <w:tabs>
          <w:tab w:leader="none" w:pos="900" w:val="left"/>
        </w:tabs>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10.35*</w:t>
        </w:r>
      </w:hyperlink>
      <w:r>
        <w:rPr>
          <w:rFonts w:ascii="Arial" w:cs="Arial" w:eastAsia="Arial" w:hAnsi="Arial"/>
          <w:sz w:val="18"/>
          <w:szCs w:val="18"/>
          <w:u w:val="single" w:color="auto"/>
          <w:color w:val="0000EE"/>
        </w:rPr>
        <w:tab/>
      </w:r>
      <w:hyperlink r:id="rId115">
        <w:r>
          <w:rPr>
            <w:rFonts w:ascii="Arial" w:cs="Arial" w:eastAsia="Arial" w:hAnsi="Arial"/>
            <w:sz w:val="18"/>
            <w:szCs w:val="18"/>
            <w:u w:val="single" w:color="auto"/>
            <w:color w:val="0000EE"/>
          </w:rPr>
          <w:t>Second Amended and Restated Employment and Non-Competition Agreement,</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dated November 5, 2018, by and between Addus HealthCare, Inc. and Darby</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Anderson.</w:t>
        </w:r>
      </w:hyperlink>
    </w:p>
    <w:p>
      <w:pPr>
        <w:spacing w:after="0" w:line="89" w:lineRule="exact"/>
        <w:rPr>
          <w:rFonts w:ascii="Arial" w:cs="Arial" w:eastAsia="Arial" w:hAnsi="Arial"/>
          <w:sz w:val="18"/>
          <w:szCs w:val="18"/>
          <w:u w:val="single" w:color="auto"/>
          <w:color w:val="0000EE"/>
        </w:rPr>
      </w:pPr>
    </w:p>
    <w:p>
      <w:pPr>
        <w:ind w:left="920" w:right="20" w:hanging="872"/>
        <w:spacing w:after="0" w:line="263" w:lineRule="auto"/>
        <w:tabs>
          <w:tab w:leader="none" w:pos="900" w:val="left"/>
        </w:tabs>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10.36*</w:t>
        </w:r>
      </w:hyperlink>
      <w:r>
        <w:rPr>
          <w:rFonts w:ascii="Arial" w:cs="Arial" w:eastAsia="Arial" w:hAnsi="Arial"/>
          <w:sz w:val="18"/>
          <w:szCs w:val="18"/>
          <w:u w:val="single" w:color="auto"/>
          <w:color w:val="0000EE"/>
        </w:rPr>
        <w:tab/>
      </w:r>
      <w:hyperlink r:id="rId116">
        <w:r>
          <w:rPr>
            <w:rFonts w:ascii="Arial" w:cs="Arial" w:eastAsia="Arial" w:hAnsi="Arial"/>
            <w:sz w:val="18"/>
            <w:szCs w:val="18"/>
            <w:u w:val="single" w:color="auto"/>
            <w:color w:val="0000EE"/>
          </w:rPr>
          <w:t>Second Amended and Restated Employment and Non-Competition Agreement,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dated November 5, 2018, by and between Addus HealthCare, Inc. and W. Bradley</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Bickham.</w:t>
        </w:r>
      </w:hyperlink>
    </w:p>
    <w:p>
      <w:pPr>
        <w:spacing w:after="0" w:line="89" w:lineRule="exact"/>
        <w:rPr>
          <w:rFonts w:ascii="Arial" w:cs="Arial" w:eastAsia="Arial" w:hAnsi="Arial"/>
          <w:sz w:val="18"/>
          <w:szCs w:val="18"/>
          <w:u w:val="single" w:color="auto"/>
          <w:color w:val="0000EE"/>
        </w:rPr>
      </w:pPr>
    </w:p>
    <w:p>
      <w:pPr>
        <w:ind w:left="920" w:right="60" w:hanging="872"/>
        <w:spacing w:after="0" w:line="342" w:lineRule="auto"/>
        <w:tabs>
          <w:tab w:leader="none" w:pos="900" w:val="left"/>
        </w:tabs>
        <w:rPr>
          <w:rFonts w:ascii="Arial" w:cs="Arial" w:eastAsia="Arial" w:hAnsi="Arial"/>
          <w:sz w:val="16"/>
          <w:szCs w:val="16"/>
          <w:u w:val="single" w:color="auto"/>
          <w:color w:val="0000EE"/>
        </w:rPr>
      </w:pPr>
      <w:hyperlink r:id="rId117">
        <w:r>
          <w:rPr>
            <w:rFonts w:ascii="Arial" w:cs="Arial" w:eastAsia="Arial" w:hAnsi="Arial"/>
            <w:sz w:val="18"/>
            <w:szCs w:val="18"/>
            <w:u w:val="single" w:color="auto"/>
            <w:color w:val="0000EE"/>
          </w:rPr>
          <w:t>10.37*</w:t>
        </w:r>
      </w:hyperlink>
      <w:r>
        <w:rPr>
          <w:rFonts w:ascii="Arial" w:cs="Arial" w:eastAsia="Arial" w:hAnsi="Arial"/>
          <w:sz w:val="18"/>
          <w:szCs w:val="18"/>
          <w:u w:val="single" w:color="auto"/>
          <w:color w:val="0000EE"/>
        </w:rPr>
        <w:tab/>
      </w:r>
      <w:hyperlink r:id="rId117">
        <w:r>
          <w:rPr>
            <w:rFonts w:ascii="Arial" w:cs="Arial" w:eastAsia="Arial" w:hAnsi="Arial"/>
            <w:sz w:val="16"/>
            <w:szCs w:val="16"/>
            <w:u w:val="single" w:color="auto"/>
            <w:color w:val="0000EE"/>
          </w:rPr>
          <w:t>Amended and Restated Employment and Non-Competition Agreement, dated</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November 5, 2018, by and between Addus HealthCare, Inc. and Laurie Manning.</w:t>
        </w:r>
      </w:hyperlink>
    </w:p>
    <w:p>
      <w:pPr>
        <w:spacing w:after="0" w:line="29" w:lineRule="exact"/>
        <w:rPr>
          <w:rFonts w:ascii="Arial" w:cs="Arial" w:eastAsia="Arial" w:hAnsi="Arial"/>
          <w:sz w:val="18"/>
          <w:szCs w:val="18"/>
          <w:u w:val="single" w:color="auto"/>
          <w:color w:val="0000EE"/>
        </w:rPr>
      </w:pPr>
    </w:p>
    <w:p>
      <w:pPr>
        <w:ind w:left="920" w:right="120" w:hanging="838"/>
        <w:spacing w:after="0" w:line="279" w:lineRule="auto"/>
        <w:tabs>
          <w:tab w:leader="none" w:pos="900" w:val="left"/>
        </w:tabs>
        <w:rPr>
          <w:rFonts w:ascii="Arial" w:cs="Arial" w:eastAsia="Arial" w:hAnsi="Arial"/>
          <w:sz w:val="17"/>
          <w:szCs w:val="17"/>
          <w:u w:val="single" w:color="auto"/>
          <w:color w:val="0000EE"/>
        </w:rPr>
      </w:pPr>
      <w:hyperlink r:id="rId111">
        <w:r>
          <w:rPr>
            <w:rFonts w:ascii="Arial" w:cs="Arial" w:eastAsia="Arial" w:hAnsi="Arial"/>
            <w:sz w:val="18"/>
            <w:szCs w:val="18"/>
            <w:u w:val="single" w:color="auto"/>
            <w:color w:val="0000EE"/>
          </w:rPr>
          <w:t>10.38</w:t>
        </w:r>
      </w:hyperlink>
      <w:r>
        <w:rPr>
          <w:rFonts w:ascii="Arial" w:cs="Arial" w:eastAsia="Arial" w:hAnsi="Arial"/>
          <w:sz w:val="18"/>
          <w:szCs w:val="18"/>
          <w:u w:val="single" w:color="auto"/>
          <w:color w:val="0000EE"/>
        </w:rPr>
        <w:tab/>
      </w:r>
      <w:hyperlink r:id="rId111">
        <w:r>
          <w:rPr>
            <w:rFonts w:ascii="Arial" w:cs="Arial" w:eastAsia="Arial" w:hAnsi="Arial"/>
            <w:sz w:val="17"/>
            <w:szCs w:val="17"/>
            <w:u w:val="single" w:color="auto"/>
            <w:color w:val="0000EE"/>
          </w:rPr>
          <w:t>Amended and Restated Credit Agreement, dated as of October 31, 2018, by and</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among Addus HealthCare, Inc., as borrower, the Company, the other Credit</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Parties party thereto, the Lenders and L/C Issuers party thereto, and Capital One,</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National Association, as administrative agent.</w:t>
        </w:r>
      </w:hyperlink>
    </w:p>
    <w:p>
      <w:pPr>
        <w:spacing w:after="0" w:line="77" w:lineRule="exact"/>
        <w:rPr>
          <w:rFonts w:ascii="Arial" w:cs="Arial" w:eastAsia="Arial" w:hAnsi="Arial"/>
          <w:sz w:val="17"/>
          <w:szCs w:val="17"/>
          <w:u w:val="single" w:color="auto"/>
          <w:color w:val="0000EE"/>
        </w:rPr>
      </w:pPr>
    </w:p>
    <w:p>
      <w:pPr>
        <w:ind w:left="920" w:right="160" w:hanging="872"/>
        <w:spacing w:after="0" w:line="277" w:lineRule="auto"/>
        <w:tabs>
          <w:tab w:leader="none" w:pos="900" w:val="left"/>
        </w:tabs>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10.39*</w:t>
        </w:r>
      </w:hyperlink>
      <w:r>
        <w:rPr>
          <w:rFonts w:ascii="Arial" w:cs="Arial" w:eastAsia="Arial" w:hAnsi="Arial"/>
          <w:sz w:val="18"/>
          <w:szCs w:val="18"/>
          <w:u w:val="single" w:color="auto"/>
          <w:color w:val="0000EE"/>
        </w:rPr>
        <w:tab/>
      </w:r>
      <w:hyperlink r:id="rId118">
        <w:r>
          <w:rPr>
            <w:rFonts w:ascii="Arial" w:cs="Arial" w:eastAsia="Arial" w:hAnsi="Arial"/>
            <w:sz w:val="18"/>
            <w:szCs w:val="18"/>
            <w:u w:val="single" w:color="auto"/>
            <w:color w:val="0000EE"/>
          </w:rPr>
          <w:t>Employment and Non-Competition Agreement, effective April 29, 2019, by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between Addus HealthCare, Inc. and Sean Gaffney.</w:t>
        </w:r>
      </w:hyperlink>
    </w:p>
    <w:p>
      <w:pPr>
        <w:spacing w:after="0" w:line="76" w:lineRule="exact"/>
        <w:rPr>
          <w:rFonts w:ascii="Arial" w:cs="Arial" w:eastAsia="Arial" w:hAnsi="Arial"/>
          <w:sz w:val="18"/>
          <w:szCs w:val="18"/>
          <w:u w:val="single" w:color="auto"/>
          <w:color w:val="0000EE"/>
        </w:rPr>
      </w:pPr>
    </w:p>
    <w:p>
      <w:pPr>
        <w:ind w:left="920" w:right="160" w:hanging="872"/>
        <w:spacing w:after="0" w:line="277" w:lineRule="auto"/>
        <w:tabs>
          <w:tab w:leader="none" w:pos="900" w:val="left"/>
        </w:tabs>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10.40*</w:t>
        </w:r>
      </w:hyperlink>
      <w:r>
        <w:rPr>
          <w:rFonts w:ascii="Arial" w:cs="Arial" w:eastAsia="Arial" w:hAnsi="Arial"/>
          <w:sz w:val="18"/>
          <w:szCs w:val="18"/>
          <w:u w:val="single" w:color="auto"/>
          <w:color w:val="0000EE"/>
        </w:rPr>
        <w:tab/>
      </w:r>
      <w:hyperlink r:id="rId119">
        <w:r>
          <w:rPr>
            <w:rFonts w:ascii="Arial" w:cs="Arial" w:eastAsia="Arial" w:hAnsi="Arial"/>
            <w:sz w:val="18"/>
            <w:szCs w:val="18"/>
            <w:u w:val="single" w:color="auto"/>
            <w:color w:val="0000EE"/>
          </w:rPr>
          <w:t>Employment and Non-Competition Agreement, effective November 7, 2019, by</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and between Addus HealthCare, Inc. and David Tucker.</w:t>
        </w:r>
      </w:hyperlink>
    </w:p>
    <w:p>
      <w:pPr>
        <w:spacing w:after="0" w:line="76" w:lineRule="exact"/>
        <w:rPr>
          <w:rFonts w:ascii="Arial" w:cs="Arial" w:eastAsia="Arial" w:hAnsi="Arial"/>
          <w:sz w:val="18"/>
          <w:szCs w:val="18"/>
          <w:u w:val="single" w:color="auto"/>
          <w:color w:val="0000EE"/>
        </w:rPr>
      </w:pPr>
    </w:p>
    <w:p>
      <w:pPr>
        <w:ind w:left="920" w:right="160" w:hanging="872"/>
        <w:spacing w:after="0" w:line="277" w:lineRule="auto"/>
        <w:tabs>
          <w:tab w:leader="none" w:pos="900" w:val="left"/>
        </w:tabs>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10.41*</w:t>
        </w:r>
      </w:hyperlink>
      <w:r>
        <w:rPr>
          <w:rFonts w:ascii="Arial" w:cs="Arial" w:eastAsia="Arial" w:hAnsi="Arial"/>
          <w:sz w:val="18"/>
          <w:szCs w:val="18"/>
          <w:u w:val="single" w:color="auto"/>
          <w:color w:val="0000EE"/>
        </w:rPr>
        <w:tab/>
      </w:r>
      <w:hyperlink r:id="rId120">
        <w:r>
          <w:rPr>
            <w:rFonts w:ascii="Arial" w:cs="Arial" w:eastAsia="Arial" w:hAnsi="Arial"/>
            <w:sz w:val="18"/>
            <w:szCs w:val="18"/>
            <w:u w:val="single" w:color="auto"/>
            <w:color w:val="0000EE"/>
          </w:rPr>
          <w:t>Employment and Non-Competition Agreement, effective November 7, 2019, by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and between Addus HealthCare, Inc. and Mike Wattenbarger.</w:t>
        </w:r>
      </w:hyperlink>
    </w:p>
    <w:p>
      <w:pPr>
        <w:spacing w:after="0" w:line="76" w:lineRule="exact"/>
        <w:rPr>
          <w:rFonts w:ascii="Arial" w:cs="Arial" w:eastAsia="Arial" w:hAnsi="Arial"/>
          <w:sz w:val="18"/>
          <w:szCs w:val="18"/>
          <w:u w:val="single" w:color="auto"/>
          <w:color w:val="0000EE"/>
        </w:rPr>
      </w:pPr>
    </w:p>
    <w:p>
      <w:pPr>
        <w:ind w:left="920" w:right="100" w:hanging="872"/>
        <w:spacing w:after="0" w:line="277" w:lineRule="auto"/>
        <w:tabs>
          <w:tab w:leader="none" w:pos="900" w:val="left"/>
        </w:tabs>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10.42*</w:t>
        </w:r>
      </w:hyperlink>
      <w:r>
        <w:rPr>
          <w:rFonts w:ascii="Arial" w:cs="Arial" w:eastAsia="Arial" w:hAnsi="Arial"/>
          <w:sz w:val="18"/>
          <w:szCs w:val="18"/>
          <w:u w:val="single" w:color="auto"/>
          <w:color w:val="0000EE"/>
        </w:rPr>
        <w:tab/>
      </w:r>
      <w:hyperlink r:id="rId121">
        <w:r>
          <w:rPr>
            <w:rFonts w:ascii="Arial" w:cs="Arial" w:eastAsia="Arial" w:hAnsi="Arial"/>
            <w:sz w:val="18"/>
            <w:szCs w:val="18"/>
            <w:u w:val="single" w:color="auto"/>
            <w:color w:val="0000EE"/>
          </w:rPr>
          <w:t>Transition Agreement and Release, effective as of July 31, 2019, by and between</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Addus HealthCare, Inc. and James “Zeke” Zoccoli.</w:t>
        </w:r>
      </w:hyperlink>
    </w:p>
    <w:p>
      <w:pPr>
        <w:spacing w:after="0" w:line="76" w:lineRule="exact"/>
        <w:rPr>
          <w:rFonts w:ascii="Arial" w:cs="Arial" w:eastAsia="Arial" w:hAnsi="Arial"/>
          <w:sz w:val="18"/>
          <w:szCs w:val="18"/>
          <w:u w:val="single" w:color="auto"/>
          <w:color w:val="0000EE"/>
        </w:rPr>
      </w:pPr>
    </w:p>
    <w:p>
      <w:pPr>
        <w:ind w:left="920" w:right="160" w:hanging="827"/>
        <w:spacing w:after="0" w:line="259" w:lineRule="auto"/>
        <w:tabs>
          <w:tab w:leader="none" w:pos="900" w:val="left"/>
        </w:tabs>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10.43</w:t>
        </w:r>
      </w:hyperlink>
      <w:r>
        <w:rPr>
          <w:rFonts w:ascii="Arial" w:cs="Arial" w:eastAsia="Arial" w:hAnsi="Arial"/>
          <w:sz w:val="18"/>
          <w:szCs w:val="18"/>
          <w:u w:val="single" w:color="auto"/>
          <w:color w:val="0000EE"/>
        </w:rPr>
        <w:tab/>
      </w:r>
      <w:hyperlink r:id="rId122">
        <w:r>
          <w:rPr>
            <w:rFonts w:ascii="Arial" w:cs="Arial" w:eastAsia="Arial" w:hAnsi="Arial"/>
            <w:sz w:val="18"/>
            <w:szCs w:val="18"/>
            <w:u w:val="single" w:color="auto"/>
            <w:color w:val="0000EE"/>
          </w:rPr>
          <w:t>Equity Purchase Agreement, dated August 25, 2019, by and among Addus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Healthcare, Inc., Hospice Partners of America, LLC, New Capital Partners II –</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HS, Inc., Senior Care Services, LLC, Eastside Partners II, L.P., and New Capital</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Partners II, LLC.</w:t>
        </w:r>
      </w:hyperlink>
    </w:p>
    <w:p>
      <w:pPr>
        <w:spacing w:after="0" w:line="92" w:lineRule="exact"/>
        <w:rPr>
          <w:rFonts w:ascii="Arial" w:cs="Arial" w:eastAsia="Arial" w:hAnsi="Arial"/>
          <w:sz w:val="18"/>
          <w:szCs w:val="18"/>
          <w:u w:val="single" w:color="auto"/>
          <w:color w:val="0000EE"/>
        </w:rPr>
      </w:pPr>
    </w:p>
    <w:p>
      <w:pPr>
        <w:ind w:left="920" w:right="280" w:hanging="827"/>
        <w:spacing w:after="0" w:line="257" w:lineRule="auto"/>
        <w:tabs>
          <w:tab w:leader="none" w:pos="900" w:val="left"/>
        </w:tabs>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10.44</w:t>
        </w:r>
      </w:hyperlink>
      <w:r>
        <w:rPr>
          <w:rFonts w:ascii="Arial" w:cs="Arial" w:eastAsia="Arial" w:hAnsi="Arial"/>
          <w:sz w:val="18"/>
          <w:szCs w:val="18"/>
          <w:u w:val="single" w:color="auto"/>
          <w:color w:val="0000EE"/>
        </w:rPr>
        <w:tab/>
      </w:r>
      <w:hyperlink r:id="rId123">
        <w:r>
          <w:rPr>
            <w:rFonts w:ascii="Arial" w:cs="Arial" w:eastAsia="Arial" w:hAnsi="Arial"/>
            <w:sz w:val="18"/>
            <w:szCs w:val="18"/>
            <w:u w:val="single" w:color="auto"/>
            <w:color w:val="0000EE"/>
          </w:rPr>
          <w:t>First Amendment to Amended and Restated Credit Agreement, dated as of</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September 12, 2019, by and among Addus HealthCare, Inc., as the Borrower,</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Addus HomeCare Corporation, other Credit Parties party thereto, Capital One,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National Association, as administrative agent and as a Lender, and the other</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Lenders party thereto.</w:t>
        </w:r>
      </w:hyperlink>
    </w:p>
    <w:p>
      <w:pPr>
        <w:spacing w:after="0" w:line="93" w:lineRule="exact"/>
        <w:rPr>
          <w:rFonts w:ascii="Arial" w:cs="Arial" w:eastAsia="Arial" w:hAnsi="Arial"/>
          <w:sz w:val="18"/>
          <w:szCs w:val="18"/>
          <w:u w:val="single" w:color="auto"/>
          <w:color w:val="0000EE"/>
        </w:rPr>
      </w:pPr>
    </w:p>
    <w:p>
      <w:pPr>
        <w:ind w:left="920" w:right="400" w:hanging="827"/>
        <w:spacing w:after="0" w:line="263" w:lineRule="auto"/>
        <w:tabs>
          <w:tab w:leader="none" w:pos="900" w:val="left"/>
        </w:tabs>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10.45</w:t>
        </w:r>
      </w:hyperlink>
      <w:r>
        <w:rPr>
          <w:rFonts w:ascii="Arial" w:cs="Arial" w:eastAsia="Arial" w:hAnsi="Arial"/>
          <w:sz w:val="18"/>
          <w:szCs w:val="18"/>
          <w:u w:val="single" w:color="auto"/>
          <w:color w:val="0000EE"/>
        </w:rPr>
        <w:tab/>
      </w:r>
      <w:hyperlink r:id="rId124">
        <w:r>
          <w:rPr>
            <w:rFonts w:ascii="Arial" w:cs="Arial" w:eastAsia="Arial" w:hAnsi="Arial"/>
            <w:sz w:val="18"/>
            <w:szCs w:val="18"/>
            <w:u w:val="single" w:color="auto"/>
            <w:color w:val="0000EE"/>
          </w:rPr>
          <w:t>Unit Purchase Agreement, dated November 10, 2020, by and among Addus</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Healthcare, Inc., Queen City Hospice, LLC, Miracle City Hospice, LLC, and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QCH Holdings LLC.</w:t>
        </w:r>
      </w:hyperlink>
    </w:p>
    <w:p>
      <w:pPr>
        <w:spacing w:after="0" w:line="89" w:lineRule="exact"/>
        <w:rPr>
          <w:rFonts w:ascii="Arial" w:cs="Arial" w:eastAsia="Arial" w:hAnsi="Arial"/>
          <w:sz w:val="18"/>
          <w:szCs w:val="18"/>
          <w:u w:val="single" w:color="auto"/>
          <w:color w:val="0000EE"/>
        </w:rPr>
      </w:pPr>
    </w:p>
    <w:p>
      <w:pPr>
        <w:ind w:left="920" w:hanging="827"/>
        <w:spacing w:after="0" w:line="263" w:lineRule="auto"/>
        <w:tabs>
          <w:tab w:leader="none" w:pos="900" w:val="left"/>
        </w:tabs>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10.46</w:t>
        </w:r>
      </w:hyperlink>
      <w:r>
        <w:rPr>
          <w:rFonts w:ascii="Arial" w:cs="Arial" w:eastAsia="Arial" w:hAnsi="Arial"/>
          <w:sz w:val="18"/>
          <w:szCs w:val="18"/>
          <w:u w:val="single" w:color="auto"/>
          <w:color w:val="0000EE"/>
        </w:rPr>
        <w:tab/>
      </w:r>
      <w:hyperlink r:id="rId125">
        <w:r>
          <w:rPr>
            <w:rFonts w:ascii="Arial" w:cs="Arial" w:eastAsia="Arial" w:hAnsi="Arial"/>
            <w:sz w:val="18"/>
            <w:szCs w:val="18"/>
            <w:u w:val="single" w:color="auto"/>
            <w:color w:val="0000EE"/>
          </w:rPr>
          <w:t>Amendment to Unit Purchase Agreement, dated December 3, 2020, by and among</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Addus Healthcare, Inc., Queen City Hospice, LLC, Miracle City Hospice, LLC,</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and QCH Holdings LLC.</w:t>
        </w:r>
      </w:hyperlink>
    </w:p>
    <w:p>
      <w:pPr>
        <w:spacing w:after="0" w:line="184"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62"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878"/>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10.3</w:t>
            </w:r>
          </w:p>
        </w:tc>
      </w:tr>
      <w:tr>
        <w:trPr>
          <w:trHeight w:val="662"/>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10.4</w:t>
            </w:r>
          </w:p>
        </w:tc>
      </w:tr>
      <w:tr>
        <w:trPr>
          <w:trHeight w:val="661"/>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10.5</w:t>
            </w:r>
          </w:p>
        </w:tc>
      </w:tr>
      <w:tr>
        <w:trPr>
          <w:trHeight w:val="770"/>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10.6</w:t>
            </w:r>
          </w:p>
        </w:tc>
      </w:tr>
      <w:tr>
        <w:trPr>
          <w:trHeight w:val="769"/>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10.7</w:t>
            </w:r>
          </w:p>
        </w:tc>
      </w:tr>
      <w:tr>
        <w:trPr>
          <w:trHeight w:val="662"/>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8/11/2018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10.8</w:t>
            </w:r>
          </w:p>
        </w:tc>
      </w:tr>
      <w:tr>
        <w:trPr>
          <w:trHeight w:val="769"/>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89"/>
              </w:rPr>
              <w:t>11/8/2018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770"/>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4/8/2019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99.2</w:t>
            </w:r>
          </w:p>
        </w:tc>
      </w:tr>
      <w:tr>
        <w:trPr>
          <w:trHeight w:val="55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8/10/2020</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10.40</w:t>
            </w:r>
          </w:p>
        </w:tc>
      </w:tr>
      <w:tr>
        <w:trPr>
          <w:trHeight w:val="554"/>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8/10/2020</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10.41</w:t>
            </w:r>
          </w:p>
        </w:tc>
      </w:tr>
      <w:tr>
        <w:trPr>
          <w:trHeight w:val="55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7/24/2019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770"/>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2"/>
              </w:rPr>
              <w:t>S-3ASR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333-233600</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9/3/2019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5"/>
              </w:rPr>
              <w:t>2.1</w:t>
            </w:r>
          </w:p>
        </w:tc>
      </w:tr>
      <w:tr>
        <w:trPr>
          <w:trHeight w:val="109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9/13/2019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985"/>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3/1/2021</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10.45</w:t>
            </w:r>
          </w:p>
        </w:tc>
      </w:tr>
      <w:tr>
        <w:trPr>
          <w:trHeight w:val="769"/>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1"/>
              </w:rPr>
              <w:t>3/1/2021</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10.46</w:t>
            </w:r>
          </w:p>
        </w:tc>
      </w:tr>
    </w:tbl>
    <w:p>
      <w:pPr>
        <w:sectPr>
          <w:pgSz w:w="11900" w:h="16838" w:orient="portrait"/>
          <w:cols w:equalWidth="0" w:num="2">
            <w:col w:w="6860" w:space="240"/>
            <w:col w:w="3880"/>
          </w:cols>
          <w:pgMar w:left="320" w:top="121" w:right="59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40"/>
          </w:cols>
          <w:pgMar w:left="320" w:top="121" w:right="639" w:bottom="1440" w:gutter="0" w:footer="0" w:header="0"/>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gridSpan w:val="5"/>
          </w:tcPr>
          <w:p>
            <w:pPr>
              <w:jc w:val="cente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47*</w:t>
              </w:r>
            </w:hyperlink>
          </w:p>
        </w:tc>
        <w:tc>
          <w:tcPr>
            <w:tcW w:w="320" w:type="dxa"/>
            <w:vAlign w:val="bottom"/>
          </w:tcPr>
          <w:p>
            <w:pPr>
              <w:spacing w:after="0"/>
              <w:rPr>
                <w:sz w:val="17"/>
                <w:szCs w:val="17"/>
                <w:color w:val="auto"/>
              </w:rPr>
            </w:pPr>
          </w:p>
        </w:tc>
        <w:tc>
          <w:tcPr>
            <w:tcW w:w="5960" w:type="dxa"/>
            <w:vAlign w:val="bottom"/>
            <w:gridSpan w:val="21"/>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Transition Agreement and Release, effective June 11, 2021, by and among Addus</w:t>
              </w:r>
            </w:hyperlink>
          </w:p>
        </w:tc>
      </w:tr>
      <w:tr>
        <w:trPr>
          <w:trHeight w:val="196"/>
        </w:trPr>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HealthCare, Inc. and Laurie Manning.</w:t>
              </w:r>
            </w:hyperlink>
          </w:p>
        </w:tc>
        <w:tc>
          <w:tcPr>
            <w:tcW w:w="80" w:type="dxa"/>
            <w:vAlign w:val="bottom"/>
            <w:gridSpan w:val="3"/>
          </w:tcPr>
          <w:p>
            <w:pPr>
              <w:spacing w:after="0"/>
              <w:rPr>
                <w:sz w:val="17"/>
                <w:szCs w:val="17"/>
                <w:color w:val="auto"/>
              </w:rPr>
            </w:pPr>
          </w:p>
        </w:tc>
      </w:tr>
      <w:tr>
        <w:trPr>
          <w:trHeight w:val="20"/>
        </w:trPr>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00" w:type="dxa"/>
            <w:vAlign w:val="bottom"/>
            <w:gridSpan w:val="5"/>
          </w:tcPr>
          <w:p>
            <w:pPr>
              <w:jc w:val="cente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48*</w:t>
              </w:r>
            </w:hyperlink>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Employment and Non-Competition Agreement, effective June 14, 2021, by and</w:t>
              </w:r>
            </w:hyperlink>
          </w:p>
        </w:tc>
      </w:tr>
      <w:tr>
        <w:trPr>
          <w:trHeight w:val="196"/>
        </w:trPr>
        <w:tc>
          <w:tcPr>
            <w:tcW w:w="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between Addus HealthCare, Inc. and Roberton James Stevenson.</w:t>
              </w:r>
            </w:hyperlink>
          </w:p>
        </w:tc>
        <w:tc>
          <w:tcPr>
            <w:tcW w:w="220" w:type="dxa"/>
            <w:vAlign w:val="bottom"/>
            <w:gridSpan w:val="4"/>
          </w:tcPr>
          <w:p>
            <w:pPr>
              <w:spacing w:after="0"/>
              <w:rPr>
                <w:sz w:val="17"/>
                <w:szCs w:val="17"/>
                <w:color w:val="auto"/>
              </w:rPr>
            </w:pPr>
          </w:p>
        </w:tc>
      </w:tr>
      <w:tr>
        <w:trPr>
          <w:trHeight w:val="20"/>
        </w:trPr>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00" w:type="dxa"/>
            <w:vAlign w:val="bottom"/>
            <w:gridSpan w:val="5"/>
          </w:tcPr>
          <w:p>
            <w:pPr>
              <w:jc w:val="center"/>
              <w:spacing w:after="0"/>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49**</w:t>
              </w:r>
            </w:hyperlink>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Second Amendment to Amended and Restated Credit Agreement, dated as of July</w:t>
              </w:r>
            </w:hyperlink>
          </w:p>
        </w:tc>
      </w:tr>
      <w:tr>
        <w:trPr>
          <w:trHeight w:val="196"/>
        </w:trPr>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59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30, 2021, by and among Addus HealthCare, Inc., as the Borrower, Addus</w:t>
              </w:r>
            </w:hyperlink>
          </w:p>
        </w:tc>
        <w:tc>
          <w:tcPr>
            <w:tcW w:w="40" w:type="dxa"/>
            <w:vAlign w:val="bottom"/>
            <w:gridSpan w:val="2"/>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HomeCare Corporation, the other Credit Parties party thereto, Capital One,</w:t>
              </w:r>
            </w:hyperlink>
          </w:p>
        </w:tc>
        <w:tc>
          <w:tcPr>
            <w:tcW w:w="540" w:type="dxa"/>
            <w:vAlign w:val="bottom"/>
            <w:gridSpan w:val="9"/>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gridSpan w:val="21"/>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National Association, as administrative agent and as a Lender, and the other</w:t>
              </w:r>
            </w:hyperlink>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Lenders party thereto.</w:t>
              </w:r>
            </w:hyperlink>
          </w:p>
        </w:tc>
        <w:tc>
          <w:tcPr>
            <w:tcW w:w="500" w:type="dxa"/>
            <w:vAlign w:val="bottom"/>
            <w:gridSpan w:val="8"/>
          </w:tcPr>
          <w:p>
            <w:pPr>
              <w:spacing w:after="0"/>
              <w:rPr>
                <w:sz w:val="17"/>
                <w:szCs w:val="17"/>
                <w:color w:val="auto"/>
              </w:rPr>
            </w:pPr>
          </w:p>
        </w:tc>
      </w:tr>
      <w:tr>
        <w:trPr>
          <w:trHeight w:val="20"/>
        </w:trPr>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00" w:type="dxa"/>
            <w:vAlign w:val="bottom"/>
            <w:gridSpan w:val="5"/>
          </w:tcPr>
          <w:p>
            <w:pPr>
              <w:jc w:val="cente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50*</w:t>
              </w:r>
            </w:hyperlink>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2022 Form of Indemnification Agreement.</w:t>
              </w:r>
            </w:hyperlink>
          </w:p>
        </w:tc>
      </w:tr>
      <w:tr>
        <w:trPr>
          <w:trHeight w:val="20"/>
        </w:trPr>
        <w:tc>
          <w:tcPr>
            <w:tcW w:w="1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8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Subsidiaries of Addus HomeCare Corporation.</w:t>
              </w:r>
            </w:hyperlink>
          </w:p>
        </w:tc>
        <w:tc>
          <w:tcPr>
            <w:tcW w:w="2580" w:type="dxa"/>
            <w:vAlign w:val="bottom"/>
            <w:gridSpan w:val="14"/>
          </w:tcPr>
          <w:p>
            <w:pPr>
              <w:spacing w:after="0"/>
              <w:rPr>
                <w:sz w:val="24"/>
                <w:szCs w:val="24"/>
                <w:color w:val="auto"/>
              </w:rPr>
            </w:pPr>
          </w:p>
        </w:tc>
      </w:tr>
      <w:tr>
        <w:trPr>
          <w:trHeight w:val="344"/>
        </w:trPr>
        <w:tc>
          <w:tcPr>
            <w:tcW w:w="14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Consent of PricewaterhouseCoopers LLP, Independent Registered Public</w:t>
              </w:r>
            </w:hyperlink>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Accounting Firm.</w:t>
              </w:r>
            </w:hyperlink>
          </w:p>
        </w:tc>
        <w:tc>
          <w:tcPr>
            <w:tcW w:w="680" w:type="dxa"/>
            <w:vAlign w:val="bottom"/>
            <w:gridSpan w:val="10"/>
          </w:tcPr>
          <w:p>
            <w:pPr>
              <w:spacing w:after="0"/>
              <w:rPr>
                <w:sz w:val="17"/>
                <w:szCs w:val="17"/>
                <w:color w:val="auto"/>
              </w:rPr>
            </w:pPr>
          </w:p>
        </w:tc>
      </w:tr>
      <w:tr>
        <w:trPr>
          <w:trHeight w:val="20"/>
        </w:trPr>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of Chief Executive Officer Pursuant to Rule 13-14(a) of the</w:t>
              </w:r>
            </w:hyperlink>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5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Securities Exchange Act of 1934 as Adopted Pursuant to Section 302 of the</w:t>
              </w:r>
            </w:hyperlink>
          </w:p>
        </w:tc>
        <w:tc>
          <w:tcPr>
            <w:tcW w:w="460" w:type="dxa"/>
            <w:vAlign w:val="bottom"/>
            <w:gridSpan w:val="7"/>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Sarbanes-Oxley Act of 2002.</w:t>
              </w:r>
            </w:hyperlink>
          </w:p>
        </w:tc>
      </w:tr>
      <w:tr>
        <w:trPr>
          <w:trHeight w:val="20"/>
        </w:trPr>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40" w:type="dxa"/>
            <w:vAlign w:val="bottom"/>
            <w:gridSpan w:val="4"/>
          </w:tcPr>
          <w:p>
            <w:pPr>
              <w:jc w:val="cente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Chief Financial Officer Pursuant to Rule 13-14(a) of the Securities</w:t>
              </w:r>
            </w:hyperlink>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Exchange Act of 1934 as Adopted Pursuant to Section 302 of the Sarbanes-Oxley</w:t>
              </w:r>
            </w:hyperlink>
          </w:p>
        </w:tc>
        <w:tc>
          <w:tcPr>
            <w:tcW w:w="20" w:type="dxa"/>
            <w:vAlign w:val="bottom"/>
            <w:tcBorders>
              <w:top w:val="single" w:sz="8" w:color="0000EE"/>
            </w:tcBorders>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Act of 2002.</w:t>
              </w:r>
            </w:hyperlink>
          </w:p>
        </w:tc>
        <w:tc>
          <w:tcPr>
            <w:tcW w:w="5040" w:type="dxa"/>
            <w:vAlign w:val="bottom"/>
            <w:gridSpan w:val="20"/>
          </w:tcPr>
          <w:p>
            <w:pPr>
              <w:spacing w:after="0"/>
              <w:rPr>
                <w:sz w:val="17"/>
                <w:szCs w:val="17"/>
                <w:color w:val="auto"/>
              </w:rPr>
            </w:pPr>
          </w:p>
        </w:tc>
      </w:tr>
      <w:tr>
        <w:trPr>
          <w:trHeight w:val="318"/>
        </w:trPr>
        <w:tc>
          <w:tcPr>
            <w:tcW w:w="140" w:type="dxa"/>
            <w:vAlign w:val="bottom"/>
            <w:gridSpan w:val="2"/>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60" w:type="dxa"/>
            <w:vAlign w:val="bottom"/>
            <w:gridSpan w:val="21"/>
          </w:tcPr>
          <w:p>
            <w:pPr>
              <w:spacing w:after="0"/>
              <w:rPr>
                <w:rFonts w:ascii="Arial" w:cs="Arial" w:eastAsia="Arial" w:hAnsi="Arial"/>
                <w:sz w:val="18"/>
                <w:szCs w:val="18"/>
                <w:color w:val="0000EE"/>
                <w:w w:val="95"/>
              </w:rPr>
            </w:pPr>
            <w:hyperlink w:anchor="page112">
              <w:r>
                <w:rPr>
                  <w:rFonts w:ascii="Arial" w:cs="Arial" w:eastAsia="Arial" w:hAnsi="Arial"/>
                  <w:sz w:val="18"/>
                  <w:szCs w:val="18"/>
                  <w:color w:val="0000EE"/>
                  <w:w w:val="95"/>
                </w:rPr>
                <w:t>Certification of Chief Executive Officer Pursuant to 18 U.S.C. Section 1350, as</w:t>
              </w:r>
            </w:hyperlink>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Adopted Pursuant to Section 906 of the Sarbanes-Oxley Act of 2002.</w:t>
              </w:r>
            </w:hyperlink>
          </w:p>
        </w:tc>
        <w:tc>
          <w:tcPr>
            <w:tcW w:w="240" w:type="dxa"/>
            <w:vAlign w:val="bottom"/>
            <w:gridSpan w:val="5"/>
          </w:tcPr>
          <w:p>
            <w:pPr>
              <w:spacing w:after="0"/>
              <w:rPr>
                <w:sz w:val="17"/>
                <w:szCs w:val="17"/>
                <w:color w:val="auto"/>
              </w:rPr>
            </w:pPr>
          </w:p>
        </w:tc>
      </w:tr>
      <w:tr>
        <w:trPr>
          <w:trHeight w:val="20"/>
        </w:trPr>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gridSpan w:val="9"/>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18"/>
        </w:trPr>
        <w:tc>
          <w:tcPr>
            <w:tcW w:w="140" w:type="dxa"/>
            <w:vAlign w:val="bottom"/>
            <w:gridSpan w:val="2"/>
          </w:tcPr>
          <w:p>
            <w:pPr>
              <w:spacing w:after="0"/>
              <w:rPr>
                <w:sz w:val="24"/>
                <w:szCs w:val="24"/>
                <w:color w:val="auto"/>
              </w:rPr>
            </w:pPr>
          </w:p>
        </w:tc>
        <w:tc>
          <w:tcPr>
            <w:tcW w:w="320" w:type="dxa"/>
            <w:vAlign w:val="bottom"/>
            <w:tcBorders>
              <w:bottom w:val="single" w:sz="8" w:color="0000EE"/>
            </w:tcBorders>
          </w:tcPr>
          <w:p>
            <w:pPr>
              <w:jc w:val="cente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of Chief Financial Officer Pursuant to 18 U.S.C. Section 1350, as</w:t>
              </w:r>
            </w:hyperlink>
          </w:p>
        </w:tc>
        <w:tc>
          <w:tcPr>
            <w:tcW w:w="280" w:type="dxa"/>
            <w:vAlign w:val="bottom"/>
            <w:gridSpan w:val="6"/>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gridSpan w:val="2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Adopted Pursuant to Section 906 of the Sarbanes-Oxley Act of 2002.</w:t>
              </w:r>
            </w:hyperlink>
          </w:p>
        </w:tc>
      </w:tr>
      <w:tr>
        <w:trPr>
          <w:trHeight w:val="20"/>
        </w:trPr>
        <w:tc>
          <w:tcPr>
            <w:tcW w:w="920" w:type="dxa"/>
            <w:vAlign w:val="bottom"/>
            <w:gridSpan w:val="6"/>
          </w:tcPr>
          <w:p>
            <w:pPr>
              <w:spacing w:after="0" w:line="20" w:lineRule="exact"/>
              <w:rPr>
                <w:sz w:val="1"/>
                <w:szCs w:val="1"/>
                <w:color w:val="auto"/>
              </w:rPr>
            </w:pPr>
          </w:p>
        </w:tc>
        <w:tc>
          <w:tcPr>
            <w:tcW w:w="4980" w:type="dxa"/>
            <w:vAlign w:val="bottom"/>
            <w:gridSpan w:val="9"/>
            <w:shd w:val="clear" w:color="auto" w:fill="0000EE"/>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r>
      <w:tr>
        <w:trPr>
          <w:trHeight w:val="344"/>
        </w:trPr>
        <w:tc>
          <w:tcPr>
            <w:tcW w:w="920" w:type="dxa"/>
            <w:vAlign w:val="bottom"/>
            <w:gridSpan w:val="6"/>
          </w:tcPr>
          <w:p>
            <w:pPr>
              <w:spacing w:after="0"/>
              <w:rPr>
                <w:sz w:val="20"/>
                <w:szCs w:val="20"/>
                <w:color w:val="auto"/>
              </w:rPr>
            </w:pPr>
            <w:r>
              <w:rPr>
                <w:rFonts w:ascii="Arial" w:cs="Arial" w:eastAsia="Arial" w:hAnsi="Arial"/>
                <w:sz w:val="18"/>
                <w:szCs w:val="18"/>
                <w:color w:val="auto"/>
              </w:rPr>
              <w:t>101.INS</w:t>
            </w:r>
          </w:p>
        </w:tc>
        <w:tc>
          <w:tcPr>
            <w:tcW w:w="5960" w:type="dxa"/>
            <w:vAlign w:val="bottom"/>
            <w:gridSpan w:val="21"/>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w:t>
            </w: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60" w:type="dxa"/>
            <w:vAlign w:val="bottom"/>
            <w:gridSpan w:val="21"/>
          </w:tcPr>
          <w:p>
            <w:pPr>
              <w:spacing w:after="0"/>
              <w:rPr>
                <w:sz w:val="20"/>
                <w:szCs w:val="20"/>
                <w:color w:val="auto"/>
              </w:rPr>
            </w:pPr>
            <w:r>
              <w:rPr>
                <w:rFonts w:ascii="Arial" w:cs="Arial" w:eastAsia="Arial" w:hAnsi="Arial"/>
                <w:sz w:val="18"/>
                <w:szCs w:val="18"/>
                <w:color w:val="auto"/>
                <w:w w:val="99"/>
              </w:rPr>
              <w:t>Interactive Data File because its XBRL tags are embedded within the Inline</w:t>
            </w: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60" w:type="dxa"/>
            <w:vAlign w:val="bottom"/>
            <w:gridSpan w:val="21"/>
          </w:tcPr>
          <w:p>
            <w:pPr>
              <w:spacing w:after="0"/>
              <w:rPr>
                <w:sz w:val="20"/>
                <w:szCs w:val="20"/>
                <w:color w:val="auto"/>
              </w:rPr>
            </w:pPr>
            <w:r>
              <w:rPr>
                <w:rFonts w:ascii="Arial" w:cs="Arial" w:eastAsia="Arial" w:hAnsi="Arial"/>
                <w:sz w:val="18"/>
                <w:szCs w:val="18"/>
                <w:color w:val="auto"/>
              </w:rPr>
              <w:t>XBRL document).</w:t>
            </w:r>
          </w:p>
        </w:tc>
      </w:tr>
      <w:tr>
        <w:trPr>
          <w:trHeight w:val="338"/>
        </w:trPr>
        <w:tc>
          <w:tcPr>
            <w:tcW w:w="920" w:type="dxa"/>
            <w:vAlign w:val="bottom"/>
            <w:gridSpan w:val="6"/>
          </w:tcPr>
          <w:p>
            <w:pPr>
              <w:spacing w:after="0"/>
              <w:rPr>
                <w:sz w:val="20"/>
                <w:szCs w:val="20"/>
                <w:color w:val="auto"/>
              </w:rPr>
            </w:pPr>
            <w:r>
              <w:rPr>
                <w:rFonts w:ascii="Arial" w:cs="Arial" w:eastAsia="Arial" w:hAnsi="Arial"/>
                <w:sz w:val="18"/>
                <w:szCs w:val="18"/>
                <w:color w:val="auto"/>
              </w:rPr>
              <w:t>101.SCH</w:t>
            </w:r>
          </w:p>
        </w:tc>
        <w:tc>
          <w:tcPr>
            <w:tcW w:w="596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920" w:type="dxa"/>
            <w:vAlign w:val="bottom"/>
            <w:gridSpan w:val="6"/>
          </w:tcPr>
          <w:p>
            <w:pPr>
              <w:spacing w:after="0"/>
              <w:rPr>
                <w:sz w:val="20"/>
                <w:szCs w:val="20"/>
                <w:color w:val="auto"/>
              </w:rPr>
            </w:pPr>
            <w:r>
              <w:rPr>
                <w:rFonts w:ascii="Arial" w:cs="Arial" w:eastAsia="Arial" w:hAnsi="Arial"/>
                <w:sz w:val="18"/>
                <w:szCs w:val="18"/>
                <w:color w:val="auto"/>
              </w:rPr>
              <w:t>101.CAL</w:t>
            </w:r>
          </w:p>
        </w:tc>
        <w:tc>
          <w:tcPr>
            <w:tcW w:w="5960" w:type="dxa"/>
            <w:vAlign w:val="bottom"/>
            <w:gridSpan w:val="21"/>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920" w:type="dxa"/>
            <w:vAlign w:val="bottom"/>
            <w:gridSpan w:val="6"/>
          </w:tcPr>
          <w:p>
            <w:pPr>
              <w:spacing w:after="0"/>
              <w:rPr>
                <w:sz w:val="20"/>
                <w:szCs w:val="20"/>
                <w:color w:val="auto"/>
              </w:rPr>
            </w:pPr>
            <w:r>
              <w:rPr>
                <w:rFonts w:ascii="Arial" w:cs="Arial" w:eastAsia="Arial" w:hAnsi="Arial"/>
                <w:sz w:val="18"/>
                <w:szCs w:val="18"/>
                <w:color w:val="auto"/>
              </w:rPr>
              <w:t>101.LAB</w:t>
            </w:r>
          </w:p>
        </w:tc>
        <w:tc>
          <w:tcPr>
            <w:tcW w:w="5960" w:type="dxa"/>
            <w:vAlign w:val="bottom"/>
            <w:gridSpan w:val="21"/>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338"/>
        </w:trPr>
        <w:tc>
          <w:tcPr>
            <w:tcW w:w="920" w:type="dxa"/>
            <w:vAlign w:val="bottom"/>
            <w:gridSpan w:val="6"/>
          </w:tcPr>
          <w:p>
            <w:pPr>
              <w:spacing w:after="0"/>
              <w:rPr>
                <w:sz w:val="20"/>
                <w:szCs w:val="20"/>
                <w:color w:val="auto"/>
              </w:rPr>
            </w:pPr>
            <w:r>
              <w:rPr>
                <w:rFonts w:ascii="Arial" w:cs="Arial" w:eastAsia="Arial" w:hAnsi="Arial"/>
                <w:sz w:val="18"/>
                <w:szCs w:val="18"/>
                <w:color w:val="auto"/>
              </w:rPr>
              <w:t>101.PRE</w:t>
            </w:r>
          </w:p>
        </w:tc>
        <w:tc>
          <w:tcPr>
            <w:tcW w:w="5960" w:type="dxa"/>
            <w:vAlign w:val="bottom"/>
            <w:gridSpan w:val="21"/>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338"/>
        </w:trPr>
        <w:tc>
          <w:tcPr>
            <w:tcW w:w="920" w:type="dxa"/>
            <w:vAlign w:val="bottom"/>
            <w:gridSpan w:val="6"/>
          </w:tcPr>
          <w:p>
            <w:pPr>
              <w:spacing w:after="0"/>
              <w:rPr>
                <w:sz w:val="20"/>
                <w:szCs w:val="20"/>
                <w:color w:val="auto"/>
              </w:rPr>
            </w:pPr>
            <w:r>
              <w:rPr>
                <w:rFonts w:ascii="Arial" w:cs="Arial" w:eastAsia="Arial" w:hAnsi="Arial"/>
                <w:sz w:val="18"/>
                <w:szCs w:val="18"/>
                <w:color w:val="auto"/>
              </w:rPr>
              <w:t>101.DEF</w:t>
            </w:r>
          </w:p>
        </w:tc>
        <w:tc>
          <w:tcPr>
            <w:tcW w:w="596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107" w:lineRule="exact"/>
        <w:rPr>
          <w:sz w:val="20"/>
          <w:szCs w:val="20"/>
          <w:color w:val="auto"/>
        </w:rPr>
      </w:pPr>
    </w:p>
    <w:p>
      <w:pPr>
        <w:ind w:left="920" w:right="240" w:hanging="912"/>
        <w:spacing w:after="0" w:line="277"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001-34504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8/4/2021</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5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001-34504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8/4/2021</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87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001-34504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8/4/2021</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7572" w:lineRule="exact"/>
        <w:rPr>
          <w:sz w:val="20"/>
          <w:szCs w:val="20"/>
          <w:color w:val="auto"/>
        </w:rPr>
      </w:pPr>
    </w:p>
    <w:p>
      <w:pPr>
        <w:sectPr>
          <w:pgSz w:w="11900" w:h="16838" w:orient="portrait"/>
          <w:cols w:equalWidth="0" w:num="2">
            <w:col w:w="6880" w:space="340"/>
            <w:col w:w="3720"/>
          </w:cols>
          <w:pgMar w:left="320" w:top="121" w:right="639" w:bottom="1440" w:gutter="0" w:footer="0" w:header="0"/>
          <w:type w:val="continuous"/>
        </w:sect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17" w:lineRule="exact"/>
        <w:rPr>
          <w:sz w:val="20"/>
          <w:szCs w:val="20"/>
          <w:color w:val="auto"/>
        </w:rPr>
      </w:pPr>
    </w:p>
    <w:p>
      <w:pPr>
        <w:ind w:left="500" w:right="4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 of Regulation S-K. The Company hereby undertakes to furnish supplementally a copy of any of the omitted schedules and exhibits upon request by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225" w:lineRule="exact"/>
        <w:rPr>
          <w:sz w:val="20"/>
          <w:szCs w:val="20"/>
          <w:color w:val="auto"/>
        </w:rPr>
      </w:pPr>
    </w:p>
    <w:p>
      <w:pPr>
        <w:spacing w:after="0"/>
        <w:tabs>
          <w:tab w:leader="none" w:pos="166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897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jc w:val="center"/>
        <w:ind w:right="568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jc w:val="center"/>
        <w:ind w:right="568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jc w:val="center"/>
        <w:ind w:right="5680"/>
        <w:spacing w:after="0"/>
        <w:rPr>
          <w:sz w:val="20"/>
          <w:szCs w:val="20"/>
          <w:color w:val="auto"/>
        </w:rPr>
      </w:pPr>
      <w:r>
        <w:rPr>
          <w:rFonts w:ascii="Arial" w:cs="Arial" w:eastAsia="Arial" w:hAnsi="Arial"/>
          <w:sz w:val="18"/>
          <w:szCs w:val="18"/>
          <w:b w:val="1"/>
          <w:bCs w:val="1"/>
          <w:color w:val="auto"/>
        </w:rPr>
        <w:t>Chairman of the Board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Signature</w:t>
            </w:r>
          </w:p>
        </w:tc>
        <w:tc>
          <w:tcPr>
            <w:tcW w:w="4400" w:type="dxa"/>
            <w:vAlign w:val="bottom"/>
          </w:tcPr>
          <w:p>
            <w:pPr>
              <w:ind w:left="2080"/>
              <w:spacing w:after="0"/>
              <w:rPr>
                <w:sz w:val="20"/>
                <w:szCs w:val="20"/>
                <w:color w:val="auto"/>
              </w:rPr>
            </w:pPr>
            <w:r>
              <w:rPr>
                <w:rFonts w:ascii="Arial" w:cs="Arial" w:eastAsia="Arial" w:hAnsi="Arial"/>
                <w:sz w:val="18"/>
                <w:szCs w:val="18"/>
                <w:b w:val="1"/>
                <w:bCs w:val="1"/>
                <w:color w:val="auto"/>
              </w:rPr>
              <w:t>Title</w:t>
            </w:r>
          </w:p>
        </w:tc>
        <w:tc>
          <w:tcPr>
            <w:tcW w:w="290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gridSpan w:val="2"/>
          </w:tcPr>
          <w:p>
            <w:pPr>
              <w:jc w:val="center"/>
              <w:ind w:right="970"/>
              <w:spacing w:after="0"/>
              <w:rPr>
                <w:sz w:val="20"/>
                <w:szCs w:val="20"/>
                <w:color w:val="auto"/>
              </w:rPr>
            </w:pPr>
            <w:r>
              <w:rPr>
                <w:rFonts w:ascii="Arial" w:cs="Arial" w:eastAsia="Arial" w:hAnsi="Arial"/>
                <w:sz w:val="18"/>
                <w:szCs w:val="18"/>
                <w:color w:val="auto"/>
                <w:w w:val="99"/>
              </w:rPr>
              <w:t>R. DIRK ALLISON</w:t>
            </w:r>
          </w:p>
        </w:tc>
        <w:tc>
          <w:tcPr>
            <w:tcW w:w="4400" w:type="dxa"/>
            <w:vAlign w:val="bottom"/>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R. Dirk Allison</w:t>
            </w:r>
          </w:p>
        </w:tc>
        <w:tc>
          <w:tcPr>
            <w:tcW w:w="4400" w:type="dxa"/>
            <w:vAlign w:val="bottom"/>
          </w:tcPr>
          <w:p>
            <w:pPr>
              <w:ind w:left="120"/>
              <w:spacing w:after="0"/>
              <w:rPr>
                <w:sz w:val="20"/>
                <w:szCs w:val="20"/>
                <w:color w:val="auto"/>
              </w:rPr>
            </w:pPr>
            <w:r>
              <w:rPr>
                <w:rFonts w:ascii="Arial" w:cs="Arial" w:eastAsia="Arial" w:hAnsi="Arial"/>
                <w:sz w:val="18"/>
                <w:szCs w:val="18"/>
                <w:color w:val="auto"/>
              </w:rPr>
              <w:t>Board (Principal Executive Officer)</w:t>
            </w: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6"/>
              </w:rPr>
              <w:t>BRIAN POFF</w:t>
            </w:r>
          </w:p>
        </w:tc>
        <w:tc>
          <w:tcPr>
            <w:tcW w:w="440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Brian Poff</w:t>
            </w:r>
          </w:p>
        </w:tc>
        <w:tc>
          <w:tcPr>
            <w:tcW w:w="440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2900" w:type="dxa"/>
            <w:vAlign w:val="bottom"/>
          </w:tcPr>
          <w:p>
            <w:pPr>
              <w:spacing w:after="0"/>
              <w:rPr>
                <w:sz w:val="19"/>
                <w:szCs w:val="19"/>
                <w:color w:val="auto"/>
              </w:rPr>
            </w:pPr>
          </w:p>
        </w:tc>
      </w:tr>
      <w:tr>
        <w:trPr>
          <w:trHeight w:val="421"/>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8"/>
                <w:szCs w:val="18"/>
                <w:color w:val="auto"/>
                <w:w w:val="99"/>
              </w:rPr>
              <w:t>MICHAEL EARLEY</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34"/>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Michael Earley</w:t>
            </w:r>
          </w:p>
        </w:tc>
        <w:tc>
          <w:tcPr>
            <w:tcW w:w="44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9"/>
              </w:rPr>
              <w:t>MARK L. FIRST</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rPr>
              <w:t>Mark L. First</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8"/>
                <w:szCs w:val="18"/>
                <w:color w:val="auto"/>
                <w:w w:val="95"/>
              </w:rPr>
              <w:t>STEVEN I. GERINGER</w:t>
            </w:r>
          </w:p>
        </w:tc>
        <w:tc>
          <w:tcPr>
            <w:tcW w:w="4400" w:type="dxa"/>
            <w:vAlign w:val="bottom"/>
          </w:tcPr>
          <w:p>
            <w:pPr>
              <w:ind w:left="120"/>
              <w:spacing w:after="0"/>
              <w:rPr>
                <w:sz w:val="20"/>
                <w:szCs w:val="20"/>
                <w:color w:val="auto"/>
              </w:rPr>
            </w:pPr>
            <w:r>
              <w:rPr>
                <w:rFonts w:ascii="Arial" w:cs="Arial" w:eastAsia="Arial" w:hAnsi="Arial"/>
                <w:sz w:val="18"/>
                <w:szCs w:val="18"/>
                <w:color w:val="auto"/>
              </w:rPr>
              <w:t>Lead 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Steven I. Geringer</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4"/>
              </w:rPr>
              <w:t>/s/</w:t>
            </w:r>
          </w:p>
        </w:tc>
        <w:tc>
          <w:tcPr>
            <w:tcW w:w="2880" w:type="dxa"/>
            <w:vAlign w:val="bottom"/>
            <w:tcBorders>
              <w:bottom w:val="single" w:sz="8" w:color="auto"/>
            </w:tcBorders>
            <w:gridSpan w:val="2"/>
          </w:tcPr>
          <w:p>
            <w:pPr>
              <w:jc w:val="center"/>
              <w:ind w:right="970"/>
              <w:spacing w:after="0"/>
              <w:rPr>
                <w:sz w:val="20"/>
                <w:szCs w:val="20"/>
                <w:color w:val="auto"/>
              </w:rPr>
            </w:pPr>
            <w:r>
              <w:rPr>
                <w:rFonts w:ascii="Arial" w:cs="Arial" w:eastAsia="Arial" w:hAnsi="Arial"/>
                <w:sz w:val="18"/>
                <w:szCs w:val="18"/>
                <w:color w:val="auto"/>
                <w:w w:val="95"/>
              </w:rPr>
              <w:t>DARIN J. GORDON</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Darin J. Gordon</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ESTEBAN LÓPEZ, M.D.</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Esteban López, M.D.</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color w:val="auto"/>
                <w:w w:val="99"/>
              </w:rPr>
              <w:t>VERONICA HILL-MILBOURNE</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334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3"/>
              </w:rPr>
              <w:t>Veronica Hill-Milbourne</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4"/>
              </w:rPr>
              <w:t>JEAN RUSH</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87"/>
              </w:rPr>
              <w:t>Jean Rush</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color w:val="auto"/>
                <w:w w:val="94"/>
              </w:rPr>
              <w:t>SUSAN T. WEAVER, M.D., FACP</w:t>
            </w:r>
          </w:p>
        </w:tc>
        <w:tc>
          <w:tcPr>
            <w:tcW w:w="44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tcPr>
          <w:p>
            <w:pPr>
              <w:jc w:val="center"/>
              <w:ind w:left="10"/>
              <w:spacing w:after="0"/>
              <w:rPr>
                <w:sz w:val="20"/>
                <w:szCs w:val="20"/>
                <w:color w:val="auto"/>
              </w:rPr>
            </w:pPr>
            <w:r>
              <w:rPr>
                <w:rFonts w:ascii="Arial" w:cs="Arial" w:eastAsia="Arial" w:hAnsi="Arial"/>
                <w:sz w:val="18"/>
                <w:szCs w:val="18"/>
                <w:color w:val="auto"/>
                <w:w w:val="89"/>
              </w:rPr>
              <w:t>February 25, 2022</w:t>
            </w:r>
          </w:p>
        </w:tc>
      </w:tr>
      <w:tr>
        <w:trPr>
          <w:trHeight w:val="228"/>
        </w:trPr>
        <w:tc>
          <w:tcPr>
            <w:tcW w:w="600" w:type="dxa"/>
            <w:vAlign w:val="bottom"/>
          </w:tcPr>
          <w:p>
            <w:pPr>
              <w:spacing w:after="0"/>
              <w:rPr>
                <w:sz w:val="19"/>
                <w:szCs w:val="19"/>
                <w:color w:val="auto"/>
              </w:rPr>
            </w:pPr>
          </w:p>
        </w:tc>
        <w:tc>
          <w:tcPr>
            <w:tcW w:w="334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2"/>
              </w:rPr>
              <w:t>Susan T. Weaver, M.D., FACP</w:t>
            </w:r>
          </w:p>
        </w:tc>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913"/>
        </w:trPr>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0" w:type="dxa"/>
            <w:vAlign w:val="bottom"/>
          </w:tcPr>
          <w:p>
            <w:pPr>
              <w:ind w:left="1600"/>
              <w:spacing w:after="0"/>
              <w:rPr>
                <w:sz w:val="20"/>
                <w:szCs w:val="20"/>
                <w:color w:val="auto"/>
              </w:rPr>
            </w:pPr>
            <w:r>
              <w:rPr>
                <w:rFonts w:ascii="Arial" w:cs="Arial" w:eastAsia="Arial" w:hAnsi="Arial"/>
                <w:sz w:val="18"/>
                <w:szCs w:val="18"/>
                <w:color w:val="auto"/>
              </w:rPr>
              <w:t>59</w:t>
            </w:r>
          </w:p>
        </w:tc>
        <w:tc>
          <w:tcPr>
            <w:tcW w:w="2900" w:type="dxa"/>
            <w:vAlign w:val="bottom"/>
          </w:tcPr>
          <w:p>
            <w:pPr>
              <w:spacing w:after="0"/>
              <w:rPr>
                <w:sz w:val="24"/>
                <w:szCs w:val="24"/>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7"/>
            <w:vMerge w:val="restart"/>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680" w:type="dxa"/>
            <w:vAlign w:val="bottom"/>
            <w:gridSpan w:val="2"/>
          </w:tcPr>
          <w:p>
            <w:pPr>
              <w:ind w:left="2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0600" w:type="dxa"/>
            <w:vAlign w:val="bottom"/>
            <w:gridSpan w:val="7"/>
            <w:vMerge w:val="continue"/>
          </w:tcPr>
          <w:p>
            <w:pPr>
              <w:spacing w:after="0"/>
              <w:rPr>
                <w:sz w:val="14"/>
                <w:szCs w:val="14"/>
                <w:color w:val="auto"/>
              </w:rPr>
            </w:pPr>
          </w:p>
        </w:tc>
        <w:tc>
          <w:tcPr>
            <w:tcW w:w="660" w:type="dxa"/>
            <w:vAlign w:val="bottom"/>
            <w:tcBorders>
              <w:top w:val="single" w:sz="8" w:color="auto"/>
            </w:tcBorders>
          </w:tcPr>
          <w:p>
            <w:pPr>
              <w:ind w:left="420"/>
              <w:spacing w:after="0" w:line="169"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380" w:type="dxa"/>
            <w:vAlign w:val="bottom"/>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Income</w:t>
              </w:r>
            </w:hyperlink>
          </w:p>
        </w:tc>
        <w:tc>
          <w:tcPr>
            <w:tcW w:w="8020" w:type="dxa"/>
            <w:vAlign w:val="bottom"/>
            <w:gridSpan w:val="5"/>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Stockholders’ Equity</w:t>
              </w:r>
            </w:hyperlink>
          </w:p>
        </w:tc>
        <w:tc>
          <w:tcPr>
            <w:tcW w:w="7040" w:type="dxa"/>
            <w:vAlign w:val="bottom"/>
            <w:gridSpan w:val="2"/>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w:t>
              </w:r>
            </w:hyperlink>
          </w:p>
        </w:tc>
        <w:tc>
          <w:tcPr>
            <w:tcW w:w="7720" w:type="dxa"/>
            <w:vAlign w:val="bottom"/>
            <w:gridSpan w:val="4"/>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7440" w:type="dxa"/>
            <w:vAlign w:val="bottom"/>
            <w:gridSpan w:val="3"/>
          </w:tcPr>
          <w:p>
            <w:pPr>
              <w:spacing w:after="0"/>
              <w:rPr>
                <w:sz w:val="17"/>
                <w:szCs w:val="17"/>
                <w:color w:val="auto"/>
              </w:rPr>
            </w:pPr>
          </w:p>
        </w:tc>
        <w:tc>
          <w:tcPr>
            <w:tcW w:w="68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Addus HomeCare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Addus HomeCare Corporation and its subsidiaries (the “Company”) as of December 31, 2021 and 2020, and the related consolidated statements of income, of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w:t>
      </w:r>
      <w:r>
        <w:rPr>
          <w:rFonts w:ascii="Arial" w:cs="Arial" w:eastAsia="Arial" w:hAnsi="Arial"/>
          <w:sz w:val="16"/>
          <w:szCs w:val="16"/>
          <w:color w:val="333333"/>
        </w:rPr>
        <w:t>Management’s Annual Report on Internal Control Over</w:t>
      </w:r>
      <w:r>
        <w:rPr>
          <w:rFonts w:ascii="Arial" w:cs="Arial" w:eastAsia="Arial" w:hAnsi="Arial"/>
          <w:sz w:val="16"/>
          <w:szCs w:val="16"/>
          <w:color w:val="auto"/>
        </w:rPr>
        <w:t xml:space="preserve"> </w:t>
      </w:r>
      <w:r>
        <w:rPr>
          <w:rFonts w:ascii="Arial" w:cs="Arial" w:eastAsia="Arial" w:hAnsi="Arial"/>
          <w:sz w:val="16"/>
          <w:szCs w:val="16"/>
          <w:color w:val="333333"/>
        </w:rPr>
        <w:t xml:space="preserve">Financial Reporting appearing under Item 9A. </w:t>
      </w:r>
      <w:r>
        <w:rPr>
          <w:rFonts w:ascii="Arial" w:cs="Arial" w:eastAsia="Arial" w:hAnsi="Arial"/>
          <w:sz w:val="16"/>
          <w:szCs w:val="16"/>
          <w:color w:val="000000"/>
        </w:rPr>
        <w:t>Our responsibility is to express opinions on the Company’s consolidated financial statements and on the</w:t>
      </w:r>
      <w:r>
        <w:rPr>
          <w:rFonts w:ascii="Arial" w:cs="Arial" w:eastAsia="Arial" w:hAnsi="Arial"/>
          <w:sz w:val="16"/>
          <w:szCs w:val="16"/>
          <w:color w:val="333333"/>
        </w:rPr>
        <w:t xml:space="preserve"> </w:t>
      </w:r>
      <w:r>
        <w:rPr>
          <w:rFonts w:ascii="Arial" w:cs="Arial" w:eastAsia="Arial" w:hAnsi="Arial"/>
          <w:sz w:val="16"/>
          <w:szCs w:val="16"/>
          <w:color w:val="000000"/>
        </w:rPr>
        <w:t>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described in Management’s Annual Report on Internal Control Over Financial Reporting, management has excluded Armada Skilled Homecare of New Mexico LLC, Armada Hospice of New Mexico LLC and Armada Hospice of Santa Fe LLC (collectively, “Armada”) and Summit Home Health, LLC (“Summit”) from its assessment of internal control over financial reporting as of December 31, 2021, because they were acquired by the Company in purchase business combinations during 2021. We have also excluded Armada and Summit from our audit of internal control over financial reporting. Armada and Summit are wholly-owned subsidiaries whose total revenues and total operating income excluded from management’s assessment and our audit of internal control over financial reporting represent approximately 0.5% and 0.2% of total revenues, respectively and approximately 2.0% and 0.0%, of total operating income, respectively, of the related consolidated financial statement amounts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Net of Allowances for Implicit Price Concessions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 1 to the consolidated financial statements, net service revenue is recognized at the amount that reflects the consideration the Company expects to receive in exchange for providing services directly to consumers. Amounts collected may be less than amounts billed due to implicit price concessions, resulting from client eligibility issues, insufficient or incomplete documentation, services at levels other than authorized, pricing differences and other reasons unrelated to credit risk.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The evaluation of these historical and other factors involves complex, subjective judgments. Accounts receivable, net of allowances for implicit price concessions (before the allowance for doubtful accounts), were $138.4 million as of December 31, 2021.</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accounts receivable, net of allowances for implicit price concessions is a critical audit matter are (i) the significant judgment by management when developing the estimate of the valuation of accounts receivable, net of allowances for implicit price concessions and (ii) a high degree of auditor judgement, subjectivity, and effort in performing procedures and evaluating the audit evidence obtained related to the estimate.</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valuation of accounts receivable, net of implicit price concessions, including controls over the allowance for implicit price concessions. These procedures also included, among others, (i) testing management’s process for developing the estimate of accounts receivable, net of allowances for implicit price concessions, (ii) evaluating the relevance and use of historical experience data as an input into the estimate, (iii) testing the completeness and accuracy of underlying historical collection data used in the estimate, (iv) testing, on a sample basis, the accuracy of revenue transactions and cash collections from the billing and collection data used in management’s estimate, (v) evaluating the historical accuracy of management’s estimate of the amount expected to be collected by comparing actual cash collections to the related accounts receivable, and (vi) performing a retrospective comparison of actual cash collected subsequent to year-end to evaluate the reasonableness of the prior year estimate.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Hospice Reporting Unit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described in Notes 1 and 6 to the consolidated financial statements, the Company’s goodwill balance was $504.4 million as of December 31, 2021, and the goodwill associated with the hospice reporting unit was $328.3 million. Management tests goodwill for impairment at the reporting unit level on an annual basis, as of October 1, or whenever potential impairment triggers occur, such as a significant change in business climate or regulatory changes that would indicate that an impairment may have occurred. The goodwill impairment test involves comparing the fair value of a reporting unit with its carrying value, including goodwill. Since quoted market prices for the Company’s reporting units are not available, management relies on widely accepted valuation techniques to determine fair value, including the discounted cash flow approach. Under the discounted cash flow model, the projection uses management’s best estimates of economic and market conditions over the projected period for each reporting unit using significant assumptions such as revenue growth rates and the weighted-average cost of capital.</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hospice reporting unit is a critical audit matter are (i) the significant judgment by management when developing the fair value of the hospice reporting unit; (ii) a high degree of auditor judgment, subjectivity, and effort in performing procedures and evaluating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significant assumptions related to the revenue growth rates and the weighted-average cost of capital; and (iii) the audit effort involved the use of professionals with specialized skill and knowledge.</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hospice reporting unit. These procedures also included, among others (i) testing management’s process for developing the fair value of the hospice reporting unit; (ii) evaluating the appropriateness of the discounted cash flow model; (iii) testing the completeness and accuracy of underlying data used in the discounted cash flow model; and (iv) evaluating the reasonableness of the significant assumptions used by management related to the revenue growth rates and the weighted-average cost of capital. Evaluating management’s assumptions related to the revenue growth rates involved evaluating whether the assumptions used by management were reasonable considering (i) the current and past performance of the hospice reporting unit;</w:t>
      </w:r>
    </w:p>
    <w:p>
      <w:pPr>
        <w:spacing w:after="0" w:line="2" w:lineRule="exact"/>
        <w:rPr>
          <w:sz w:val="20"/>
          <w:szCs w:val="20"/>
          <w:color w:val="auto"/>
        </w:rPr>
      </w:pPr>
    </w:p>
    <w:p>
      <w:pPr>
        <w:ind w:right="20" w:firstLine="8"/>
        <w:spacing w:after="0" w:line="255"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discounted cash flow model and the reasonableness of the weighted-average cost of capital significant assumption.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168,895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136,955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132,650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324,341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504,392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64,321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604,761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585,136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947,585</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Government stimulus advances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117,689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220,912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255,552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373,241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373,906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15,940 and 15,826 shares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December 31, 2021 and 2020, respectively</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380,037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369,495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194,291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574,344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518,676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947,585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169,679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discontinued operations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income per share</w:t>
            </w:r>
          </w:p>
        </w:tc>
        <w:tc>
          <w:tcPr>
            <w:tcW w:w="6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income per share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Diluted income per share</w:t>
            </w:r>
          </w:p>
        </w:tc>
        <w:tc>
          <w:tcPr>
            <w:tcW w:w="6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Weighted average number of common shares and potential common shares</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0" w:type="dxa"/>
            <w:vAlign w:val="bottom"/>
            <w:gridSpan w:val="3"/>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90,795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268,491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Shares issued in secondary offering, net of offering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15,617</w:t>
            </w:r>
          </w:p>
        </w:tc>
        <w:tc>
          <w:tcPr>
            <w:tcW w:w="2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359,545</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15,826</w:t>
            </w:r>
          </w:p>
        </w:tc>
        <w:tc>
          <w:tcPr>
            <w:tcW w:w="2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369,495</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15,940</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380,037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For the Years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45,126</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33,133</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 net of acquisitions: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(4,652)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 under the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sale and/or impairment of assets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 net of acquisitions: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(37,478)</w:t>
            </w: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(1,973)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Government stimulus advances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(27,914)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payroll</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(4,060)</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109,411</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12,019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businesses, net of cash acquired</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(37,370)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(207,660)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(184,076)</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Proceeds on disposal of businesses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(4,645)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(6,831)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(214,236)</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(188,697)</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net of issuance costs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revolver —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Borrowings on term loan — credit facility</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term loan —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(18,130)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Payments on financing lease obligations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debt issuance costs under the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received from exercise of stock options</w:t>
            </w: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6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138,189</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color w:val="auto"/>
              </w:rPr>
              <w:t>Net change in cash</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33,364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at beginning of period</w:t>
            </w:r>
          </w:p>
        </w:tc>
        <w:tc>
          <w:tcPr>
            <w:tcW w:w="6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145,078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111,714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6"/>
                <w:szCs w:val="16"/>
                <w:color w:val="auto"/>
              </w:rPr>
              <w:t>Cash, at end of period</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168,895</w:t>
            </w:r>
          </w:p>
        </w:tc>
        <w:tc>
          <w:tcPr>
            <w:tcW w:w="14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145,078</w:t>
            </w:r>
          </w:p>
        </w:tc>
        <w:tc>
          <w:tcPr>
            <w:tcW w:w="24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111,714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5,094</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2,365</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Leasehold improvements acquired through tenant allowances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60"/>
              <w:spacing w:after="0"/>
              <w:rPr>
                <w:sz w:val="20"/>
                <w:szCs w:val="20"/>
                <w:color w:val="auto"/>
              </w:rPr>
            </w:pPr>
            <w:r>
              <w:rPr>
                <w:rFonts w:ascii="Arial" w:cs="Arial" w:eastAsia="Arial" w:hAnsi="Arial"/>
                <w:sz w:val="16"/>
                <w:szCs w:val="16"/>
                <w:color w:val="auto"/>
              </w:rPr>
              <w:t>Tax benefit related to the amortization of tax goodwill in excess of book basis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Consolidated Financial Statements include the accounts of Addus HomeCare Corporation (“Holdings”) and its subsidiaries (together with Holdings, the “Company,” “we,” “us,” or “our”). The Company operates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 clients include federal, state and local governmental agencies, managed care organizations, commercial insurers and private individuals.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2013, the Company sold substantially all of the assets used in its then home health business (the “2013 Home Health Business”) in Arkansas, Nevada and South Carolina, and 90% of the 2013 Home Health Business in California and Illinois. Effective October 1, 2017, the Company sold its remaining 10% ownership interest in the 2013 Home Health Business in California and Illinois. The results of the 2013 Home Health Business are reflected as discontinued operations. For the year ended December 31, 2019, in connection with a 2013 Home Health Business litigation settlement, the Company recognized an expense of $0.6 million. The lawsuit was dismissed in full on October 15, 2019.</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the Company participates are complex and subject to interpretation. Net service revenues related to uninsured accounts, or self-pay, is recorded net of implicit price concessions estimated based on historical collection experience to reduce revenue to the estimated amount the Company expects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The Company monitors our net service revenues and collections from these sources and records any necessary adjustment to net service revenues based upon management’s assessment of historical write offs and expected net collections, business and economic conditions, trends in federal, state and private employer health care coverage and other collection indicators.</w:t>
      </w:r>
    </w:p>
    <w:p>
      <w:pPr>
        <w:spacing w:after="0" w:line="172"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The initial estimate of net service revenues is determined by reducing the standard charge by any contractual adjustments, discounts and implicit price concessions. Subsequent changes to the estimate of net service revenues are generally recorded in the period of the change. Changes in estimates of implicit price concessions, discounts and contractual adjustments recognized during the year ended December 31, 2021 for performance obligations satisfied in years prior to 2021 resulted in an increase to net service revenue of approximately $5.7 million. Changes in estimates of implicit price concessions, discounts and contractual adjustments recognized during the year ended December 31, 2020 for performance obligations satisfied in years prior to 2020 resulted in an increase to net service revenue of approximately $4.3 million. Subsequent changes that are determined to be the result of an adverse change in the patient’s ability to pay are recorded as bad debt expense.</w:t>
      </w: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majority of the Company’s net service revenues are generated from providing personal care services directly to consumers under contracts with state, local and other governmental agencies, managed care organizations, commercial insurers and private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Hospice Revenue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generates net service revenues from providing hospice services to consumers who are terminally ill as well as related services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federal fiscal year 2022, the aggregate cap is $31,297.61. For the years ended December 31, 2021 and 2020, the Company recorded a liability of $0.3 million and $1.8 million related to the Medicare aggregate cap limit.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Home Health Revenue</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were paid under the Medicare Home Health Prospective Payment System (“HHPPS”), for the years ended December 31, 2021 and 2020, which are based on 30-day periods of care as a unit of service. The HHPPS permits multiple, continuous periods per patient. Medicare payment rates for periods under HHPPS are determined through use of a case-mix classification system, the Patient-Driven Groupings Model (“PDGM”), which assigns patients to resource groups based on a patient’s clinical characteristics.</w:t>
      </w:r>
    </w:p>
    <w:p>
      <w:pPr>
        <w:spacing w:after="0" w:line="1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elects to use the same 30-day periods that Medicare recognizes as standard but accelerates revenue upon discharge to align with a patient’s episode length if less than the expected 30 days, which depicts the transfer of services and related benefits received by the patient over the term of the contract necessary to satisfy the obligations. The Company recognizes revenue based on the number of days elapsed during a period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the Company expects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the Company compares its cash collections to recorded net service revenues and evaluates its historical allowance, including implicit price concessions, based upon the ultimate resolution of the accounts receivable balance.</w:t>
      </w:r>
    </w:p>
    <w:p>
      <w:pPr>
        <w:spacing w:after="0" w:line="178"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Subsequent adjustments to accounts receivable determined to be the result of an adverse change in the payor’s ability to pay are recognized as provision for doubtful accounts. The majority of what historically was classified as provision for doubtful accounts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 uncollectible amount is written off to the allowance account after reasonable collection efforts have been exhausted. As of December 31, 2021 and 2020, the allowance for doubtful accounts balance was $1.4 million and $1.0 million, respectively, which is included in accounts receivable, net of allowances on the Company’s Consolidated Balance Sheets.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1380" w:type="dxa"/>
            <w:vAlign w:val="bottom"/>
            <w:gridSpan w:val="2"/>
            <w:vMerge w:val="continue"/>
          </w:tcPr>
          <w:p>
            <w:pPr>
              <w:spacing w:after="0"/>
              <w:rPr>
                <w:sz w:val="12"/>
                <w:szCs w:val="12"/>
                <w:color w:val="auto"/>
              </w:rPr>
            </w:pPr>
          </w:p>
        </w:tc>
        <w:tc>
          <w:tcPr>
            <w:tcW w:w="11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 xml:space="preserve">Deductions </w:t>
            </w: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period</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charges</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7"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4"/>
          <w:szCs w:val="14"/>
          <w:color w:val="auto"/>
        </w:rPr>
        <w:t>Write-offs, net of recoveries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years</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590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Computer software</w:t>
            </w:r>
          </w:p>
        </w:tc>
        <w:tc>
          <w:tcPr>
            <w:tcW w:w="590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Lesser of useful life or lease term</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Company recognizes a lease liability and a right-of-use (“ROU”) asset for all leases, including operating leases, with a term greater than twelve months on the balance sheet. We have historically entered into operating leases for local branches, our corporate headquarters and certain equipment. The Company’s current leases have expiration dates through 2031.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Renewal options generally are not considered in determining the lease term, and payments associated with the option years are excluded from lease payments unless we are reasonably certain to exercise the renewal option.</w:t>
      </w:r>
    </w:p>
    <w:p>
      <w:pPr>
        <w:spacing w:after="0" w:line="164"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The operating lease liabilities are calculated using the present value of lease payments. If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Operating lease assets are valued based on the initial operating lease liabilities plus any prepaid rent, reduced by tenant improvement allowances. Operating lease assets are tested for impairment in the same manner as our long-lived assets. For the year ended December 31, 2021 or 2019, the Company did not record material impairment charges on operating lease assets. For the year ended December 31, 2020, the Company sublet certain support center office space and incurred an impairment charge of approximately $1.0 million in operating lease assets, included within general and administrative expenses. See Note 2 for additional information related to leases.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82"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 xml:space="preserve">As of December 31, 2021 and 2020, goodwill was $504.4 million and $469.1 million, respectively, included on the Company’s Consolidated Balance Sheets. The Company’s carrying value of goodwill is the excess of the purchase price over the fair value of the net assets acquired from various acquisitions. In accordance with Accounting Standards Codification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The Company may also bypass the qualitative assessment and perform a quantitative test. Additionally, it is the Company’s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w:t>
      </w:r>
    </w:p>
    <w:p>
      <w:pPr>
        <w:spacing w:after="0" w:line="168" w:lineRule="exact"/>
        <w:rPr>
          <w:sz w:val="20"/>
          <w:szCs w:val="20"/>
          <w:color w:val="auto"/>
        </w:rPr>
      </w:pPr>
    </w:p>
    <w:p>
      <w:pPr>
        <w:ind w:right="120" w:firstLine="478"/>
        <w:spacing w:after="0" w:line="289" w:lineRule="auto"/>
        <w:rPr>
          <w:sz w:val="20"/>
          <w:szCs w:val="20"/>
          <w:color w:val="auto"/>
        </w:rPr>
      </w:pPr>
      <w:r>
        <w:rPr>
          <w:rFonts w:ascii="Arial" w:cs="Arial" w:eastAsia="Arial" w:hAnsi="Arial"/>
          <w:sz w:val="16"/>
          <w:szCs w:val="16"/>
          <w:color w:val="auto"/>
        </w:rPr>
        <w:t>For the years ended December 31, 2021, 2020 and 2019, the Company performed the quantitative analysis to evaluate whether an impairment occurred. Since quoted market prices for our reporting units are not available, the Company relies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and the weighted-average cost of capital.</w:t>
      </w:r>
    </w:p>
    <w:p>
      <w:pPr>
        <w:spacing w:after="0" w:line="166"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Based on the totality of the information available, the Company concluded that it was more likely than not that the estimated fair values of our reporting units were greater than their carrying values. Consequently, the Company concluded that there were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impairments for the years ended December 31, 2021, 2020 or 2019. For the fiscal year 2021 impairment tests, the fair value of the reporting units exceeded their respective carrying values (commonly referred to as “headroom”) by at least 100% in the personal care and home health reporting units, and by 20% in the hospice reporting unit. The headroom percentage for the hospice reporting unit decreased as compared to the prior year primarily due to prior acquisitions increasing the carrying value combined with a decline in estimates to average daily census and an increase in estimates for labor costs both driven by the impact of the COVID-19 pandemic, resulting in lower discounted cash flows compared to 2020. We performed a sensitivity analysis on this reporting unit and determined that a more than 1.5% increase to the weighted- average cost of capital, the most sensitive assumption used in the estimate, would result in the fair value being lower than the carrying value. The Company bases its fair value estimates on assumptions management believes to be reasonable but which are unpredictable and inherently uncertain. Actual future results may differ from those estimates.</w:t>
      </w:r>
    </w:p>
    <w:p>
      <w:pPr>
        <w:spacing w:after="0" w:line="16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As of December 31, 2021 and 2020, intangibles, net of accumulated amortization, was $64.3 million and $71.5 million, respectively, included on the Company’s Consolidated Balance Sheets. The Company’s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The Company would recognize an impairment loss when the estimated future non-discounted cash flows associated with the intangible asset are less than the carrying value. An impairment charge would then be recorded for the excess of the carrying value over the fair value. The Company estimates the fair value of these intangible assets using the income approach.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2021, 2020 or 2019. Amortization of intangible assets is reported in the statement of income caption, “Depreciation and amortization” and not included in the income statement caption cost of service revenues.</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 xml:space="preserve">The Company amortizes debt issuance costs on a straight-line method over the term of the related debt. This method approximates the effective interest method. In accordance with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has classified the debt issuance costs as a direct deduction from the carrying amount of the related liability.</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The future claims payments related to the workers’ compensation program are secured by letters of credit. These letters of credit totaled $8.2 million and $9.0 million at December 31, 2021 and 2020, respectively. The Company monitors its claims quarterly and adjusts its reserves as necessary in the current period. These costs are recorded primarily as the cost of services on the Consolidated Statements of Income. As of December 31, 2021 and 2020, the Company recorded $13.0 million and $13.8 million, respectively, in accrued workers’ compensation insurance on the Company’s Consolidated Balance Sheets. As of December 31, 2021 and 2020, the Company recorded $1.6 million and $1.9 million, respectively, in workers’ compensation insurance receivables. The workers’ compensation insurance receivable is included in prepaid expenses and other current assets on the Company’s Consolidated Balance Sheets.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interest and unused credit line fees on the credit facility.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 xml:space="preserve">The Company accounts for income taxes under the provisions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 of accounting for income taxes is to recognize the amount of taxes payable or refundable for the current year and deferred tax assets and liabilities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assets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and disclosure requirements for uncertain tax positions. The Company recognizes interest and penalties accrued related to uncertain tax positions in interest expense and penalties within operating expenses on the Consolidated Statements of Income. Uncertain tax positions are immaterial for all periods presented.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 xml:space="preserve">The Company currently has one stock incentive plan, the 2017 Omnibus Incentive Plan (the “2017 Plan”), under which new grants of stock-based employee compensation are made. The Company accounts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Compensation expense is recognized on a straight-line basis under the 2017 Plan over the vesting period of the equity awards based on the grant date fair value of the options and restricted stock awards. The Company utilizes the Black-Scholes Option Pricing Model to value the Company’s options. Forfeitures are recognized when they occur. Stock-based compensation expense was $9.4 million, $6.0 million and $5.8 million for the years ended December 31, 2021, 2020 and 2019, respectively, included within general and administrative expenses on the Consolidated Statements of Income.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2021 were approximately 493,000 stock options outstanding, of which approximately 282,000 were dilutive. In addition, there were approximately 159,000 restricted stock awards outstanding, of which approximately 44,000 were dilutive for the year ended December 31, 2021.</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2020 were approximately 506,000 stock options outstanding, of which approximately 304,000 were dilutive. In addition, there were approximately 154,000 restricted stock awards outstanding, of which approximately 57,000 were dilutive for the year ended December 31, 2020.</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2019 were approximately 648,000 stock options outstanding, of which approximately 346,000 were dilutive. In addition, there were approximately 149,000 restricted stock awards outstanding, of which approximately 86,000 were dilutive for the year ended December 31, 2019.</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7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8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connection with the preparation of the financial statements for the years ended December 31, 2021 and 2020,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cash flows are sufficient for the next year and there did not appear to be evidence of substantial doubt of the entity’s ability to continue as a going concern.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simplifies various aspects related to accounting for income taxes and removes certain exceptions to the general guidance in ASC 740. In addition, the ASU clarifies and amends existing guidance to improve consistent application of its requirements. The ASU was adopted as of January 1, 2021 and did not have an impact on the Company’s results of operations or liquidity.</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ASU 2021-10 requires entities to disclose certain information about the nature of certain governmental assistance received, including the nature of the transaction and the related accounting policy, the financial statement line items impacted by the assistance, as well as the significant terms and conditions of the transactions. This standard is effective for annual reporting periods beginning after December 15, 2021, with early adoption permitted. The adoption on 2021-10 is not expected to have a material impact on the Company’s results of operations or liquidity.</w:t>
      </w:r>
    </w:p>
    <w:p>
      <w:pPr>
        <w:spacing w:after="0" w:line="17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On July 30, 2021, the Company entered into a Second Amendment (the “Second Amendment”) to its Credit Agreement as discussed further in Note 8.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reported on the Company’s Consolidated Balance Sheets for operating leases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8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484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7"/>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37,991</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9,774</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4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35,516</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40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42,633</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12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3500" w:type="dxa"/>
            <w:vAlign w:val="bottom"/>
            <w:gridSpan w:val="2"/>
          </w:tcPr>
          <w:p>
            <w:pPr>
              <w:jc w:val="right"/>
              <w:ind w:right="2467"/>
              <w:spacing w:after="0"/>
              <w:rPr>
                <w:sz w:val="20"/>
                <w:szCs w:val="20"/>
                <w:color w:val="auto"/>
              </w:rPr>
            </w:pPr>
            <w:r>
              <w:rPr>
                <w:rFonts w:ascii="Arial" w:cs="Arial" w:eastAsia="Arial" w:hAnsi="Arial"/>
                <w:sz w:val="18"/>
                <w:szCs w:val="18"/>
                <w:color w:val="auto"/>
              </w:rPr>
              <w:t>F-15</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lease costs were reported in general and administrative expenses in the Company’s Consolidated Statements of Income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20" w:type="dxa"/>
            <w:vAlign w:val="bottom"/>
            <w:gridSpan w:val="7"/>
          </w:tcPr>
          <w:p>
            <w:pPr>
              <w:jc w:val="right"/>
              <w:ind w:right="167"/>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4"/>
              </w:rPr>
              <w:t>(Amounts in Thousands)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11,150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7,219</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21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2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11,889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Less: sublease income</w:t>
            </w: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(679)</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costs, net</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terms and discount rates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w w:val="85"/>
              </w:rPr>
              <w:t>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w w:val="85"/>
              </w:rPr>
              <w:t>3.42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ind w:left="860"/>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ind w:left="860"/>
              <w:spacing w:after="0"/>
              <w:rPr>
                <w:sz w:val="20"/>
                <w:szCs w:val="20"/>
                <w:color w:val="auto"/>
              </w:rPr>
            </w:pPr>
            <w:r>
              <w:rPr>
                <w:rFonts w:ascii="Arial" w:cs="Arial" w:eastAsia="Arial" w:hAnsi="Arial"/>
                <w:sz w:val="18"/>
                <w:szCs w:val="18"/>
                <w:color w:val="auto"/>
                <w:w w:val="93"/>
              </w:rPr>
              <w:t>5.14%</w:t>
            </w:r>
          </w:p>
        </w:tc>
        <w:tc>
          <w:tcPr>
            <w:tcW w:w="0" w:type="dxa"/>
            <w:vAlign w:val="bottom"/>
          </w:tcPr>
          <w:p>
            <w:pPr>
              <w:spacing w:after="0"/>
              <w:rPr>
                <w:sz w:val="1"/>
                <w:szCs w:val="1"/>
                <w:color w:val="auto"/>
              </w:rPr>
            </w:pPr>
          </w:p>
        </w:tc>
      </w:tr>
      <w:tr>
        <w:trPr>
          <w:trHeight w:val="581"/>
        </w:trPr>
        <w:tc>
          <w:tcPr>
            <w:tcW w:w="59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3"/>
          </w:tcPr>
          <w:p>
            <w:pPr>
              <w:ind w:left="520"/>
              <w:spacing w:after="0"/>
              <w:rPr>
                <w:sz w:val="20"/>
                <w:szCs w:val="20"/>
                <w:color w:val="auto"/>
              </w:rPr>
            </w:pPr>
            <w:r>
              <w:rPr>
                <w:rFonts w:ascii="Arial" w:cs="Arial" w:eastAsia="Arial" w:hAnsi="Arial"/>
                <w:sz w:val="18"/>
                <w:szCs w:val="18"/>
                <w:color w:val="auto"/>
              </w:rPr>
              <w:t>Remaining operating lease payments as of December 31, 2021 were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3"/>
              </w:rPr>
              <w:t>Operating Leases</w:t>
            </w:r>
          </w:p>
        </w:tc>
        <w:tc>
          <w:tcPr>
            <w:tcW w:w="0" w:type="dxa"/>
            <w:vAlign w:val="bottom"/>
          </w:tcPr>
          <w:p>
            <w:pPr>
              <w:spacing w:after="0"/>
              <w:rPr>
                <w:sz w:val="1"/>
                <w:szCs w:val="1"/>
                <w:color w:val="auto"/>
              </w:rPr>
            </w:pPr>
          </w:p>
        </w:tc>
      </w:tr>
      <w:tr>
        <w:trPr>
          <w:trHeight w:val="155"/>
        </w:trPr>
        <w:tc>
          <w:tcPr>
            <w:tcW w:w="59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980" w:type="dxa"/>
            <w:vAlign w:val="bottom"/>
            <w:tcBorders>
              <w:top w:val="single" w:sz="8" w:color="auto"/>
              <w:bottom w:val="single" w:sz="8" w:color="auto"/>
            </w:tcBorders>
            <w:gridSpan w:val="7"/>
          </w:tcPr>
          <w:p>
            <w:pPr>
              <w:jc w:val="right"/>
              <w:ind w:right="380"/>
              <w:spacing w:after="0" w:line="155" w:lineRule="exact"/>
              <w:rPr>
                <w:sz w:val="20"/>
                <w:szCs w:val="20"/>
                <w:color w:val="auto"/>
              </w:rPr>
            </w:pPr>
            <w:r>
              <w:rPr>
                <w:rFonts w:ascii="Arial" w:cs="Arial" w:eastAsia="Arial" w:hAnsi="Arial"/>
                <w:sz w:val="14"/>
                <w:szCs w:val="14"/>
                <w:b w:val="1"/>
                <w:bCs w:val="1"/>
                <w:color w:val="auto"/>
                <w:w w:val="95"/>
              </w:rPr>
              <w:t>(Amounts in Thousands)</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Due in 12-month period ended December 31,</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future minimum rental commitments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auto"/>
                <w:w w:val="93"/>
              </w:rPr>
              <w:t>For the Years Ended December 31,</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11,288</w:t>
            </w:r>
          </w:p>
        </w:tc>
        <w:tc>
          <w:tcPr>
            <w:tcW w:w="160" w:type="dxa"/>
            <w:vAlign w:val="bottom"/>
          </w:tcPr>
          <w:p>
            <w:pPr>
              <w:spacing w:after="0"/>
              <w:rPr>
                <w:sz w:val="19"/>
                <w:szCs w:val="19"/>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8,769</w:t>
            </w:r>
          </w:p>
        </w:tc>
        <w:tc>
          <w:tcPr>
            <w:tcW w:w="140" w:type="dxa"/>
            <w:vAlign w:val="bottom"/>
          </w:tcPr>
          <w:p>
            <w:pPr>
              <w:spacing w:after="0"/>
              <w:rPr>
                <w:sz w:val="19"/>
                <w:szCs w:val="19"/>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1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7,705</w:t>
            </w:r>
          </w:p>
        </w:tc>
        <w:tc>
          <w:tcPr>
            <w:tcW w:w="160" w:type="dxa"/>
            <w:vAlign w:val="bottom"/>
          </w:tcPr>
          <w:p>
            <w:pPr>
              <w:spacing w:after="0"/>
              <w:rPr>
                <w:sz w:val="20"/>
                <w:szCs w:val="20"/>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25,807</w:t>
            </w:r>
          </w:p>
        </w:tc>
        <w:tc>
          <w:tcPr>
            <w:tcW w:w="140" w:type="dxa"/>
            <w:vAlign w:val="bottom"/>
          </w:tcPr>
          <w:p>
            <w:pPr>
              <w:spacing w:after="0"/>
              <w:rPr>
                <w:sz w:val="20"/>
                <w:szCs w:val="20"/>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10,299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Public Offering</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September 9, 2019, the Company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The Company received net proceeds of approximately $172.9 million, after deducting underwriting discounts and estimated offering expenses of approximately $9.9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million. The Company used approximately $130.0 million from the net proceeds of the Public Offering to fund the purchase price for the Company’s acquisition of Hospice Partners of America, LLC (“Hospice Partners”), on October 1, 2019 and used the remaining net proceeds of the Public Offering for general corporate purposes, and to fund, in part, 2020 acquisitions. The Public Offering resulted in an increase to additional paid in capital of approximately $172.9 million on the Company’s Consolidated Balance Sheets at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Consolidated Statements of Income from the date of the acquisition.</w:t>
      </w:r>
    </w:p>
    <w:p>
      <w:pPr>
        <w:spacing w:after="0" w:line="18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Armada Skilled Homecare</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The purchase of Armada was funded with the Company’s revolving credit facility. With the purchase of Armada, the Company expanded its home health and hospice services in the state of New Mexico. The related acquisition and integration costs were $0.4 million and $0.5 million, respectively, for the year ended December 31, 2021. These costs were included in general and administrative expenses on the Consolidated Statements of Income and were expensed as incurred.</w:t>
      </w:r>
    </w:p>
    <w:p>
      <w:pPr>
        <w:spacing w:after="0" w:line="178"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tbl>
      <w:tblPr>
        <w:tblLayout w:type="fixed"/>
        <w:tblInd w:w="0" w:type="dxa"/>
        <w:tblCellMar>
          <w:top w:w="0" w:type="dxa"/>
          <w:left w:w="0" w:type="dxa"/>
          <w:bottom w:w="0" w:type="dxa"/>
          <w:right w:w="0" w:type="dxa"/>
        </w:tblCellMar>
      </w:tblPr>
      <w:tr>
        <w:trPr>
          <w:trHeight w:val="141"/>
        </w:trPr>
        <w:tc>
          <w:tcPr>
            <w:tcW w:w="43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ind w:left="417"/>
              <w:spacing w:after="0" w:line="141" w:lineRule="exact"/>
              <w:rPr>
                <w:sz w:val="20"/>
                <w:szCs w:val="20"/>
                <w:color w:val="auto"/>
              </w:rPr>
            </w:pPr>
            <w:r>
              <w:rPr>
                <w:rFonts w:ascii="Arial" w:cs="Arial" w:eastAsia="Arial" w:hAnsi="Arial"/>
                <w:sz w:val="14"/>
                <w:szCs w:val="14"/>
                <w:b w:val="1"/>
                <w:bCs w:val="1"/>
                <w:color w:val="auto"/>
                <w:w w:val="95"/>
              </w:rPr>
              <w:t>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ind w:left="417"/>
              <w:spacing w:after="0" w:line="149" w:lineRule="exact"/>
              <w:rPr>
                <w:sz w:val="20"/>
                <w:szCs w:val="20"/>
                <w:color w:val="auto"/>
              </w:rPr>
            </w:pPr>
            <w:r>
              <w:rPr>
                <w:rFonts w:ascii="Arial" w:cs="Arial" w:eastAsia="Arial" w:hAnsi="Arial"/>
                <w:sz w:val="14"/>
                <w:szCs w:val="14"/>
                <w:b w:val="1"/>
                <w:bCs w:val="1"/>
                <w:color w:val="auto"/>
                <w:w w:val="93"/>
              </w:rPr>
              <w:t>(Amounts in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300" w:type="dxa"/>
            <w:vAlign w:val="bottom"/>
            <w:tcBorders>
              <w:bottom w:val="single" w:sz="8" w:color="CFF0FC"/>
            </w:tcBorders>
          </w:tcPr>
          <w:p>
            <w:pPr>
              <w:spacing w:after="0"/>
              <w:rPr>
                <w:sz w:val="14"/>
                <w:szCs w:val="14"/>
                <w:color w:val="auto"/>
              </w:rPr>
            </w:pPr>
          </w:p>
        </w:tc>
        <w:tc>
          <w:tcPr>
            <w:tcW w:w="49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ind w:left="417"/>
              <w:spacing w:after="0"/>
              <w:rPr>
                <w:sz w:val="20"/>
                <w:szCs w:val="20"/>
                <w:color w:val="auto"/>
              </w:rPr>
            </w:pPr>
            <w:r>
              <w:rPr>
                <w:rFonts w:ascii="Arial" w:cs="Arial" w:eastAsia="Arial" w:hAnsi="Arial"/>
                <w:sz w:val="14"/>
                <w:szCs w:val="14"/>
                <w:b w:val="1"/>
                <w:bCs w:val="1"/>
                <w:color w:val="auto"/>
                <w:w w:val="90"/>
              </w:rPr>
              <w:t>Thousands)</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980" w:type="dxa"/>
            <w:vAlign w:val="bottom"/>
            <w:gridSpan w:val="2"/>
            <w:shd w:val="clear" w:color="auto" w:fill="CFF0FC"/>
          </w:tcPr>
          <w:p>
            <w:pPr>
              <w:spacing w:after="0"/>
              <w:rPr>
                <w:sz w:val="19"/>
                <w:szCs w:val="19"/>
                <w:color w:val="auto"/>
              </w:rPr>
            </w:pPr>
          </w:p>
        </w:tc>
        <w:tc>
          <w:tcPr>
            <w:tcW w:w="1320" w:type="dxa"/>
            <w:vAlign w:val="bottom"/>
            <w:shd w:val="clear" w:color="auto" w:fill="CFF0FC"/>
          </w:tcPr>
          <w:p>
            <w:pPr>
              <w:jc w:val="right"/>
              <w:ind w:right="119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28,438</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4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Accounts payable</w:t>
            </w:r>
          </w:p>
        </w:tc>
        <w:tc>
          <w:tcPr>
            <w:tcW w:w="4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4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(359)</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purchase price</w:t>
            </w:r>
          </w:p>
        </w:tc>
        <w:tc>
          <w:tcPr>
            <w:tcW w:w="4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97"/>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29,791</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4300" w:type="dxa"/>
            <w:vAlign w:val="bottom"/>
          </w:tcPr>
          <w:p>
            <w:pPr>
              <w:ind w:left="520"/>
              <w:spacing w:after="0"/>
              <w:rPr>
                <w:sz w:val="20"/>
                <w:szCs w:val="20"/>
                <w:color w:val="auto"/>
              </w:rPr>
            </w:pPr>
            <w:r>
              <w:rPr>
                <w:rFonts w:ascii="Arial" w:cs="Arial" w:eastAsia="Arial" w:hAnsi="Arial"/>
                <w:sz w:val="18"/>
                <w:szCs w:val="18"/>
                <w:color w:val="auto"/>
                <w:w w:val="91"/>
              </w:rPr>
              <w:t>Identifiable intangible assets acquired included $0.6</w:t>
            </w:r>
          </w:p>
        </w:tc>
        <w:tc>
          <w:tcPr>
            <w:tcW w:w="6300" w:type="dxa"/>
            <w:vAlign w:val="bottom"/>
            <w:gridSpan w:val="3"/>
          </w:tcPr>
          <w:p>
            <w:pPr>
              <w:jc w:val="right"/>
              <w:ind w:right="157"/>
              <w:spacing w:after="0"/>
              <w:rPr>
                <w:sz w:val="20"/>
                <w:szCs w:val="20"/>
                <w:color w:val="auto"/>
              </w:rPr>
            </w:pPr>
            <w:r>
              <w:rPr>
                <w:rFonts w:ascii="Arial" w:cs="Arial" w:eastAsia="Arial" w:hAnsi="Arial"/>
                <w:sz w:val="18"/>
                <w:szCs w:val="18"/>
                <w:color w:val="auto"/>
                <w:w w:val="92"/>
              </w:rPr>
              <w:t>million of non-competition agreements with estimated useful lives of five years and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ind w:right="80"/>
        <w:spacing w:after="0" w:line="253" w:lineRule="auto"/>
        <w:rPr>
          <w:sz w:val="20"/>
          <w:szCs w:val="20"/>
          <w:color w:val="auto"/>
        </w:rPr>
      </w:pPr>
      <w:r>
        <w:rPr>
          <w:rFonts w:ascii="Arial" w:cs="Arial" w:eastAsia="Arial" w:hAnsi="Arial"/>
          <w:sz w:val="18"/>
          <w:szCs w:val="18"/>
          <w:color w:val="auto"/>
        </w:rPr>
        <w:t>$0.4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Armada acquisition accounted for $4.0 million of net service revenues and $1.3 million of operating income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Queen City Hospice</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acquisition costs were $1.8 million for the year ended December 31, 2020. For the year ended December 31, 2021, integration costs were $2.2 million. These costs were included in general and administrative expenses on the Consolidated Statements of Income and were expensed as incurred.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Government stimulus advances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(12,694)</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(2,765)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Identifiable intangible assets acquired included $11.0 million in trade names, $1.5 million of non-competition agreements with estimated useful lives of fifteen years and five years, respectively, and $7.5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County Homemakers</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November 1, 2020, we completed the acquisition of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integration and acquisition costs were $0.2 million and $0.3 million for the year ended December 31, 2020, respectively. These costs were included in general and administrative expenses on the Consolidated Statements of Income and were expensed as incurred.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 Montana. The related acquisition and integration costs were $0.4 million and $0.3 million, respectively, for the year ended December 31, 2020. These costs were included in general and administrative expenses on the Consolidated Statements of Income and were expensed as incurred.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Identifiable intangible assets acquired included $1.4 million in trade names with an estimated useful life of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Hospice Partners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On October 1, 2019, the Company completed the acquisition of the assets of Hospice Partners of America, LLC (“Hospice Partners”). The purchase price was approximately $135.6 million, including the amount of acquired excess cash held by Hospice Partners at the closing of the acquisition (approximately $5.5 million). The purchase of Hospice Partners was funded through a portion of the net proceeds of our public offering of an aggregate 2,300,000 shares of common stock, par value $0.001 per share, including 300,000 shares of common stock sold pursuant to the exercise in full by the underwriters of their option to purchase additional shares at a public offering price of $79.50 per share, which the Company completed on September 9, 2019 (the “Public Offering”). With the purchase of Hospice Partners, we expanded our hospice operations through 21 locations in Idaho, Kansas, Missouri, Oregon, Texas and Virginia. The related acquisition costs were $1.6 million for the year ended December 31, 2019. For the years ended December 31, 2020 and 2019, integration costs were $1.6 million and $0.6 million, respectively. These costs were included in general and administrative expenses on the Consolidated Statements of Income and were expensed as incurred.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(1,110)</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(1,422)</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Identifiable intangible assets acquired consist of $9.5 million in trade names with estimated useful lives of fifteen years, $2.5 million in non-competition agreements with estimated useful lives of three to five years and $6.1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Alliance Home Health Care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August 1, 2019, the Company completed the acquisition of all of the assets of Alliance Home Health Care (“Alliance”). The purchase price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$23.5 million. The purchase of Alliance was funded through the Company’s revolving credit facility and available cash. With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Alliance, the Company expanded its personal care, home health and hospice operations in the state of New Mexico. The related acquisition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year ended December 31, 2019. For the years ended December 31, 2020 and 2019, integration costs were $0.2 million and $0.4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These costs were included in general and administrative expenses on the Consolidated Statements of Income and were expensed as incurred.</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Identifiable intangible assets acquired consist of $1.1 million in state licenses, subject to amortization, with an estimated useful life of ten years and $4.3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VIP Health Care Services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June 1, 2019, the Company completed the acquisition of all of the assets of VIP Health Care Services (“VIP”). The purchase price was approximately $29.9 million. The purchase of VIP was funded through a combination of the Company’s delayed draw term loan portion of its credit facility and available cash. With the purchase of VIP, the Company expanded its personal care operations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state of New York and into the New York City metropolitan area. The related acquisition costs and integration costs were $0.3 million and $0.5 million, respectively, for the year ended December 31, 2019. These costs were included in general and administrative expenses on the Consolidated Statements of Income and were expensed as incurred.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(1,742)</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Identifiable intangible assets acquired consist of $10.7 million in state licenses, subject to amortization, and $4.7 million in customer relationships, with estimated useful lives of six and eight years, respectively.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On October 1, 2021, we completed the acquisition of Summit Home Health, LLC (“Summit”) for approximately $8.1 million, with funding provided by available cash. With the purchase of Summit, we added clinical services to our home health segment in Illinois and recorded goodwill of $6.5 million. On December 1, 2020, we completed the acquisition of SunLife Home Care (“SunLife”) for approximately $1.7 million and recorded goodwill of $1.6 million. With the purchase of SunLife Home Care, we expanded our personal care services in the state of Arizona.</w:t>
      </w:r>
    </w:p>
    <w:p>
      <w:pPr>
        <w:spacing w:after="0" w:line="17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For the year ended December 31, 2021, the following table contains unaudited pro forma Consolidated Income Statement information of the Company as if the acquisition of Armada closed on January 1, 2020. For the year ended December 31, 2020, the following table contains unaudited pro forma Consolidated Income Statement information of the Company as if each of the acquisitions of Queen City Hospice, A Plus and County Homemakers closed on January 1, 2019. For the year ended December 31, 2019, the following table contains unaudited pro forma Consolidated Income Statement information of the Company as if each of the acquisitions of Hospice Partners, Alliance and VIP closed on January 1, 2018.</w:t>
      </w:r>
    </w:p>
    <w:p>
      <w:pPr>
        <w:spacing w:after="0" w:line="181"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Years Ended December 31,</w:t>
      </w:r>
    </w:p>
    <w:p>
      <w:pPr>
        <w:ind w:left="7780"/>
        <w:spacing w:after="0" w:line="236" w:lineRule="auto"/>
        <w:rPr>
          <w:sz w:val="20"/>
          <w:szCs w:val="20"/>
          <w:color w:val="auto"/>
        </w:rPr>
      </w:pPr>
      <w:r>
        <w:rPr>
          <w:rFonts w:ascii="Arial" w:cs="Arial" w:eastAsia="Arial" w:hAnsi="Arial"/>
          <w:sz w:val="14"/>
          <w:szCs w:val="14"/>
          <w:b w:val="1"/>
          <w:bCs w:val="1"/>
          <w:color w:val="auto"/>
        </w:rPr>
        <w:t>(Amounts in Thousands, Unaudited)</w:t>
      </w:r>
    </w:p>
    <w:tbl>
      <w:tblPr>
        <w:tblLayout w:type="fixed"/>
        <w:tblInd w:w="0" w:type="dxa"/>
        <w:tblCellMar>
          <w:top w:w="0" w:type="dxa"/>
          <w:left w:w="0" w:type="dxa"/>
          <w:bottom w:w="0" w:type="dxa"/>
          <w:right w:w="0" w:type="dxa"/>
        </w:tblCellMar>
      </w:tblPr>
      <w:tr>
        <w:trPr>
          <w:trHeight w:val="155"/>
        </w:trPr>
        <w:tc>
          <w:tcPr>
            <w:tcW w:w="54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877,550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45,555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income per common share from continuing operations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 income per share</w:t>
            </w:r>
          </w:p>
        </w:tc>
        <w:tc>
          <w:tcPr>
            <w:tcW w:w="1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500"/>
              <w:spacing w:after="0"/>
              <w:rPr>
                <w:sz w:val="20"/>
                <w:szCs w:val="20"/>
                <w:color w:val="auto"/>
              </w:rPr>
            </w:pPr>
            <w:r>
              <w:rPr>
                <w:rFonts w:ascii="Arial" w:cs="Arial" w:eastAsia="Arial" w:hAnsi="Arial"/>
                <w:sz w:val="18"/>
                <w:szCs w:val="18"/>
                <w:color w:val="auto"/>
              </w:rPr>
              <w:t>Diluted income per share</w:t>
            </w:r>
          </w:p>
        </w:tc>
        <w:tc>
          <w:tcPr>
            <w:tcW w:w="1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38,980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(20,497)</w:t>
            </w:r>
          </w:p>
        </w:tc>
        <w:tc>
          <w:tcPr>
            <w:tcW w:w="6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(14,965)</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Computer software includes $1.5 million and $1.7 million of internally developed software for the years ended December 31, 2021 and 2020, respectively. Depreciation and amortization expense totaled $5.9 million, $5.0 million and $4.0 million for the years ended December 31, 2021, 2020 and 2019, respectively.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goodwill and related adjustments is provided below:</w:t>
      </w:r>
    </w:p>
    <w:p>
      <w:pPr>
        <w:spacing w:after="0" w:line="311"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6350</wp:posOffset>
            </wp:positionV>
            <wp:extent cx="44831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44831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right="1040"/>
        <w:spacing w:after="0" w:line="266" w:lineRule="auto"/>
        <w:rPr>
          <w:sz w:val="20"/>
          <w:szCs w:val="20"/>
          <w:color w:val="auto"/>
        </w:rPr>
      </w:pPr>
      <w:r>
        <w:rPr>
          <w:rFonts w:ascii="Arial" w:cs="Arial" w:eastAsia="Arial" w:hAnsi="Arial"/>
          <w:sz w:val="18"/>
          <w:szCs w:val="18"/>
          <w:color w:val="auto"/>
        </w:rPr>
        <w:t>Goodwill at December 31, 2019 Additions for acquisitions Divestiture</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Adjustments to previously recorded goodwill Goodwill at December 31, 2020 Additions for acquisitions</w:t>
      </w:r>
    </w:p>
    <w:p>
      <w:pPr>
        <w:spacing w:after="0" w:line="1" w:lineRule="exact"/>
        <w:rPr>
          <w:sz w:val="20"/>
          <w:szCs w:val="20"/>
          <w:color w:val="auto"/>
        </w:rPr>
      </w:pPr>
    </w:p>
    <w:p>
      <w:pPr>
        <w:ind w:right="100"/>
        <w:spacing w:after="0" w:line="307" w:lineRule="auto"/>
        <w:rPr>
          <w:sz w:val="20"/>
          <w:szCs w:val="20"/>
          <w:color w:val="auto"/>
        </w:rPr>
      </w:pPr>
      <w:r>
        <w:rPr>
          <w:rFonts w:ascii="Arial" w:cs="Arial" w:eastAsia="Arial" w:hAnsi="Arial"/>
          <w:sz w:val="18"/>
          <w:szCs w:val="18"/>
          <w:color w:val="auto"/>
        </w:rPr>
        <w:t>Adjustments to previously recorded goodwill Goodwill at December 31, 2021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Personal Care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Home Health</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146,983</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126,577</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1,808</w:t>
            </w:r>
          </w:p>
        </w:tc>
        <w:tc>
          <w:tcPr>
            <w:tcW w:w="28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275,368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193,867</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(1,167)</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152,448</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469,072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35,064</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152,688</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504,392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-1216660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-916940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-624840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360" w:space="720"/>
            <w:col w:w="7160"/>
          </w:cols>
          <w:pgMar w:left="320" w:top="121" w:right="339" w:bottom="1440" w:gutter="0" w:footer="0" w:header="0"/>
          <w:type w:val="continuous"/>
        </w:sectPr>
      </w:pPr>
    </w:p>
    <w:p>
      <w:pPr>
        <w:spacing w:after="0" w:line="1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 connection with the acquisition of Armada, the Company recognized goodwill in its hospice and home health segments of $13.4 million and $15.0 million, respectively, and $6.5 million with the acquisition of Summit in our home health segment in 2021.</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2020, the Company recognized goodwill in the hospice segment of $169.2 million related to the acquisition of Queen City Hospice. Additionally, in connection with the acquisitions of County Homemakers, A Plus and SunLife for the year ended December 31, 2020, the Company recognized goodwill of approximately $24.7 million in the personal care segment. In 2020, the Company divested certain branches and their related net assets including $1.2 million of related goodwill. The Company recognized a $0.3 million loss on the disposition, reflected in general and administrative expense for the year ended December 31, 2020.</w:t>
      </w:r>
    </w:p>
    <w:p>
      <w:pPr>
        <w:spacing w:after="0" w:line="188"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Goodwill adjustments to previously recorded goodwill are generally related to accounts receivable and accrued expenses based on the final valuations. See Note 4 to the Notes to Consolidated Financial Statements for additional information regarding the acquisitions made by the Company in 2020 and 2021.</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Goodwill and certain state licenses are not amortized pursuant to ASC Topic 350.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The Company estimates the fair value of the reporting unit using both a discounted cash flow model as well as a market multiple model. The cash flow forecasts are adjusted by an appropriate discount rate based on the Company’s estimate of a market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and fair value of long term debt, estimates of future revenue and expense growth, estimated market multiples, expected capital expenditures, income tax rates and cost of invested capital. Significant assumptions used in the analysis included an 8.5% discount rate and long-term revenue growth rates that ranged from 3.0% to 5.0%. For the fiscal year 2021 impairment test, the fair value of the reporting units exceeded their respective carrying values (commonly referred to as “headroom”) by at least 100% in the personal care and home health segments, and by 20% in the hospice segment. The Company did not record any impairment charges for the years ended December 31, 2021, 2020 or 2019.</w:t>
      </w:r>
    </w:p>
    <w:p>
      <w:pPr>
        <w:spacing w:after="0" w:line="16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carrying amount and accumulated amortization of each identifiable intangible asset category consisted of the following at December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 referral</w:t>
            </w:r>
          </w:p>
        </w:tc>
        <w:tc>
          <w:tcPr>
            <w:tcW w:w="140" w:type="dxa"/>
            <w:vAlign w:val="bottom"/>
          </w:tcPr>
          <w:p>
            <w:pPr>
              <w:spacing w:after="0"/>
              <w:rPr>
                <w:sz w:val="12"/>
                <w:szCs w:val="12"/>
                <w:color w:val="auto"/>
              </w:rPr>
            </w:pPr>
          </w:p>
        </w:tc>
        <w:tc>
          <w:tcPr>
            <w:tcW w:w="110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names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State Licenses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4"/>
                <w:szCs w:val="1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5"/>
              </w:rPr>
              <w:t>trademarks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agreements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(36,342)</w:t>
            </w:r>
          </w:p>
        </w:tc>
        <w:tc>
          <w:tcPr>
            <w:tcW w:w="140" w:type="dxa"/>
            <w:vAlign w:val="bottom"/>
          </w:tcPr>
          <w:p>
            <w:pPr>
              <w:spacing w:after="0"/>
              <w:rPr>
                <w:sz w:val="19"/>
                <w:szCs w:val="19"/>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(18,494)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(63,694)</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balance at December 31, 2021</w:t>
            </w:r>
          </w:p>
        </w:tc>
        <w:tc>
          <w:tcPr>
            <w:tcW w:w="8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Gross carrying amount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(34,439)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(15,191)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(55,572)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subject to amortization, net</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balance at December 31, 2020</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During the year ended December 31, 2021, the Company acquired indefinite lived state licenses and non-competition agreements of $0.4 million and $0.6 million, respectively, related to the acquisition of Armada. During the year ended December 31, 2020, the Company acquired (i) indefinite lived state licenses, trade names and non-competition agreements of $7.5 million, $11.0 million and $1.5 million, respectively, related to the acquisition of Queen City Hospice, (ii) state licenses, subject to amortization of $0.3 million and $0.1 million in trade names related to the acquisition of County Homemakers, and (iii) a trade name of $1.4 million related to the acquisition of A Plus.</w:t>
      </w:r>
    </w:p>
    <w:p>
      <w:pPr>
        <w:spacing w:after="0" w:line="188"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Amortization expense related to the identifiable intangible assets amounted to $8.5 million, $7.1 million and $6.6 million for the years ended December 31, 2021, 2020 and 2019,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useful lives of identifiable intangible assets as of December 31, 2021 is 9.3 years.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(Amount in</w:t>
            </w:r>
          </w:p>
        </w:tc>
        <w:tc>
          <w:tcPr>
            <w:tcW w:w="0" w:type="dxa"/>
            <w:vAlign w:val="bottom"/>
          </w:tcPr>
          <w:p>
            <w:pPr>
              <w:spacing w:after="0"/>
              <w:rPr>
                <w:sz w:val="1"/>
                <w:szCs w:val="1"/>
                <w:color w:val="auto"/>
              </w:rPr>
            </w:pPr>
          </w:p>
        </w:tc>
      </w:tr>
      <w:tr>
        <w:trPr>
          <w:trHeight w:val="171"/>
        </w:trPr>
        <w:tc>
          <w:tcPr>
            <w:tcW w:w="4400" w:type="dxa"/>
            <w:vAlign w:val="bottom"/>
            <w:vMerge w:val="continue"/>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4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5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 subject to amortization</w:t>
            </w:r>
          </w:p>
        </w:tc>
        <w:tc>
          <w:tcPr>
            <w:tcW w:w="4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400" w:type="dxa"/>
            <w:vAlign w:val="bottom"/>
          </w:tcPr>
          <w:p>
            <w:pPr>
              <w:spacing w:after="0"/>
              <w:rPr>
                <w:sz w:val="24"/>
                <w:szCs w:val="24"/>
                <w:color w:val="auto"/>
              </w:rPr>
            </w:pPr>
          </w:p>
        </w:tc>
        <w:tc>
          <w:tcPr>
            <w:tcW w:w="5100" w:type="dxa"/>
            <w:vAlign w:val="bottom"/>
            <w:gridSpan w:val="3"/>
          </w:tcPr>
          <w:p>
            <w:pPr>
              <w:jc w:val="right"/>
              <w:ind w:right="3610"/>
              <w:spacing w:after="0"/>
              <w:rPr>
                <w:sz w:val="20"/>
                <w:szCs w:val="20"/>
                <w:color w:val="auto"/>
              </w:rPr>
            </w:pPr>
            <w:r>
              <w:rPr>
                <w:rFonts w:ascii="Arial" w:cs="Arial" w:eastAsia="Arial" w:hAnsi="Arial"/>
                <w:sz w:val="18"/>
                <w:szCs w:val="18"/>
                <w:color w:val="auto"/>
              </w:rPr>
              <w:t>F-23</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Details of Certain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payroll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18,491</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Accrued expenses consisted of the following:</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xml:space="preserve">Payor advances </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37,077</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716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19" w:lineRule="exact"/>
        <w:rPr>
          <w:sz w:val="20"/>
          <w:szCs w:val="20"/>
          <w:color w:val="auto"/>
        </w:rPr>
      </w:pPr>
    </w:p>
    <w:p>
      <w:pPr>
        <w:ind w:left="500" w:right="120" w:hanging="492"/>
        <w:spacing w:after="0" w:line="369"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13"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8"/>
          <w:szCs w:val="18"/>
          <w:color w:val="auto"/>
        </w:rPr>
        <w:t>Government stimulus advances consisted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(Amounts in Thousands)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Provider Relief Fund</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CMS advanced payment program — Queen City Hospice</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deferral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Provider Relief Fund — Queen City Hospice</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government stimulus advances</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562"/>
        <w:spacing w:after="0" w:line="25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PPPHCE Act, and the CAA. The American Rescue Plan Act of 2021 (“ARPA”), another relief package with numerous provisions that affect healthcare providers, was signed into law in March 2021. See Note 12 for additional information regarding government actions to mitigate COVID-19’s impact.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Relief Funds</w:t>
      </w:r>
    </w:p>
    <w:p>
      <w:pPr>
        <w:spacing w:after="0" w:line="117" w:lineRule="exact"/>
        <w:rPr>
          <w:sz w:val="20"/>
          <w:szCs w:val="20"/>
          <w:color w:val="auto"/>
        </w:rPr>
      </w:pPr>
    </w:p>
    <w:p>
      <w:pPr>
        <w:ind w:right="20" w:firstLine="574"/>
        <w:spacing w:after="0" w:line="270" w:lineRule="auto"/>
        <w:rPr>
          <w:sz w:val="20"/>
          <w:szCs w:val="20"/>
          <w:color w:val="auto"/>
        </w:rPr>
      </w:pPr>
      <w:r>
        <w:rPr>
          <w:rFonts w:ascii="Arial" w:cs="Arial" w:eastAsia="Arial" w:hAnsi="Arial"/>
          <w:sz w:val="17"/>
          <w:szCs w:val="17"/>
          <w:color w:val="auto"/>
        </w:rPr>
        <w:t>In total, the CARES Act and other relief legislation include over $186 billion in funding to be distributed through the Provider Relief Fund to eligible providers, including public entities and Medicare- and/or Medicaid-enrolled providers. In November 2020, the Company received grants in an aggregate principal amount of $13.7 million from the Provider Relief Fund, for which we had previously applied. The Company utilized $12.3 million and $1.4 million of these funds during the years ended December 31, 2021 and 2020, respectively, for healthcare related expenses, including retention payments, attributable to COVID-19 that were unreimbursed by other sources. The Company is required to properly and fully document the use of such funds in reports to HHS, which must be submitted no later than March 31, 2022. Queen City Hospice administered retention payments totaling $1.9 million to caregivers for the year ended December 31, 2021, which we believed to be necessary to secure and maintain adequate personnel. Commercial organizations that receive and expend annual total awards of $750,000 or more in federal funding, including payments received through the Provider Relief Fund, are subject to federal audit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right="120" w:firstLine="574"/>
        <w:spacing w:after="0" w:line="254" w:lineRule="auto"/>
        <w:rPr>
          <w:sz w:val="20"/>
          <w:szCs w:val="20"/>
          <w:color w:val="auto"/>
        </w:rPr>
      </w:pPr>
      <w:r>
        <w:rPr>
          <w:rFonts w:ascii="Arial" w:cs="Arial" w:eastAsia="Arial" w:hAnsi="Arial"/>
          <w:sz w:val="18"/>
          <w:szCs w:val="18"/>
          <w:color w:val="auto"/>
        </w:rPr>
        <w:t>The CARES Act expanded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repay. In April 2020, Queen City Hospice received an amount equal to $10.8 million pursuant to the Medicare Accelerated and Advance Payment Program. Queen City Hospice did not repay the funds prior to the completion of our acquisition of Queen City Hospice. However, Queen City Hospice repaid such funds following its acquisition in March 2021, prior to any Centers for Medicare and Medicaid Services (“CMS”) recoupment and before any interest accrual.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the deferral of the employer portion of Social Security payroll taxes through December 31, 2021.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$3.0 million of the $7.1 million in 2021.</w:t>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jc w:val="right"/>
        <w:ind w:right="3380"/>
        <w:spacing w:after="0"/>
        <w:rPr>
          <w:sz w:val="20"/>
          <w:szCs w:val="20"/>
          <w:color w:val="auto"/>
        </w:rPr>
      </w:pPr>
      <w:r>
        <w:rPr>
          <w:rFonts w:ascii="Arial" w:cs="Arial" w:eastAsia="Arial" w:hAnsi="Arial"/>
          <w:sz w:val="18"/>
          <w:szCs w:val="18"/>
          <w:color w:val="auto"/>
        </w:rPr>
        <w:t>Long-term debt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Revolving loan under the credit 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 loan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issuance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r>
      <w:tr>
        <w:trPr>
          <w:trHeight w:val="155"/>
        </w:trPr>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7"/>
              <w:spacing w:after="0"/>
              <w:rPr>
                <w:sz w:val="20"/>
                <w:szCs w:val="20"/>
                <w:color w:val="auto"/>
              </w:rPr>
            </w:pPr>
            <w:r>
              <w:rPr>
                <w:rFonts w:ascii="Arial" w:cs="Arial" w:eastAsia="Arial" w:hAnsi="Arial"/>
                <w:sz w:val="18"/>
                <w:szCs w:val="18"/>
                <w:color w:val="auto"/>
              </w:rPr>
              <w:t>224,853</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178,458</w:t>
            </w:r>
          </w:p>
        </w:tc>
        <w:tc>
          <w:tcPr>
            <w:tcW w:w="6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138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18,130</w:t>
            </w:r>
          </w:p>
        </w:tc>
        <w:tc>
          <w:tcPr>
            <w:tcW w:w="6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(3,941)</w:t>
            </w:r>
          </w:p>
        </w:tc>
        <w:tc>
          <w:tcPr>
            <w:tcW w:w="7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(1,716)</w:t>
            </w:r>
          </w:p>
        </w:tc>
      </w:tr>
    </w:tbl>
    <w:p>
      <w:pPr>
        <w:spacing w:after="0" w:line="1"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220,912</w:t>
            </w: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maturities</w:t>
            </w: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220,912</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and the Second Amendment (as hereinafter defined), the “Credit Agreement”). This credit facility totaled $269.6 million, inclusive of a $250.0 million revolving loan and a $19.6 million delayed draw term loan, and is evidenced by the Credit Agreement. This credit facility amended and restated the Company’s existing senior secured credit facility totaling $250.0 million. As used throughout this Annual Report on Form 10-K,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 (ii) a base rate equal to the greatest of</w:t>
      </w:r>
    </w:p>
    <w:p>
      <w:pPr>
        <w:spacing w:after="0" w:line="2" w:lineRule="exact"/>
        <w:rPr>
          <w:sz w:val="20"/>
          <w:szCs w:val="20"/>
          <w:color w:val="auto"/>
        </w:rPr>
      </w:pPr>
    </w:p>
    <w:p>
      <w:pPr>
        <w:ind w:right="280" w:firstLine="8"/>
        <w:spacing w:after="0" w:line="281" w:lineRule="auto"/>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w:t>
      </w:r>
    </w:p>
    <w:p>
      <w:pPr>
        <w:spacing w:after="0" w:line="1" w:lineRule="exact"/>
        <w:rPr>
          <w:rFonts w:ascii="Arial" w:cs="Arial" w:eastAsia="Arial" w:hAnsi="Arial"/>
          <w:sz w:val="16"/>
          <w:szCs w:val="16"/>
          <w:color w:val="auto"/>
        </w:rPr>
      </w:pPr>
    </w:p>
    <w:p>
      <w:pPr>
        <w:ind w:right="240"/>
        <w:spacing w:after="0" w:line="290" w:lineRule="auto"/>
        <w:rPr>
          <w:rFonts w:ascii="Arial" w:cs="Arial" w:eastAsia="Arial" w:hAnsi="Arial"/>
          <w:sz w:val="16"/>
          <w:szCs w:val="16"/>
          <w:color w:val="auto"/>
        </w:rPr>
      </w:pPr>
      <w:r>
        <w:rPr>
          <w:rFonts w:ascii="Arial" w:cs="Arial" w:eastAsia="Arial" w:hAnsi="Arial"/>
          <w:sz w:val="16"/>
          <w:szCs w:val="16"/>
          <w:color w:val="auto"/>
        </w:rPr>
        <w:t>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December 31, 2021, the Company was in compliance with all financial covenants under the Credit Agreement.</w:t>
      </w:r>
    </w:p>
    <w:p>
      <w:pPr>
        <w:spacing w:after="0" w:line="168"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On September 12, 2019, the Company entered into a First Amendment (the “First Amendment”) to its Credit Agreement. The First Amendment increased the Company’s credit facility by $50.0 million in incremental revolving loans, for an aggregate $300.0 million in revolving loans. The First Amendment provides that future incremental loans may be for term loans or an increase to the revolving loan commitments. The First Amendment further provides that the proceeds of such $50.0 million incremental revolving loans may be used for, among other things, general corporate purposes.</w:t>
      </w:r>
    </w:p>
    <w:p>
      <w:pPr>
        <w:spacing w:after="0" w:line="15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On July 30, 2021, the Company entered into the Second Amendment (the “Second Amendment”) to its Credit Agreement. The Second Amendment, among other things, reallocated and refinanced $17.4 million of the Company’s outstanding initial term loans as revolving loans (such that the Company has no outstanding initial term loans and no further initial term loans may be borrowed) and increased the Company’s revolving credit facility to an aggregate amount of $600.0 million. Moreover, the Second Amendment increased the Company’s incremental loan facility to an aggregate amount of $125.0 million, which incremental loan facility may be for term loans or an increase to the revolving loan commitments. The maturity of the revolving credit facility was also extended from May 8, 2023 to July 30, 2026. Additionally, the Credit Agreement contains hardwired fallback language that contemplates a transition from LIBOR and specifically it identifies SOFR as the replacement reference rate and details the mechanism for transition at LIBOR cessation, which is anticipated to occur on June 30, 2023. The transition to SOFR is not expected to have a material impact on the Company’s results of operations or liquidity. In connection with the Second Amendment, we incurred approximately $3.0 million of debt issuance costs.</w:t>
      </w:r>
    </w:p>
    <w:p>
      <w:pPr>
        <w:spacing w:after="0" w:line="166"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 drew approximately $29.0 million under its credit facility to fund the acquisition of Armada on August 1, 2021. At December 31, 2021, the Company had a total of $224.9 million of revolving loans, with an interest rate of 2.10%, outstanding on its credit facility. After giving effect to the amount drawn on its credit facility, approximately $8.2 million of outstanding letters of credit and borrowing limits based on an advance multiple of Adjusted EBITDA (as defined in the Credit Agreement), the Company had $376.6 million of capacity and $143.6 million available for borrowing under its credit facility.</w:t>
      </w:r>
    </w:p>
    <w:p>
      <w:pPr>
        <w:spacing w:after="0" w:line="18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drew approximately $135.0 million on the revolver portion of its credit facility to fund, in part, the acquisition of Queen City Hospice on December 4, 2020. At December 31, 2020, the Company had a total of $178.5 million of revolving loans, with an interest rate of 1.90%, and $18.1 million of term loans, with an interest rate of 1.90%, outstanding on its credit facility. After giving effect to the amount drawn on its credit facility, approximately $9.0 million of outstanding letters of credit and borrowing limits based on an advance multiple of Adjusted EBITDA (as defined in the Credit Agreement), the Company had $112.6 million available for borrowing under its credit facility.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current and deferred federal and state income tax provision from continuing operations,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80" w:type="dxa"/>
            <w:vAlign w:val="bottom"/>
            <w:gridSpan w:val="6"/>
          </w:tcPr>
          <w:p>
            <w:pPr>
              <w:jc w:val="center"/>
              <w:ind w:left="93"/>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4,603</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Pr>
          <w:p>
            <w:pPr>
              <w:spacing w:after="0"/>
              <w:rPr>
                <w:sz w:val="19"/>
                <w:szCs w:val="19"/>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Deferred</w:t>
            </w: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(3,690)</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(734)</w:t>
            </w: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State</w:t>
            </w: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15,272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The tax effects of certain temporary differences between the Company’s book and tax bases of assets and liabilities give rise to significant portions of the deferred income tax assets (liabilities) at December 31, 2021 and 2020. The deferred tax assets (liabilities)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0"/>
              </w:rPr>
              <w:t>(Amounts in Thousands)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allowances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11,623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workers’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Transaction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stimulus advances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Restructuring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long-term deferred tax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38,230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38,766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 and intangible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(26,097)</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(18,891)</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Operating lease assets, net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(9,571)</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(10,052)</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(3,415)</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(3,217)</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Insurance premiums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long-term deferred tax liabilities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(39,959)</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(32,242)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net deferred tax (liabilities) assets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all available evidence in making this assessment.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reconciliation for continuing operations of the statutory federal tax rate of 21.0% to the effective income tax rate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State and local taxes, net of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162(m) disallowance for executive compensation</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color w:val="auto"/>
              </w:rPr>
              <w:t>Nondeductible penalties</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Excess tax benefit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color w:val="auto"/>
              </w:rPr>
              <w:t>Jobs tax credits, net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r>
      <w:tr>
        <w:trPr>
          <w:trHeight w:val="230"/>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permanent items</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8"/>
                <w:szCs w:val="18"/>
                <w:color w:val="auto"/>
              </w:rPr>
              <w:t>Federal/state return to provision</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9"/>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effective income tax rate was 25.2%, 21.0% and 22.2% for the years ended December 31, 2021, 2020 and 2019, respectively. The difference between our federal statutory and effective income tax rates is principally due to the inclusion of state taxes and non-deductible compensation, offset by an excess tax benefit and the use of federal employment tax credits. The excess tax benefit is a discrete item, primarily related to the vesting of equity shares, which requires the Company to recognize the benefit fully in the period.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is subject to taxation in the jurisdictions in which it operates. The Company continues to remain subject to examination by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for the years 2018 through 2020 and for various state authorities for the years 2016 through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Options and Restricted Stock Awards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Board approved the 2017 Omnibus Incentive Plan (“the 2017 Plan”) as of April 27, 2017, which was approved by our shareholders on June 14, 2017. The 2017 Plan was intended to replace our existing incentive compensation plan, the 2009 Stock Incentive Plan (“the 2009 Plan”). All awards are now granted from the 2017 Plan. Outstanding awards under the 2009 Plan will continue to be governed by the 2009 Plan and the agreements under which they were granted.</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2017 Plan allows us to grant performance-based incentive awards and equity-based awards (each an “Award”) to eligible employees, directors and consultants in the form of Stock Options, Stock Appreciation Rights, Restricted Stock, Deferred Stock Units/Restricted Stock Units, Other Stock Units or Performance Awards. The Company’s Board believes that the 2017 Plan is necessary to continue the Company’s effectiveness in attracting, motivating and retaining employees, directors and consultants with appropriate experience and to increase the grantees’ alignment of interest with the Company’s shareholders.</w:t>
      </w:r>
    </w:p>
    <w:p>
      <w:pPr>
        <w:spacing w:after="0" w:line="18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Under the 2017 Plan, Awards may be made in shares of our common stock. Subject to adjustment as provided by the terms of the 2017 Plan, the maximum aggregate number of shares of common stock with respect to which awards may be granted under the 2017 Plan will be 1,182,270, less the number of shares subject to awards that are granted pursuant to the 2009 Plan after March 31, 2017. The aggregate awards granted during any calendar year to any single Participant cannot exceed (i) 500,000 shares subject to stock options or stock appreciation rights (“SARs”) or (ii) 300,000 shares subject to Awards denominated in shares of common stock (whether or not settled in common stock). These individual annual limitations are cumulative in that any shares of common stock or cash for which Awards are permitted to be granted to a Participant during a fiscal year are not covered by an Award in that fiscal year, the number of shares of common stock will automatically increase in the subsequent fiscal years during the term of the 2017 Plan until the earlier of the time the increase has been granted to the Participant, or the end of the third fiscal year following the year to which such increase relates. At December 31, 2021, there were 513,164 shares of common stock available for future grant under the 2017 Plan.</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Any shares of common stock subject to an Award under the 2017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 Additionally, any shares of common stock subject to an Award under the 2009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Stock options are awarded with a strike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exercise prices of stock options outstanding on December 31, 2021 range from $8.91 to $90.87. Restricted stock awards are full-value awards.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weighted average exercise price for the year ended December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7720" w:type="dxa"/>
            <w:vAlign w:val="bottom"/>
          </w:tcPr>
          <w:p>
            <w:pPr>
              <w:spacing w:after="0"/>
              <w:rPr>
                <w:sz w:val="12"/>
                <w:szCs w:val="12"/>
                <w:color w:val="auto"/>
              </w:rPr>
            </w:pPr>
          </w:p>
        </w:tc>
        <w:tc>
          <w:tcPr>
            <w:tcW w:w="12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(Amounts in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71"/>
        </w:trPr>
        <w:tc>
          <w:tcPr>
            <w:tcW w:w="77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Thousands)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90.87</w:t>
            </w:r>
          </w:p>
        </w:tc>
        <w:tc>
          <w:tcPr>
            <w:tcW w:w="120" w:type="dxa"/>
            <w:vAlign w:val="bottom"/>
          </w:tcPr>
          <w:p>
            <w:pPr>
              <w:spacing w:after="0"/>
              <w:rPr>
                <w:sz w:val="19"/>
                <w:szCs w:val="19"/>
                <w:color w:val="auto"/>
              </w:rPr>
            </w:pPr>
          </w:p>
        </w:tc>
      </w:tr>
      <w:tr>
        <w:trPr>
          <w:trHeight w:val="229"/>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FF0FC"/>
          </w:tcPr>
          <w:p>
            <w:pPr>
              <w:spacing w:after="0"/>
              <w:rPr>
                <w:sz w:val="19"/>
                <w:szCs w:val="19"/>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Forfeited/Cancelled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40.28</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493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weighted-average estimated fair value of employee stock options granted was calculated using the Black-Scholes Option Pricing Model in 2021 and 2019. The Company did not grant any stock options in 2020. The related assumptions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jc w:val="center"/>
              <w:ind w:right="395"/>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tcPr>
          <w:p>
            <w:pPr>
              <w:jc w:val="right"/>
              <w:ind w:right="97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Pr>
          <w:p>
            <w:pPr>
              <w:jc w:val="center"/>
              <w:ind w:right="3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Grants</w:t>
            </w:r>
          </w:p>
        </w:tc>
        <w:tc>
          <w:tcPr>
            <w:tcW w:w="540" w:type="dxa"/>
            <w:vAlign w:val="bottom"/>
          </w:tcPr>
          <w:p>
            <w:pPr>
              <w:spacing w:after="0"/>
              <w:rPr>
                <w:sz w:val="14"/>
                <w:szCs w:val="14"/>
                <w:color w:val="auto"/>
              </w:rPr>
            </w:pPr>
          </w:p>
        </w:tc>
        <w:tc>
          <w:tcPr>
            <w:tcW w:w="2180" w:type="dxa"/>
            <w:vAlign w:val="bottom"/>
            <w:gridSpan w:val="2"/>
          </w:tcPr>
          <w:p>
            <w:pPr>
              <w:ind w:left="440"/>
              <w:spacing w:after="0"/>
              <w:rPr>
                <w:sz w:val="20"/>
                <w:szCs w:val="20"/>
                <w:color w:val="auto"/>
              </w:rPr>
            </w:pPr>
            <w:r>
              <w:rPr>
                <w:rFonts w:ascii="Arial" w:cs="Arial" w:eastAsia="Arial" w:hAnsi="Arial"/>
                <w:sz w:val="14"/>
                <w:szCs w:val="14"/>
                <w:b w:val="1"/>
                <w:bCs w:val="1"/>
                <w:color w:val="auto"/>
              </w:rPr>
              <w:t>Grants</w:t>
            </w:r>
          </w:p>
        </w:tc>
        <w:tc>
          <w:tcPr>
            <w:tcW w:w="380" w:type="dxa"/>
            <w:vAlign w:val="bottom"/>
          </w:tcPr>
          <w:p>
            <w:pPr>
              <w:spacing w:after="0"/>
              <w:rPr>
                <w:sz w:val="14"/>
                <w:szCs w:val="14"/>
                <w:color w:val="auto"/>
              </w:rPr>
            </w:pPr>
          </w:p>
        </w:tc>
        <w:tc>
          <w:tcPr>
            <w:tcW w:w="2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Grants</w:t>
            </w: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fair value</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ind w:right="855"/>
              <w:spacing w:after="0"/>
              <w:rPr>
                <w:sz w:val="20"/>
                <w:szCs w:val="20"/>
                <w:color w:val="auto"/>
              </w:rPr>
            </w:pPr>
            <w:r>
              <w:rPr>
                <w:rFonts w:ascii="Arial" w:cs="Arial" w:eastAsia="Arial" w:hAnsi="Arial"/>
                <w:sz w:val="18"/>
                <w:szCs w:val="18"/>
                <w:color w:val="auto"/>
              </w:rPr>
              <w:t>32.71</w:t>
            </w:r>
          </w:p>
        </w:tc>
        <w:tc>
          <w:tcPr>
            <w:tcW w:w="3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ind w:right="975"/>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FF0FC"/>
          </w:tcPr>
          <w:p>
            <w:pPr>
              <w:jc w:val="right"/>
              <w:ind w:right="875"/>
              <w:spacing w:after="0"/>
              <w:rPr>
                <w:sz w:val="20"/>
                <w:szCs w:val="20"/>
                <w:color w:val="auto"/>
              </w:rPr>
            </w:pPr>
            <w:r>
              <w:rPr>
                <w:rFonts w:ascii="Arial" w:cs="Arial" w:eastAsia="Arial" w:hAnsi="Arial"/>
                <w:sz w:val="18"/>
                <w:szCs w:val="18"/>
                <w:color w:val="auto"/>
              </w:rPr>
              <w:t>29.78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Risk-free discount rate</w:t>
            </w:r>
          </w:p>
        </w:tc>
        <w:tc>
          <w:tcPr>
            <w:tcW w:w="480" w:type="dxa"/>
            <w:vAlign w:val="bottom"/>
          </w:tcPr>
          <w:p>
            <w:pPr>
              <w:spacing w:after="0"/>
              <w:rPr>
                <w:sz w:val="19"/>
                <w:szCs w:val="19"/>
                <w:color w:val="auto"/>
              </w:rPr>
            </w:pPr>
          </w:p>
        </w:tc>
        <w:tc>
          <w:tcPr>
            <w:tcW w:w="1920" w:type="dxa"/>
            <w:vAlign w:val="bottom"/>
          </w:tcPr>
          <w:p>
            <w:pPr>
              <w:jc w:val="center"/>
              <w:ind w:right="415"/>
              <w:spacing w:after="0"/>
              <w:rPr>
                <w:sz w:val="20"/>
                <w:szCs w:val="20"/>
                <w:color w:val="auto"/>
              </w:rPr>
            </w:pPr>
            <w:r>
              <w:rPr>
                <w:rFonts w:ascii="Arial" w:cs="Arial" w:eastAsia="Arial" w:hAnsi="Arial"/>
                <w:sz w:val="18"/>
                <w:szCs w:val="18"/>
                <w:color w:val="auto"/>
                <w:w w:val="90"/>
              </w:rPr>
              <w:t>0.65%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40" w:type="dxa"/>
            <w:vAlign w:val="bottom"/>
          </w:tcPr>
          <w:p>
            <w:pPr>
              <w:jc w:val="center"/>
              <w:ind w:right="315"/>
              <w:spacing w:after="0"/>
              <w:rPr>
                <w:sz w:val="20"/>
                <w:szCs w:val="20"/>
                <w:color w:val="auto"/>
              </w:rPr>
            </w:pPr>
            <w:r>
              <w:rPr>
                <w:rFonts w:ascii="Arial" w:cs="Arial" w:eastAsia="Arial" w:hAnsi="Arial"/>
                <w:sz w:val="18"/>
                <w:szCs w:val="18"/>
                <w:color w:val="auto"/>
                <w:w w:val="91"/>
              </w:rPr>
              <w:t>1.72% - 2.29%</w:t>
            </w:r>
          </w:p>
        </w:tc>
        <w:tc>
          <w:tcPr>
            <w:tcW w:w="100" w:type="dxa"/>
            <w:vAlign w:val="bottom"/>
          </w:tcPr>
          <w:p>
            <w:pPr>
              <w:spacing w:after="0"/>
              <w:rPr>
                <w:sz w:val="19"/>
                <w:szCs w:val="19"/>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48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center"/>
              <w:ind w:right="800"/>
              <w:spacing w:after="0"/>
              <w:rPr>
                <w:sz w:val="20"/>
                <w:szCs w:val="20"/>
                <w:color w:val="auto"/>
              </w:rPr>
            </w:pPr>
            <w:r>
              <w:rPr>
                <w:rFonts w:ascii="Arial" w:cs="Arial" w:eastAsia="Arial" w:hAnsi="Arial"/>
                <w:sz w:val="18"/>
                <w:szCs w:val="18"/>
                <w:color w:val="auto"/>
                <w:w w:val="86"/>
              </w:rPr>
              <w:t>4.1 years</w:t>
            </w:r>
          </w:p>
        </w:tc>
        <w:tc>
          <w:tcPr>
            <w:tcW w:w="54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center"/>
              <w:ind w:right="480"/>
              <w:spacing w:after="0"/>
              <w:rPr>
                <w:sz w:val="20"/>
                <w:szCs w:val="20"/>
                <w:color w:val="auto"/>
              </w:rPr>
            </w:pPr>
            <w:r>
              <w:rPr>
                <w:rFonts w:ascii="Arial" w:cs="Arial" w:eastAsia="Arial" w:hAnsi="Arial"/>
                <w:sz w:val="18"/>
                <w:szCs w:val="18"/>
                <w:color w:val="auto"/>
                <w:w w:val="88"/>
              </w:rPr>
              <w:t>4.2 - 4.4 years</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Dividend yield</w:t>
            </w:r>
          </w:p>
        </w:tc>
        <w:tc>
          <w:tcPr>
            <w:tcW w:w="480" w:type="dxa"/>
            <w:vAlign w:val="bottom"/>
          </w:tcPr>
          <w:p>
            <w:pPr>
              <w:spacing w:after="0"/>
              <w:rPr>
                <w:sz w:val="19"/>
                <w:szCs w:val="19"/>
                <w:color w:val="auto"/>
              </w:rPr>
            </w:pPr>
          </w:p>
        </w:tc>
        <w:tc>
          <w:tcPr>
            <w:tcW w:w="224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1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CFF0FC"/>
          </w:tcPr>
          <w:p>
            <w:pPr>
              <w:spacing w:after="0"/>
              <w:rPr>
                <w:sz w:val="19"/>
                <w:szCs w:val="19"/>
                <w:color w:val="auto"/>
              </w:rPr>
            </w:pPr>
          </w:p>
        </w:tc>
        <w:tc>
          <w:tcPr>
            <w:tcW w:w="1920" w:type="dxa"/>
            <w:vAlign w:val="bottom"/>
            <w:shd w:val="clear" w:color="auto" w:fill="CFF0FC"/>
          </w:tcPr>
          <w:p>
            <w:pPr>
              <w:jc w:val="center"/>
              <w:ind w:right="395"/>
              <w:spacing w:after="0"/>
              <w:rPr>
                <w:sz w:val="20"/>
                <w:szCs w:val="20"/>
                <w:color w:val="auto"/>
              </w:rPr>
            </w:pPr>
            <w:r>
              <w:rPr>
                <w:rFonts w:ascii="Arial" w:cs="Arial" w:eastAsia="Arial" w:hAnsi="Arial"/>
                <w:sz w:val="18"/>
                <w:szCs w:val="18"/>
                <w:color w:val="auto"/>
                <w:w w:val="88"/>
              </w:rPr>
              <w:t>45%</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040" w:type="dxa"/>
            <w:vAlign w:val="bottom"/>
            <w:shd w:val="clear" w:color="auto" w:fill="CFF0FC"/>
          </w:tcPr>
          <w:p>
            <w:pPr>
              <w:jc w:val="center"/>
              <w:ind w:right="315"/>
              <w:spacing w:after="0"/>
              <w:rPr>
                <w:sz w:val="20"/>
                <w:szCs w:val="20"/>
                <w:color w:val="auto"/>
              </w:rPr>
            </w:pPr>
            <w:r>
              <w:rPr>
                <w:rFonts w:ascii="Arial" w:cs="Arial" w:eastAsia="Arial" w:hAnsi="Arial"/>
                <w:sz w:val="18"/>
                <w:szCs w:val="18"/>
                <w:color w:val="auto"/>
                <w:w w:val="88"/>
              </w:rPr>
              <w:t>43%</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Stock option compensation expense totaled $1.4 million, $2.0 million and $2.5 million for the years ended December 31, 2021, 2020 and 2019, respectively. As of December 31, 2021, there was $1.9 million of total unrecognized compensation cost that is expected to be recognized over a weighted average period of 1.5 years.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vested and outstanding stock options was $22.7 million and $2.8 million, respectively, as of December 31, 2021.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386,428 and 106,500 shares of stock options vested and unvested, respectively.</w:t>
      </w:r>
    </w:p>
    <w:p>
      <w:pPr>
        <w:spacing w:after="0" w:line="225"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intrinsic value of stock options exercised during the years ended December 31, 2021, 2020 and 2019 was $1.8 million, $7.5 million and $7.3 million,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unvested restricted stock awards activity and weighted average grant date fair value for the year ended December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Restricted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2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Awards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(Amounts in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Thousands)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beginning of period</w:t>
            </w:r>
          </w:p>
        </w:tc>
        <w:tc>
          <w:tcPr>
            <w:tcW w:w="1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154</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gridSpan w:val="2"/>
          </w:tcPr>
          <w:p>
            <w:pPr>
              <w:spacing w:after="0"/>
              <w:rPr>
                <w:sz w:val="20"/>
                <w:szCs w:val="20"/>
                <w:color w:val="auto"/>
              </w:rPr>
            </w:pPr>
            <w:r>
              <w:rPr>
                <w:rFonts w:ascii="Arial" w:cs="Arial" w:eastAsia="Arial" w:hAnsi="Arial"/>
                <w:sz w:val="18"/>
                <w:szCs w:val="18"/>
                <w:color w:val="auto"/>
              </w:rPr>
              <w:t>Awarded</w:t>
            </w:r>
          </w:p>
        </w:tc>
        <w:tc>
          <w:tcPr>
            <w:tcW w:w="34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end of period</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940" w:type="dxa"/>
            <w:vAlign w:val="bottom"/>
            <w:gridSpan w:val="2"/>
          </w:tcPr>
          <w:p>
            <w:pPr>
              <w:ind w:left="5460"/>
              <w:spacing w:after="0"/>
              <w:rPr>
                <w:sz w:val="20"/>
                <w:szCs w:val="20"/>
                <w:color w:val="auto"/>
              </w:rPr>
            </w:pPr>
            <w:r>
              <w:rPr>
                <w:rFonts w:ascii="Arial" w:cs="Arial" w:eastAsia="Arial" w:hAnsi="Arial"/>
                <w:sz w:val="18"/>
                <w:szCs w:val="18"/>
                <w:color w:val="auto"/>
              </w:rPr>
              <w:t>F-29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restricted stock awards that vested during the year ended December 31, 2021 was $7.4 million.</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Restricted stock award compensation expense totaled $8.0 million, $4.0 million and $3.3 million for the years ended December 31, 2021, 2020 and 2019, respectively. As of December 31, 2021, there was $11.4 million of total unrecognized compensation cost that is expected to be recognized over a weighted average period of 1.7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contributions totaling $0.4 million, $0.3 million and $0.2 million for the years ended December 31, 2021,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novel coronavirus (“COVID-19”) outbreak a global pandemic. This disease continues to impact the United States and other parts of the world.</w:t>
      </w:r>
    </w:p>
    <w:p>
      <w:pPr>
        <w:spacing w:after="0" w:line="184" w:lineRule="exact"/>
        <w:rPr>
          <w:sz w:val="20"/>
          <w:szCs w:val="20"/>
          <w:color w:val="auto"/>
        </w:rPr>
      </w:pPr>
    </w:p>
    <w:p>
      <w:pPr>
        <w:ind w:firstLine="568"/>
        <w:spacing w:after="0" w:line="301" w:lineRule="auto"/>
        <w:rPr>
          <w:sz w:val="20"/>
          <w:szCs w:val="20"/>
          <w:color w:val="auto"/>
        </w:rPr>
      </w:pPr>
      <w:r>
        <w:rPr>
          <w:rFonts w:ascii="Arial" w:cs="Arial" w:eastAsia="Arial" w:hAnsi="Arial"/>
          <w:sz w:val="16"/>
          <w:szCs w:val="16"/>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the CARES Act, the PPPHCE Act, the CAA and the APRA authorize over $186 billion in funding to be distributed to health care providers through the Provider Relief Fund. This funding is intended to support healthcare providers by reimbursing them for healthcare-related expenses or lost revenues attributable to COVID-19.</w:t>
      </w:r>
    </w:p>
    <w:p>
      <w:pPr>
        <w:spacing w:after="0" w:line="157" w:lineRule="exact"/>
        <w:rPr>
          <w:sz w:val="20"/>
          <w:szCs w:val="20"/>
          <w:color w:val="auto"/>
        </w:rPr>
      </w:pPr>
    </w:p>
    <w:p>
      <w:pPr>
        <w:ind w:right="120" w:firstLine="568"/>
        <w:spacing w:after="0" w:line="293" w:lineRule="auto"/>
        <w:rPr>
          <w:sz w:val="20"/>
          <w:szCs w:val="20"/>
          <w:color w:val="auto"/>
        </w:rPr>
      </w:pPr>
      <w:r>
        <w:rPr>
          <w:rFonts w:ascii="Arial" w:cs="Arial" w:eastAsia="Arial" w:hAnsi="Arial"/>
          <w:sz w:val="16"/>
          <w:szCs w:val="16"/>
          <w:color w:val="auto"/>
        </w:rPr>
        <w:t>In addition to the Provider Relief Fund, the CARES Act and related laws include temporary changes to Medicare and Medicaid payment rules and relief from certain accounting provisions. For example the laws temporarily lift the Medicare sequester, which would have otherwise reduced payments to Medicare providers by 2%, as required by the Budget Control Act of 2011, from May 1, 2020, through December 31, 2021 (but also extend sequestration through 2030). Congress further delayed these sequestration cuts through March 31, 2022, and reduced the sequestration adjustment to 1% from April 1 through June 30, 2022. The full 2% reduction is currently scheduled to resume July 1, 2022. These sequestration cuts have been extended through 2030, with the reductions for 2030 set to increase to 2.25% for the first six months and to 3% for the second six months.</w:t>
      </w:r>
    </w:p>
    <w:p>
      <w:pPr>
        <w:spacing w:after="0" w:line="164" w:lineRule="exact"/>
        <w:rPr>
          <w:sz w:val="20"/>
          <w:szCs w:val="20"/>
          <w:color w:val="auto"/>
        </w:rPr>
      </w:pPr>
    </w:p>
    <w:p>
      <w:pPr>
        <w:ind w:right="160" w:firstLine="568"/>
        <w:spacing w:after="0" w:line="263" w:lineRule="auto"/>
        <w:rPr>
          <w:sz w:val="20"/>
          <w:szCs w:val="20"/>
          <w:color w:val="auto"/>
        </w:rPr>
      </w:pPr>
      <w:r>
        <w:rPr>
          <w:rFonts w:ascii="Arial" w:cs="Arial" w:eastAsia="Arial" w:hAnsi="Arial"/>
          <w:sz w:val="18"/>
          <w:szCs w:val="18"/>
          <w:color w:val="auto"/>
        </w:rPr>
        <w:t>In the hospice segment, Medicare sequester relief resulted in an increase in net service revenues of $2.9 million and $1.3 million for the years ended December 31, 2021 and 2020, respectively. In the home health segment, Medicare sequester relief resulted in an increase in net service revenues of $0.5 million and $0.2 million for the years ended December 31, 2021 and 2020, respectively.</w:t>
      </w:r>
    </w:p>
    <w:p>
      <w:pPr>
        <w:spacing w:after="0" w:line="184" w:lineRule="exact"/>
        <w:rPr>
          <w:sz w:val="20"/>
          <w:szCs w:val="20"/>
          <w:color w:val="auto"/>
        </w:rPr>
      </w:pPr>
    </w:p>
    <w:p>
      <w:pPr>
        <w:jc w:val="both"/>
        <w:ind w:right="200" w:firstLine="568"/>
        <w:spacing w:after="0" w:line="257" w:lineRule="auto"/>
        <w:rPr>
          <w:sz w:val="20"/>
          <w:szCs w:val="20"/>
          <w:color w:val="auto"/>
        </w:rPr>
      </w:pPr>
      <w:r>
        <w:rPr>
          <w:rFonts w:ascii="Arial" w:cs="Arial" w:eastAsia="Arial" w:hAnsi="Arial"/>
          <w:sz w:val="18"/>
          <w:szCs w:val="18"/>
          <w:color w:val="auto"/>
        </w:rPr>
        <w:t>However, 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has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8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During 2021, although vaccinations have become widely available, there continues to be a significant number of COVID-19 cases and deaths in the United States. In response, various governmental authorities and private businesses in the United States have implemented, or reinstituted, certain mitigation strategies, such as masking and vaccine requirements. There continue to be significant uncertainties associated with the pandemic, and longer-term trends remain unknown. As such, it is impossible to predict the effect and ultimate impact of the COVID-19 pandemic on the Company as conditions related to the COVID-19 pandemic continue to evolve. See Note 7 for additional information regarding government stimulus advances associated with the COVID-19 pandemic that the Company has received.</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100" w:firstLine="539"/>
        <w:spacing w:after="0" w:line="263" w:lineRule="auto"/>
        <w:rPr>
          <w:sz w:val="20"/>
          <w:szCs w:val="20"/>
          <w:color w:val="auto"/>
        </w:rPr>
      </w:pPr>
      <w:r>
        <w:rPr>
          <w:rFonts w:ascii="Arial" w:cs="Arial" w:eastAsia="Arial" w:hAnsi="Arial"/>
          <w:sz w:val="18"/>
          <w:szCs w:val="18"/>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88" w:lineRule="exact"/>
        <w:rPr>
          <w:sz w:val="20"/>
          <w:szCs w:val="20"/>
          <w:color w:val="auto"/>
        </w:rPr>
      </w:pPr>
    </w:p>
    <w:p>
      <w:pPr>
        <w:ind w:right="740" w:firstLine="539"/>
        <w:spacing w:after="0" w:line="277" w:lineRule="auto"/>
        <w:rPr>
          <w:sz w:val="20"/>
          <w:szCs w:val="20"/>
          <w:color w:val="auto"/>
        </w:rPr>
      </w:pPr>
      <w:r>
        <w:rPr>
          <w:rFonts w:ascii="Arial" w:cs="Arial" w:eastAsia="Arial" w:hAnsi="Arial"/>
          <w:sz w:val="18"/>
          <w:szCs w:val="18"/>
          <w:color w:val="auto"/>
        </w:rPr>
        <w:t>It is the opinion of management that the outcome of pending legal and/or administrative proceedings will not have a material effect on the Company’s Consolidated Balance Sheets and Consolidated Statements of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years ended December 31, 2021, 2020 and 2019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 2021</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685,854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152,253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502,024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 2020</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54,100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89,635</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106,574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 2019</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11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3"/>
                <w:szCs w:val="13"/>
                <w:color w:val="auto"/>
              </w:rPr>
            </w:pPr>
          </w:p>
        </w:tc>
        <w:tc>
          <w:tcPr>
            <w:tcW w:w="102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432,413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179,238</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72,491</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91,428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left="595"/>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2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167,938</w:t>
            </w:r>
          </w:p>
        </w:tc>
        <w:tc>
          <w:tcPr>
            <w:tcW w:w="10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136,602</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106,747</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61,421</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(624)</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(1,523)</w:t>
            </w: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9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2220" w:type="dxa"/>
            <w:vAlign w:val="bottom"/>
            <w:gridSpan w:val="2"/>
          </w:tcPr>
          <w:p>
            <w:pPr>
              <w:jc w:val="right"/>
              <w:ind w:right="1070"/>
              <w:spacing w:after="0"/>
              <w:rPr>
                <w:sz w:val="20"/>
                <w:szCs w:val="20"/>
                <w:color w:val="auto"/>
              </w:rPr>
            </w:pPr>
            <w:r>
              <w:rPr>
                <w:rFonts w:ascii="Arial" w:cs="Arial" w:eastAsia="Arial" w:hAnsi="Arial"/>
                <w:sz w:val="18"/>
                <w:szCs w:val="18"/>
                <w:color w:val="auto"/>
              </w:rPr>
              <w:t>F-32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Significant Payors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2021, 2020 and 2019, the Company’s revenue by payor type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Personal Care</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For the Years Ended December 31,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programs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338,325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324,670</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287,032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Commercial insurance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w w:val="91"/>
              </w:rPr>
              <w:t>Total personal care segment net service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685,854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580,728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Hospice</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For the Years Ended December 31,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142,086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Total hospice segment net service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152,253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101,297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Home Health</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For the Years Ended December 31,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w w:val="94"/>
              </w:rPr>
              <w:t>Total home health segment net service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derives a significant amount of its revenue from its operations in Illinois, New Mexico and New York. The percentages of segment revenue for each of these significant states for 2021, 2020 and 2019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Personal Care</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center"/>
              <w:ind w:right="19"/>
              <w:spacing w:after="0" w:line="155" w:lineRule="exact"/>
              <w:rPr>
                <w:sz w:val="20"/>
                <w:szCs w:val="20"/>
                <w:color w:val="auto"/>
              </w:rPr>
            </w:pPr>
            <w:r>
              <w:rPr>
                <w:rFonts w:ascii="Arial" w:cs="Arial" w:eastAsia="Arial" w:hAnsi="Arial"/>
                <w:sz w:val="14"/>
                <w:szCs w:val="14"/>
                <w:b w:val="1"/>
                <w:bCs w:val="1"/>
                <w:color w:val="auto"/>
                <w:w w:val="92"/>
              </w:rPr>
              <w:t>For the Years Ended December 31,</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left="738"/>
              <w:spacing w:after="0" w:line="155" w:lineRule="exact"/>
              <w:rPr>
                <w:sz w:val="20"/>
                <w:szCs w:val="20"/>
                <w:color w:val="auto"/>
              </w:rPr>
            </w:pPr>
            <w:r>
              <w:rPr>
                <w:rFonts w:ascii="Arial" w:cs="Arial" w:eastAsia="Arial" w:hAnsi="Arial"/>
                <w:sz w:val="14"/>
                <w:szCs w:val="14"/>
                <w:b w:val="1"/>
                <w:bCs w:val="1"/>
                <w:color w:val="auto"/>
                <w:w w:val="89"/>
              </w:rPr>
              <w:t>2020</w:t>
            </w:r>
          </w:p>
        </w:tc>
        <w:tc>
          <w:tcPr>
            <w:tcW w:w="9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w w:val="91"/>
              </w:rPr>
              <w:t>Total personal care segment net service</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8"/>
                <w:szCs w:val="18"/>
                <w:color w:val="auto"/>
                <w:w w:val="91"/>
              </w:rPr>
              <w:t>F-33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Hospice</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18"/>
              <w:spacing w:after="0"/>
              <w:rPr>
                <w:sz w:val="20"/>
                <w:szCs w:val="20"/>
                <w:color w:val="auto"/>
              </w:rPr>
            </w:pPr>
            <w:r>
              <w:rPr>
                <w:rFonts w:ascii="Arial" w:cs="Arial" w:eastAsia="Arial" w:hAnsi="Arial"/>
                <w:sz w:val="14"/>
                <w:szCs w:val="14"/>
                <w:b w:val="1"/>
                <w:bCs w:val="1"/>
                <w:color w:val="auto"/>
                <w:w w:val="92"/>
              </w:rPr>
              <w:t>For the Years Ended December 31,</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Ohio</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61,415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New Mexico</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36,063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14,811</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8"/>
                <w:szCs w:val="18"/>
                <w:color w:val="auto"/>
              </w:rPr>
              <w:t>Total hospice segment net service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152,253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101,297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the acquisition of Queen City Hospice, the Company expanded its hospice services in the state of Ohio.</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5"/>
              </w:rPr>
              <w:t>Home Health</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2"/>
              </w:rPr>
              <w:t>For the Years Ended December 31,</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Illinois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Total home health segment net service</w:t>
            </w: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the acquisition of Summit, the Company expanded its home health services in the state of Illinois.</w:t>
      </w:r>
    </w:p>
    <w:p>
      <w:pPr>
        <w:spacing w:after="0" w:line="225"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state and local governmental agencies. We derive a significant amount of our net service revenues in Illinois, which represented 38.2%, 37.7% and 38.2% of our net service revenues for the years ended December 31, 2021, 2020 and 2019, respectively. The Illinois Department on Aging, the largest payor program for the Company’s Illinois personal care operations, accounted for 21.4%, 23.0% and 25.3% of the Company’s net service revenues for 2021, 2020 and 2019, respectively.</w:t>
      </w:r>
    </w:p>
    <w:p>
      <w:pPr>
        <w:spacing w:after="0" w:line="15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16.1% and 15.9% of the Company’s net accounts receivable at December 31, 2021 and 2020, respectively.</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but have not yet received a response to the formal protest. The Company recognized approximately $42 million and $3 million in net service revenue and operating income, respectively, from the program for the year ended December 31, 2021.</w:t>
      </w:r>
    </w:p>
    <w:p>
      <w:pPr>
        <w:spacing w:after="0" w:line="18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New York fiscal year 2022 state budget included a provision to add additional fiscal intermediaries (one or two entities per county with specified population sizes, plus entities that meet various other requirements) to those awarded contracts as a Lead Fiscal Intermediary under the initial RFO process, based on the scoring of the original RFO. As scoring of RFOs was not publicly released, it is unknown at this time if the Company’s score ranked high enough to qualify for these additional awards. The Company has submitted a response to the survey issued by the New York Department of Health to determine the additional contract awards. The New York Department of Health published an anticipated contract start date for all awards to be no earlier than November 1, 2021, but has not yet announced the exact start date. No later than the contract start date, we will be required to begin transitioning patients within the CDPAP to a fiscal intermediary that has been awarded a contract and cease providing services to those patients. The Company continues to consider other arrangements and to pursue our protest of the award. Given the uncertainty surrounding the program, the Company has suspended materially all of its new patient admissions under the New York CDPAP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Concentration of Cash</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Company owns financial instruments that potentially subject the Company to significant concentrations of credit risk include cash. The Company maintains cash with financial institutions which, at times, may exceed federally insured limits. The Company believes it is not exposed to any significant credit risk on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firstLine="568"/>
        <w:spacing w:after="0" w:line="279" w:lineRule="auto"/>
        <w:rPr>
          <w:sz w:val="20"/>
          <w:szCs w:val="20"/>
          <w:color w:val="auto"/>
        </w:rPr>
      </w:pPr>
      <w:r>
        <w:rPr>
          <w:rFonts w:ascii="Arial" w:cs="Arial" w:eastAsia="Arial" w:hAnsi="Arial"/>
          <w:sz w:val="17"/>
          <w:szCs w:val="17"/>
          <w:color w:val="auto"/>
        </w:rPr>
        <w:t>On February 1, 2022, the Company completed the acquisition of JourneyCare Inc. (“JourneyCare”) for approximately $72.5 million, with funding provided through a combination of the revolving credit facility of $35.0 million and available cash on hand. With the purchase of JourneyCare, the Company adds hospice services in Illinois. The initial accounting is incomplete, therefore the related business combination disclosures cannot be included at this time. The Company is currently assessing the fair value of identifiable net assets acquired.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121" w:right="479" w:bottom="1440" w:gutter="0" w:footer="0" w:header="0"/>
        </w:sectPr>
      </w:pPr>
    </w:p>
    <w:bookmarkStart w:id="96" w:name="page97"/>
    <w:bookmarkEnd w:id="96"/>
    <w:p>
      <w:pPr>
        <w:ind w:left="10060"/>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6"/>
          <w:szCs w:val="16"/>
          <w:b w:val="1"/>
          <w:bCs w:val="1"/>
          <w:color w:val="auto"/>
        </w:rPr>
        <w:t>10.50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______________, 2022, between Addus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HomeCare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essential to the Company to attract and retain as directors and officers capable individuals;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Indemnitee performs or is expected to perform a valuable service for the Company;</w:t>
      </w:r>
    </w:p>
    <w:p>
      <w:pPr>
        <w:spacing w:after="0" w:line="225" w:lineRule="exact"/>
        <w:rPr>
          <w:sz w:val="20"/>
          <w:szCs w:val="20"/>
          <w:color w:val="auto"/>
        </w:rPr>
      </w:pPr>
    </w:p>
    <w:p>
      <w:pPr>
        <w:jc w:val="both"/>
        <w:ind w:right="20" w:firstLine="864"/>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Company’s Amended and Restated Bylaws (the “</w:t>
      </w:r>
      <w:r>
        <w:rPr>
          <w:rFonts w:ascii="Arial" w:cs="Arial" w:eastAsia="Arial" w:hAnsi="Arial"/>
          <w:sz w:val="17"/>
          <w:szCs w:val="17"/>
          <w:u w:val="single" w:color="auto"/>
          <w:color w:val="auto"/>
        </w:rPr>
        <w:t>Bylaws</w:t>
      </w:r>
      <w:r>
        <w:rPr>
          <w:rFonts w:ascii="Arial" w:cs="Arial" w:eastAsia="Arial" w:hAnsi="Arial"/>
          <w:sz w:val="17"/>
          <w:szCs w:val="17"/>
          <w:color w:val="auto"/>
        </w:rPr>
        <w:t>”) and the Company’s Amended and Restated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(the “Certificate”) require indemnification of the officers and directors of the Company to the fullest extent permitted by applicable law;</w:t>
      </w:r>
    </w:p>
    <w:p>
      <w:pPr>
        <w:spacing w:after="0" w:line="14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Certificate, the Bylaws and applicable law, by their nonexclusive nature, permit contracts between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or directors of the Company with respect to indemnification of such officers or directors;</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this Agreement is a supplement to and in furtherance of the Bylaws and Certificate and any resolutions adopted pursuant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a substitute therefor, nor to diminish or abrogate any rights of Indemnitee thereunder;</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the authorization as provided by applicable law, the Company may purchase and maintain a policy or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officers’ liability insurance (“</w:t>
      </w:r>
      <w:r>
        <w:rPr>
          <w:rFonts w:ascii="Arial" w:cs="Arial" w:eastAsia="Arial" w:hAnsi="Arial"/>
          <w:sz w:val="18"/>
          <w:szCs w:val="18"/>
          <w:u w:val="single" w:color="auto"/>
          <w:color w:val="auto"/>
        </w:rPr>
        <w:t>D&amp;O Insurance</w:t>
      </w:r>
      <w:r>
        <w:rPr>
          <w:rFonts w:ascii="Arial" w:cs="Arial" w:eastAsia="Arial" w:hAnsi="Arial"/>
          <w:sz w:val="18"/>
          <w:szCs w:val="18"/>
          <w:color w:val="auto"/>
        </w:rPr>
        <w:t>”), covering certain liabilities which may be incurred by its officers or directors in the performance of their obligations to the Company;</w:t>
      </w:r>
    </w:p>
    <w:p>
      <w:pPr>
        <w:spacing w:after="0" w:line="176"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Indemnitee has or may have certain rights to indemnification and/or insurance provided by the Company as provided herein,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acknowledgement and agreement to the foregoing being a material condition to Indemnitee’s willingness to serve on the Board; and</w:t>
      </w:r>
    </w:p>
    <w:p>
      <w:pPr>
        <w:spacing w:after="0" w:line="11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order to induce Indemnitee to serve or continue to serve as an officer or director of the Company, the Company has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agreed to enter into this Agreement with Indemnitee.</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Indemnity of Indemnitee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63" w:lineRule="auto"/>
        <w:rPr>
          <w:sz w:val="20"/>
          <w:szCs w:val="20"/>
          <w:color w:val="auto"/>
        </w:rPr>
      </w:pPr>
      <w:r>
        <w:rPr>
          <w:rFonts w:ascii="Arial" w:cs="Arial" w:eastAsia="Arial" w:hAnsi="Arial"/>
          <w:sz w:val="18"/>
          <w:szCs w:val="18"/>
          <w:color w:val="auto"/>
        </w:rPr>
        <w:t>The Company hereby agrees to hold harmless and indemnify Indemnitee to the fullest extent permitted by law, as such may be amended from time to time, and in accordance with all provisions in this Agreement. In furtherance of the foregoing indemnification, and without limiting the generality thereof:</w:t>
      </w:r>
    </w:p>
    <w:p>
      <w:pPr>
        <w:spacing w:after="0" w:line="184" w:lineRule="exact"/>
        <w:rPr>
          <w:sz w:val="20"/>
          <w:szCs w:val="20"/>
          <w:color w:val="auto"/>
        </w:rPr>
      </w:pPr>
    </w:p>
    <w:p>
      <w:pPr>
        <w:jc w:val="both"/>
        <w:ind w:firstLine="1735"/>
        <w:spacing w:after="0" w:line="291" w:lineRule="auto"/>
        <w:tabs>
          <w:tab w:leader="none" w:pos="257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Proceedings Other Than Proceedings by or in the Right of the Company</w:t>
      </w:r>
      <w:r>
        <w:rPr>
          <w:rFonts w:ascii="Arial" w:cs="Arial" w:eastAsia="Arial" w:hAnsi="Arial"/>
          <w:sz w:val="16"/>
          <w:szCs w:val="16"/>
          <w:color w:val="auto"/>
        </w:rPr>
        <w:t>. Indemnitee shall be entitled to the rights of indemnification provided in this Section 1 if, by reason of his or her Corporate Status (as hereinafter defined), Indemnitee is made, or is threatened to be made, a party to or participant in any Proceeding (as hereinafter defined) other than a Proceeding by or in the right of the Company. Pursuant to this Section 1(a), Indemnitee shall be indemnified to the fullest extent permitted by applicable law against all Expenses (as hereinafter defined),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ind w:firstLine="1735"/>
        <w:spacing w:after="0" w:line="290" w:lineRule="auto"/>
        <w:tabs>
          <w:tab w:leader="none" w:pos="258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Proceedings by or in the Right of the Company</w:t>
      </w:r>
      <w:r>
        <w:rPr>
          <w:rFonts w:ascii="Arial" w:cs="Arial" w:eastAsia="Arial" w:hAnsi="Arial"/>
          <w:sz w:val="16"/>
          <w:szCs w:val="16"/>
          <w:color w:val="auto"/>
        </w:rPr>
        <w:t xml:space="preserve">. Indemnitee shall be entitled to the rights of indemnification provided in this Section 1 if, by reason of Indemnitee’s Corporate Status, Indemnitee is made, or is threatened to be made, a party to or participant in any Proceeding brought by or in the right of the Company. Pursuant to this Section 1(b),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upon application that such indemnification may be made.</w:t>
      </w:r>
    </w:p>
    <w:p>
      <w:pPr>
        <w:spacing w:after="0" w:line="165" w:lineRule="exact"/>
        <w:rPr>
          <w:rFonts w:ascii="Arial" w:cs="Arial" w:eastAsia="Arial" w:hAnsi="Arial"/>
          <w:sz w:val="16"/>
          <w:szCs w:val="16"/>
          <w:color w:val="auto"/>
        </w:rPr>
      </w:pPr>
    </w:p>
    <w:p>
      <w:pPr>
        <w:jc w:val="both"/>
        <w:ind w:firstLine="1735"/>
        <w:spacing w:after="0" w:line="287" w:lineRule="auto"/>
        <w:tabs>
          <w:tab w:leader="none" w:pos="257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 of this Agreement, to the extent that Indemnitee is, by reason of Indemnitee’s Corporate Status, a party to and is successful, on the merits or otherwise, in any Proceeding, or in defense of any claim, issue or matter therein, in whole or in part, Indemnitee shall be indemnified to the maximum extent permitted by law as such may be amended from time to time, against all Expenses actually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incurred by him or her or on his or her behalf in connection with (a) each successfully resolved claim, issue or matter and (b) any claim, issue or matter related to any such successfully resolved claim, issue or matter. For purposes of this Section and without limitation, the termination of any claim, issue or matter in such a Proceeding by dismissal, with or without prejudice, or by settlement, shall be deemed to be a successful result as to such claim, issue or matter. If a reasonably competent counsel engaged to defend solely the successfully resolved claim, issue or matter would have incurred an item of Expenses in defending the successfully resolved claim, issue or matter that item of Expenses is covered irrespective of whether the item also benefited the defense of an unsuccessfully resolved claim, issue or matter.</w:t>
      </w:r>
    </w:p>
    <w:p>
      <w:pPr>
        <w:spacing w:after="0" w:line="171" w:lineRule="exact"/>
        <w:rPr>
          <w:rFonts w:ascii="Arial" w:cs="Arial" w:eastAsia="Arial" w:hAnsi="Arial"/>
          <w:sz w:val="16"/>
          <w:szCs w:val="16"/>
          <w:color w:val="auto"/>
        </w:rPr>
      </w:pPr>
    </w:p>
    <w:p>
      <w:pPr>
        <w:jc w:val="both"/>
        <w:ind w:firstLine="1735"/>
        <w:spacing w:after="0" w:line="259" w:lineRule="auto"/>
        <w:tabs>
          <w:tab w:leader="none" w:pos="258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to the fullest extent permitted by applicable law, to the extent that Indemnitee is, by reason of Indemnitee’s Corporate Status, a witness or is made (or asked) to respond to discovery requests in any Proceeding to which Indemnitee is not a party, Indemnitee shall be indemnified against all Expenses actually incurred by Indemnitee or on Indemnitee’s behalf in connection therewith.</w:t>
      </w:r>
    </w:p>
    <w:p>
      <w:pPr>
        <w:spacing w:after="0" w:line="183"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Additional Indemnity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91" w:lineRule="auto"/>
        <w:rPr>
          <w:sz w:val="20"/>
          <w:szCs w:val="20"/>
          <w:color w:val="auto"/>
        </w:rPr>
      </w:pPr>
      <w:r>
        <w:rPr>
          <w:rFonts w:ascii="Arial" w:cs="Arial" w:eastAsia="Arial" w:hAnsi="Arial"/>
          <w:sz w:val="16"/>
          <w:szCs w:val="16"/>
          <w:color w:val="auto"/>
        </w:rPr>
        <w:t>In addition to, and without regard to any limitations on, the indemnification provided for in Section 1, of this Agreement the Company shall and hereby does indemnify and hold harmless to the fullest extent permitted by applicable law Indemnitee against all Expenses, judgments, penalties, fines and amounts paid in settlement actually incurred by Indemnitee or on Indemnitee’s behalf if, by reason of Indemnitee’s Corporate Status, Indemnitee is made,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Sections 5 and 6 hereof) to be unlawful.</w:t>
      </w:r>
    </w:p>
    <w:p>
      <w:pPr>
        <w:spacing w:after="0" w:line="162"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Contribution in the Event of Joint Liability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20" w:firstLine="1594"/>
        <w:spacing w:after="0" w:line="273" w:lineRule="auto"/>
        <w:tabs>
          <w:tab w:leader="none" w:pos="256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or not the indemnification provided in Section 1 and Section 2 hereof is available, in respect of any threatened, pending or completed Proceeding in which the Company is jointly liable with Indemnitee (or would be if joined in the Proceeding), the Company shall pay, in the first instance, the entire amount of any judgment or settlement in connection with any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jc w:val="both"/>
        <w:ind w:left="120" w:firstLine="1594"/>
        <w:spacing w:after="0" w:line="254" w:lineRule="auto"/>
        <w:tabs>
          <w:tab w:leader="none" w:pos="25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Without diminishing or impairing the obligations of the Company set forth in the preceding subparagraph, if, for any reason, Indemnitee shall elect or be required to pay all or any portion of any judgment or settlement in any threatened, pending or completed Proceeding in which the Company is jointly liable with Indemnitee (or would be if joined in such Proceeding), the Company shall pay to Indemnitee the entire amount of any judgment or settlement of such Proceeding without requiring Indemnitee to contribute to such payment and the Company hereby waives and relinquishes any right of contribution it may have against Indemnitee. Indemnitee shall not enter into any settlement of any Proceeding in which the Company is jointly liable with Indemnitee (or would be if joined in such Proceeding) unless such settlement provides for a full and final release of all claims asserted against the Company.</w:t>
      </w:r>
    </w:p>
    <w:p>
      <w:pPr>
        <w:spacing w:after="0" w:line="194" w:lineRule="exact"/>
        <w:rPr>
          <w:rFonts w:ascii="Arial" w:cs="Arial" w:eastAsia="Arial" w:hAnsi="Arial"/>
          <w:sz w:val="18"/>
          <w:szCs w:val="18"/>
          <w:color w:val="auto"/>
        </w:rPr>
      </w:pPr>
    </w:p>
    <w:p>
      <w:pPr>
        <w:ind w:left="120" w:firstLine="1594"/>
        <w:spacing w:after="0" w:line="308" w:lineRule="auto"/>
        <w:tabs>
          <w:tab w:leader="none" w:pos="256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hereby agrees to fully indemnify and hold Indemnitee harmless from any claims of contribution which may be brought by officers, directors or employees of the Company other than any indemnitee who may be jointly liable with Indemnitee.</w:t>
      </w:r>
    </w:p>
    <w:p>
      <w:pPr>
        <w:spacing w:after="0" w:line="146" w:lineRule="exact"/>
        <w:rPr>
          <w:rFonts w:ascii="Arial" w:cs="Arial" w:eastAsia="Arial" w:hAnsi="Arial"/>
          <w:sz w:val="17"/>
          <w:szCs w:val="17"/>
          <w:color w:val="auto"/>
        </w:rPr>
      </w:pPr>
    </w:p>
    <w:p>
      <w:pPr>
        <w:jc w:val="both"/>
        <w:ind w:left="120" w:firstLine="1594"/>
        <w:spacing w:after="0" w:line="291" w:lineRule="auto"/>
        <w:tabs>
          <w:tab w:leader="none" w:pos="25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Expenses, in connection with any claim relating to any event requiring indemnification of Indemnitee under the Certificate, the Bylaws, this Agreement, or of any other resolutions or provisions thereof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62"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u w:val="single" w:color="auto"/>
          <w:color w:val="auto"/>
        </w:rPr>
        <w:t>Advancement of Expenses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7"/>
          <w:szCs w:val="17"/>
          <w:color w:val="auto"/>
        </w:rPr>
        <w:t>Notwithstanding any other provision of this Agreement, the Company shall advance, to the extent not prohibited by law, all Expenses incurred by or on behalf of Indemnitee in connection with any Proceeding by reason of Indemnitee’s Corporate Status within ten (10) days after the receipt by the Company of a statement or statements from Indemnitee requesting such advance or advances from time to time, whether prior to or after final disposition of such Proceeding. Such statement or statements shall include or be preceded or accompanied by an undertaking by or on behalf of Indemnitee to repay any Expenses advanced if, and only to the extent that, it shall ultimately be determined that Indemnitee is not entitled to be indemnified against such Expenses. Advances shall include any and all Expenses incurred pursuing an action to enforce this right of advancement, including Expenses incurred preparing and forwarding statements to the Company to support the advances claimed. Any advances and undertakings to repay pursuant to this Section 4 shall be unsecured and interest free. This Section 4 shall not apply to any claim made by Indemnitee for which indemnity is excluded pursuant to Section 8. The Company shall not seek from a court, or agree to, a “bar order” which would have the effect of prohibiting or limiting the Indemnitee’s rights to receive advancement of expenses under this Agreement.</w:t>
      </w:r>
    </w:p>
    <w:p>
      <w:pPr>
        <w:spacing w:after="0" w:line="181"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Procedures and Presumptions for Determination of Entitlement to Indemnification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63" w:lineRule="auto"/>
        <w:rPr>
          <w:sz w:val="20"/>
          <w:szCs w:val="20"/>
          <w:color w:val="auto"/>
        </w:rPr>
      </w:pPr>
      <w:r>
        <w:rPr>
          <w:rFonts w:ascii="Arial" w:cs="Arial" w:eastAsia="Arial" w:hAnsi="Arial"/>
          <w:sz w:val="18"/>
          <w:szCs w:val="18"/>
          <w:color w:val="auto"/>
        </w:rPr>
        <w:t>It is the intent of this Agreement to secure for Indemnitee rights of indemnity that are as favorable as may be permitted under the law and public policy of the State of Delaware. Accordingly, the parties agree that the following procedures and presumptions shall apply in the event of any question as to whether Indemnitee is entitled to indemnification under this Agreement:</w:t>
      </w:r>
    </w:p>
    <w:p>
      <w:pPr>
        <w:spacing w:after="0" w:line="184" w:lineRule="exact"/>
        <w:rPr>
          <w:sz w:val="20"/>
          <w:szCs w:val="20"/>
          <w:color w:val="auto"/>
        </w:rPr>
      </w:pPr>
    </w:p>
    <w:p>
      <w:pPr>
        <w:jc w:val="both"/>
        <w:ind w:firstLine="1735"/>
        <w:spacing w:after="0" w:line="254" w:lineRule="auto"/>
        <w:tabs>
          <w:tab w:leader="none" w:pos="25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for indemnification or advancement of Expenses, including therein or therewith such documentation and information as is reasonably available to Indemnitee and is reasonably necessary to determine whether and to what extent Indemnitee is entitled to indemnification as soon as is reasonably practicable following the receipt by Indemnitee of written notice thereof. Such written request to the Company shall include a description of the nature of the Proceeding and the facts underlying such Proceeding, to the extent known. The omission by Indemnitee to notify the Company hereunder will not relieve the Company from any liability that it may have to Indemnitee hereunder or otherwise than under this Agreement, and any delay in so notifying the Company shall not constitute a waiver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ind w:right="20"/>
        <w:spacing w:after="0" w:line="308" w:lineRule="auto"/>
        <w:rPr>
          <w:sz w:val="20"/>
          <w:szCs w:val="20"/>
          <w:color w:val="auto"/>
        </w:rPr>
      </w:pPr>
      <w:r>
        <w:rPr>
          <w:rFonts w:ascii="Arial" w:cs="Arial" w:eastAsia="Arial" w:hAnsi="Arial"/>
          <w:sz w:val="17"/>
          <w:szCs w:val="17"/>
          <w:color w:val="auto"/>
        </w:rPr>
        <w:t>Indemnitee of any rights under this Agreement. The Secretary of the Company (or other executive officer if the secretary is otherwise unavailable) shall, promptly upon receipt of such a request for indemnification, advise the Board in writing that Indemnitee has requested indemnification.</w:t>
      </w:r>
    </w:p>
    <w:p>
      <w:pPr>
        <w:spacing w:after="0" w:line="146" w:lineRule="exact"/>
        <w:rPr>
          <w:sz w:val="20"/>
          <w:szCs w:val="20"/>
          <w:color w:val="auto"/>
        </w:rPr>
      </w:pPr>
    </w:p>
    <w:p>
      <w:pPr>
        <w:jc w:val="both"/>
        <w:ind w:firstLine="1735"/>
        <w:spacing w:after="0" w:line="267" w:lineRule="auto"/>
        <w:tabs>
          <w:tab w:leader="none" w:pos="25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 claim under this Agreement, under any statute, or under any provision of the Certificate or Bylaws providing for indemnification is not paid in full by the Company within ten (10) days after a written request for payment thereof has first been received by the Company, Indemnitee shall, at any time thereafter, be entitled to an adjudication in an appropriate court of the State of Delaware, or in any other court of competent jurisdiction, of Indemnitee’s entitlement to such indemnification. Alternatively, Indemnitee, at his or her option, may seek an award in arbitration to be conducted by a single arbitrator pursuant to the Commercial Arbitration Rules of the American Arbitration Association. The Company shall not oppose Indemnitee’s right to seek any such adjudication or award in arbitration. In any such action by Indemnitee to recover the unpaid amount of the claim, Indemnitee shall also be entitled to be paid for the Expenses of bringing such action. It shall be a defense to any such action (other than an action brought to enforce a claim for Expenses incurred in connection with any Proceeding in advance of its final disposition) that Indemnitee has not met the standards of conduct which make it permissible under applicable law for the Company to indemnify Indemnitee for the amount claimed, but the burden of proving such defense shall be on the Company, and Indemnitee shall be entitled to receive interim payments of Expenses pursuant to Section 5 unless and until such defense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the Board, any committee or subgroup of the Board, independent legal counsel or the Company’s stockholders) to have made a determination that indemnification of Indemnitee is proper in the circumstances because Indemnitee has met the applicable standard of conduct required by applicable law, nor an actual determination by the Company (including the Board, any committee or subgroup of the Board, independent legal counsel or the Company’s stockholders) that Indemnitee has not met such applicable standard of conduct, shall create a presumption that Indemnitee has or has not met the applicable standard of conduct.</w:t>
      </w:r>
    </w:p>
    <w:p>
      <w:pPr>
        <w:spacing w:after="0" w:line="191" w:lineRule="exact"/>
        <w:rPr>
          <w:rFonts w:ascii="Arial" w:cs="Arial" w:eastAsia="Arial" w:hAnsi="Arial"/>
          <w:sz w:val="17"/>
          <w:szCs w:val="17"/>
          <w:color w:val="auto"/>
        </w:rPr>
      </w:pPr>
    </w:p>
    <w:p>
      <w:pPr>
        <w:jc w:val="both"/>
        <w:ind w:firstLine="1735"/>
        <w:spacing w:after="0" w:line="290" w:lineRule="auto"/>
        <w:tabs>
          <w:tab w:leader="none" w:pos="25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Section 5(c)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65" w:lineRule="exact"/>
        <w:rPr>
          <w:rFonts w:ascii="Arial" w:cs="Arial" w:eastAsia="Arial" w:hAnsi="Arial"/>
          <w:sz w:val="16"/>
          <w:szCs w:val="16"/>
          <w:color w:val="auto"/>
        </w:rPr>
      </w:pPr>
    </w:p>
    <w:p>
      <w:pPr>
        <w:jc w:val="both"/>
        <w:ind w:firstLine="1735"/>
        <w:spacing w:after="0" w:line="296" w:lineRule="auto"/>
        <w:tabs>
          <w:tab w:leader="none" w:pos="25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61" w:lineRule="exact"/>
        <w:rPr>
          <w:rFonts w:ascii="Arial" w:cs="Arial" w:eastAsia="Arial" w:hAnsi="Arial"/>
          <w:sz w:val="16"/>
          <w:szCs w:val="16"/>
          <w:color w:val="auto"/>
        </w:rPr>
      </w:pPr>
    </w:p>
    <w:p>
      <w:pPr>
        <w:jc w:val="both"/>
        <w:ind w:firstLine="1735"/>
        <w:spacing w:after="0" w:line="257" w:lineRule="auto"/>
        <w:tabs>
          <w:tab w:leader="none" w:pos="2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opposed to the best interests of the Company or, with respect to any criminal Proceeding, that Indemnitee had reasonable cause to believe that Indemnitee’s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tabs>
          <w:tab w:leader="none" w:pos="1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Remedies of Indemnitee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880" w:firstLine="1735"/>
        <w:spacing w:after="0" w:line="290" w:lineRule="auto"/>
        <w:tabs>
          <w:tab w:leader="none" w:pos="1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that Indemnitee seeks a judicial adjudication of Indemnitee’s rights under, or to recover damages for breach of, this Agreement, or to recover under any D&amp;O Insurance policies maintained by the Company, the Company shall pay on Indemnitee’s behalf, in advance, any and all expenses (of the types described in the definition of Expenses in Section 13(d) of this Agreement) actually incurred by Indemnitee in such judicial adjudication, regardless of whether Indemnitee ultimately is determined to be entitled to such indemnification, advancement of expenses, or insurance recovery. The Company and Indemnitee agree that monetary remedy for breach of this Agreement may be inadequate, impractical, or difficult to prove, and further agree that such breach may cause Indemnitee irreparable harm. Accordingly, the parties agree that Indemnitee shall be entitled to seek and obtain specific performance and injunctive or other equitable relief (without the necessity of posting bond) as a remedy for any such breach. Such remedy shall not be deemed to be the exclusive remedy for breach of this Agreement, but shall be in addition to all other remedies available at law.</w:t>
      </w:r>
    </w:p>
    <w:p>
      <w:pPr>
        <w:spacing w:after="0" w:line="165" w:lineRule="exact"/>
        <w:rPr>
          <w:rFonts w:ascii="Arial" w:cs="Arial" w:eastAsia="Arial" w:hAnsi="Arial"/>
          <w:sz w:val="16"/>
          <w:szCs w:val="16"/>
          <w:color w:val="auto"/>
        </w:rPr>
      </w:pPr>
    </w:p>
    <w:p>
      <w:pPr>
        <w:jc w:val="both"/>
        <w:ind w:left="-880" w:firstLine="1735"/>
        <w:spacing w:after="0" w:line="272" w:lineRule="auto"/>
        <w:tabs>
          <w:tab w:leader="none" w:pos="17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shall be precluded from asserting in any judicial proceeding commenced pursuant to this Section 6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thereof) advance, to the extent not prohibited by law, such expenses to indemnitee, which are incurred by Indemnitee in connection with any action brought by Indemnitee for indemnification or advance of Expenses from the Company under this Agreement or under any D&amp;O Insurance policies maintained by the Company, regardless of whether Indemnitee ultimately is determined to be entitled to such indemnification, advancement of Expenses, or insurance recovery, as the case may be.</w:t>
      </w:r>
    </w:p>
    <w:p>
      <w:pPr>
        <w:spacing w:after="0" w:line="177" w:lineRule="exact"/>
        <w:rPr>
          <w:rFonts w:ascii="Arial" w:cs="Arial" w:eastAsia="Arial" w:hAnsi="Arial"/>
          <w:sz w:val="17"/>
          <w:szCs w:val="17"/>
          <w:color w:val="auto"/>
        </w:rPr>
      </w:pPr>
    </w:p>
    <w:p>
      <w:pPr>
        <w:ind w:left="-880" w:firstLine="1735"/>
        <w:spacing w:after="0" w:line="277" w:lineRule="auto"/>
        <w:tabs>
          <w:tab w:leader="none" w:pos="1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u w:val="single" w:color="auto"/>
          <w:color w:val="auto"/>
        </w:rPr>
        <w:t>Non-Exclusivity; Survival of Rights; Insurance; Subrogation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880" w:firstLine="1735"/>
        <w:spacing w:after="0" w:line="286" w:lineRule="auto"/>
        <w:tabs>
          <w:tab w:leader="none" w:pos="16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rights of indemnification as provided by this Agreement shall not be deemed exclusive of any other rights to which Indemnitee may at any time be entitled under applicable law, the Certificate, the Bylaws, any agreement, a vote of stockholders, a resolution of directors, or otherwise. No amendment, alteration, or repeal of the Certificate, the Bylaws, this Agreement or of any other provision hereof shall limit or restrict any right of Indemnitee under this Agreement in respect of any action taken or omitted by such Indemnitee in Indemnitee’s Corporate Status prior to such amendment, alteration or repeal. To the extent that a change in the law, whether by statute or judicial decision, permits greater indemnification than would be afforded currently under the Certificate, the Bylaws and this Agreement, it is the intent of the parties hereto that Indemnitee shall enjoy by this Agreement the greater benefits so afforded by such change. To the extent that a change in the law, whether by statute or judicial decision, limits the indemnification rights that would be afforded currently under the Certificate, the Bylaws and this Agreement, it is the intent of the parties hereto that such change, to the extent not otherwise required by such law, statute, or rule to be applied to this Agreement, shall have no effect on this Agreement or the parties’ rights and obligations hereunder.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The indemnification provided under this Agreement shall continue as to Indemnitee for any action taken or not taken while serving in an indemnified capacity even though he or she may have ceased to serve in such capacity at the time of any action or other covered Proceeding.</w:t>
      </w:r>
    </w:p>
    <w:p>
      <w:pPr>
        <w:spacing w:after="0" w:line="170" w:lineRule="exact"/>
        <w:rPr>
          <w:rFonts w:ascii="Arial" w:cs="Arial" w:eastAsia="Arial" w:hAnsi="Arial"/>
          <w:sz w:val="16"/>
          <w:szCs w:val="16"/>
          <w:color w:val="auto"/>
        </w:rPr>
      </w:pPr>
    </w:p>
    <w:p>
      <w:pPr>
        <w:jc w:val="both"/>
        <w:ind w:left="-880" w:firstLine="1735"/>
        <w:spacing w:after="0" w:line="257" w:lineRule="auto"/>
        <w:tabs>
          <w:tab w:leader="none" w:pos="1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agent or fiduciary under such policy or policies. In the event of a change in control or the Company becoming insolvent, including being placed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46990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7" w:right="339" w:bottom="1440" w:gutter="0" w:footer="0" w:header="0"/>
        </w:sectPr>
      </w:pPr>
    </w:p>
    <w:bookmarkStart w:id="101" w:name="page102"/>
    <w:bookmarkEnd w:id="101"/>
    <w:p>
      <w:pPr>
        <w:jc w:val="both"/>
        <w:spacing w:after="0" w:line="275" w:lineRule="auto"/>
        <w:rPr>
          <w:sz w:val="20"/>
          <w:szCs w:val="20"/>
          <w:color w:val="auto"/>
        </w:rPr>
      </w:pPr>
      <w:r>
        <w:rPr>
          <w:rFonts w:ascii="Arial" w:cs="Arial" w:eastAsia="Arial" w:hAnsi="Arial"/>
          <w:sz w:val="17"/>
          <w:szCs w:val="17"/>
          <w:color w:val="auto"/>
        </w:rPr>
        <w:t>receivership or entering the federal bankruptcy process, the Company shall maintain in force any and all insurance policies then maintained by the Company in respect of Indemnitee for a period of six years thereafter. The policy shall be placed by the broker of the Company’s choice with incumbent insurance carriers using the policies that were in place at the time of the change in control or insolvency event (unless the incumbent carriers do not offer such policies, in which case the policy shall be substantially comparable in scope and amount as the expiring policies, and the insurance carriers for the policy shall have an AM Best rating that is the same or better than the AM Best ratings of the expiring policies).</w:t>
      </w:r>
    </w:p>
    <w:p>
      <w:pPr>
        <w:spacing w:after="0" w:line="176" w:lineRule="exact"/>
        <w:rPr>
          <w:sz w:val="20"/>
          <w:szCs w:val="20"/>
          <w:color w:val="auto"/>
        </w:rPr>
      </w:pPr>
    </w:p>
    <w:p>
      <w:pPr>
        <w:jc w:val="both"/>
        <w:ind w:firstLine="1735"/>
        <w:spacing w:after="0" w:line="263" w:lineRule="auto"/>
        <w:tabs>
          <w:tab w:leader="none" w:pos="25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0"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u w:val="single" w:color="auto"/>
          <w:color w:val="auto"/>
        </w:rPr>
        <w:t>Exception to Right of Indemnification</w:t>
      </w:r>
      <w:r>
        <w:rPr>
          <w:rFonts w:ascii="Arial" w:cs="Arial" w:eastAsia="Arial" w:hAnsi="Arial"/>
          <w:sz w:val="16"/>
          <w:szCs w:val="16"/>
          <w:b w:val="1"/>
          <w:bCs w:val="1"/>
          <w:color w:val="auto"/>
        </w:rPr>
        <w:t>.</w:t>
      </w:r>
    </w:p>
    <w:p>
      <w:pPr>
        <w:spacing w:after="0" w:line="229" w:lineRule="exact"/>
        <w:rPr>
          <w:sz w:val="20"/>
          <w:szCs w:val="20"/>
          <w:color w:val="auto"/>
        </w:rPr>
      </w:pPr>
    </w:p>
    <w:p>
      <w:pPr>
        <w:ind w:firstLine="1727"/>
        <w:spacing w:after="0" w:line="277" w:lineRule="auto"/>
        <w:rPr>
          <w:sz w:val="20"/>
          <w:szCs w:val="20"/>
          <w:color w:val="auto"/>
        </w:rPr>
      </w:pPr>
      <w:r>
        <w:rPr>
          <w:rFonts w:ascii="Arial" w:cs="Arial" w:eastAsia="Arial" w:hAnsi="Arial"/>
          <w:sz w:val="18"/>
          <w:szCs w:val="18"/>
          <w:color w:val="auto"/>
        </w:rPr>
        <w:t>Notwithstanding any provision in this Agreement, the Company shall not be obligated under this Agreement to make any indemnity in connection with any claim made against Indemnitee:</w:t>
      </w:r>
    </w:p>
    <w:p>
      <w:pPr>
        <w:spacing w:after="0" w:line="170" w:lineRule="exact"/>
        <w:rPr>
          <w:sz w:val="20"/>
          <w:szCs w:val="20"/>
          <w:color w:val="auto"/>
        </w:rPr>
      </w:pPr>
    </w:p>
    <w:p>
      <w:pPr>
        <w:ind w:firstLine="1735"/>
        <w:spacing w:after="0" w:line="277" w:lineRule="auto"/>
        <w:tabs>
          <w:tab w:leader="none" w:pos="2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except with respect to any excess beyond the amount paid under any insurance policy;</w:t>
      </w:r>
    </w:p>
    <w:p>
      <w:pPr>
        <w:spacing w:after="0" w:line="170" w:lineRule="exact"/>
        <w:rPr>
          <w:rFonts w:ascii="Arial" w:cs="Arial" w:eastAsia="Arial" w:hAnsi="Arial"/>
          <w:sz w:val="18"/>
          <w:szCs w:val="18"/>
          <w:color w:val="auto"/>
        </w:rPr>
      </w:pPr>
    </w:p>
    <w:p>
      <w:pPr>
        <w:jc w:val="both"/>
        <w:ind w:firstLine="1735"/>
        <w:spacing w:after="0" w:line="255" w:lineRule="auto"/>
        <w:tabs>
          <w:tab w:leader="none" w:pos="25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the Company provides the indemnification, in its sole discretion, pursuant to the powers vested in the Company under applicable law, (iii) the Proceeding was initiated to establish or enforce a right to indemnification under this Agreement, any other agreement or insurance policy, or under the Bylaws or the Certificate or (iv) as otherwise required under the laws of the State of Delaware; or</w:t>
      </w:r>
    </w:p>
    <w:p>
      <w:pPr>
        <w:spacing w:after="0" w:line="192"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Securities Exchange Act of 1934, as amended, or similar provisions of state statutory law or common law.</w:t>
      </w:r>
    </w:p>
    <w:p>
      <w:pPr>
        <w:spacing w:after="0" w:line="180"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Duration of Agreement</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7"/>
          <w:szCs w:val="17"/>
          <w:color w:val="auto"/>
        </w:rPr>
        <w:t>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this Agreement) by reason of Indemnitee’s Corporate Status, whether or not he or she is acting or serving in any such capacity at the time any liability or expense is incurred for which indemnification can be provided under this Agreement.</w:t>
      </w:r>
    </w:p>
    <w:p>
      <w:pPr>
        <w:spacing w:after="0" w:line="172"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u w:val="single" w:color="auto"/>
          <w:color w:val="auto"/>
        </w:rPr>
        <w:t>Period of Limitations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8"/>
          <w:szCs w:val="18"/>
          <w:color w:val="auto"/>
        </w:rPr>
        <w:t xml:space="preserve">No legal action shall be brought and no cause of action shall be asserted by or in the right of the Company against 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shorter period of limitations is otherwise applicable to any such cause of action, such shorter period shall govern.</w:t>
      </w:r>
    </w:p>
    <w:p>
      <w:pPr>
        <w:spacing w:after="0" w:line="18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Security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8"/>
          <w:szCs w:val="18"/>
          <w:color w:val="auto"/>
        </w:rPr>
        <w:t>To the extent requested by Indemnitee and approved by the Board, the Company may at any time and from time to time provide security to Indemnitee for the Company’s obligations hereunder through an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ind w:right="20"/>
        <w:spacing w:after="0" w:line="277" w:lineRule="auto"/>
        <w:rPr>
          <w:sz w:val="20"/>
          <w:szCs w:val="20"/>
          <w:color w:val="auto"/>
        </w:rPr>
      </w:pPr>
      <w:r>
        <w:rPr>
          <w:rFonts w:ascii="Arial" w:cs="Arial" w:eastAsia="Arial" w:hAnsi="Arial"/>
          <w:sz w:val="18"/>
          <w:szCs w:val="18"/>
          <w:color w:val="auto"/>
        </w:rPr>
        <w:t>bank line of credit, funded trust or other collateral. Any such security, once provided to Indemnitee, may not be revoked or released without the prior written consent of Indemnitee.</w:t>
      </w:r>
    </w:p>
    <w:p>
      <w:pPr>
        <w:spacing w:after="0" w:line="166"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u w:val="single" w:color="auto"/>
          <w:color w:val="auto"/>
        </w:rPr>
        <w:t>Enforcement</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35"/>
        <w:spacing w:after="0" w:line="263" w:lineRule="auto"/>
        <w:tabs>
          <w:tab w:leader="none" w:pos="25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or continue to serve as an officer or director of the Company, and the Company acknowledges that Indemnitee is relying upon this Agreement in serving as an officer or director of the Company.</w:t>
      </w:r>
    </w:p>
    <w:p>
      <w:pPr>
        <w:spacing w:after="0" w:line="183" w:lineRule="exact"/>
        <w:rPr>
          <w:rFonts w:ascii="Arial" w:cs="Arial" w:eastAsia="Arial" w:hAnsi="Arial"/>
          <w:sz w:val="18"/>
          <w:szCs w:val="18"/>
          <w:color w:val="auto"/>
        </w:rPr>
      </w:pPr>
    </w:p>
    <w:p>
      <w:pPr>
        <w:jc w:val="both"/>
        <w:ind w:firstLine="1735"/>
        <w:spacing w:after="0" w:line="255" w:lineRule="auto"/>
        <w:tabs>
          <w:tab w:leader="none" w:pos="25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 however</w:t>
      </w:r>
      <w:r>
        <w:rPr>
          <w:rFonts w:ascii="Arial" w:cs="Arial" w:eastAsia="Arial" w:hAnsi="Arial"/>
          <w:sz w:val="18"/>
          <w:szCs w:val="18"/>
          <w:color w:val="auto"/>
        </w:rPr>
        <w:t>, (i) that this Agreement is a supplement to and in furtherance of the Certificate, the Bylaws and any applicable law, and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a substitute thereof, nor to diminish or abrogate any rights of Indemnitee thereunder and, (ii) any provision of a prior agreement between the parties with respect to the subject matter hereof that expressly grants rights to third party beneficiaries shall not be superseded, and shall be incorporated into this Agreement.</w:t>
      </w:r>
    </w:p>
    <w:p>
      <w:pPr>
        <w:spacing w:after="0" w:line="188"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For purposes of this Agreement:</w:t>
      </w:r>
    </w:p>
    <w:p>
      <w:pPr>
        <w:spacing w:after="0" w:line="225" w:lineRule="exact"/>
        <w:rPr>
          <w:sz w:val="20"/>
          <w:szCs w:val="20"/>
          <w:color w:val="auto"/>
        </w:rPr>
      </w:pPr>
    </w:p>
    <w:p>
      <w:pPr>
        <w:ind w:left="2580" w:hanging="845"/>
        <w:spacing w:after="0"/>
        <w:tabs>
          <w:tab w:leader="none" w:pos="2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Saturday, Sunday or any day on which banks are generally not open for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City of New York.</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describes the status of a person who is or was a director, officer, employee or agent or fiduciary of the Company or of any other corporation, partnership, joint venture, trust, employee benefit plan or other enterprise that such person is or was serving at the request of the Company, including on or prior to the date of this Agreement.</w:t>
      </w:r>
    </w:p>
    <w:p>
      <w:pPr>
        <w:spacing w:after="0" w:line="183" w:lineRule="exact"/>
        <w:rPr>
          <w:rFonts w:ascii="Arial" w:cs="Arial" w:eastAsia="Arial" w:hAnsi="Arial"/>
          <w:sz w:val="18"/>
          <w:szCs w:val="18"/>
          <w:color w:val="auto"/>
        </w:rPr>
      </w:pPr>
    </w:p>
    <w:p>
      <w:pPr>
        <w:ind w:firstLine="1735"/>
        <w:spacing w:after="0" w:line="342" w:lineRule="auto"/>
        <w:tabs>
          <w:tab w:leader="none" w:pos="2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w:t>
      </w:r>
      <w:r>
        <w:rPr>
          <w:rFonts w:ascii="Arial" w:cs="Arial" w:eastAsia="Arial" w:hAnsi="Arial"/>
          <w:sz w:val="16"/>
          <w:szCs w:val="16"/>
          <w:color w:val="auto"/>
        </w:rPr>
        <w:t>” shall mean the Company and any other corporation, partnership, joint venture, trust, employee benefit plan or other enterprise of which Indemnitee is or was serving at the express written request of the Company as a director, officer, employee, agent or fiduciary.</w:t>
      </w:r>
    </w:p>
    <w:p>
      <w:pPr>
        <w:spacing w:after="0" w:line="123" w:lineRule="exact"/>
        <w:rPr>
          <w:rFonts w:ascii="Arial" w:cs="Arial" w:eastAsia="Arial" w:hAnsi="Arial"/>
          <w:sz w:val="16"/>
          <w:szCs w:val="16"/>
          <w:color w:val="auto"/>
        </w:rPr>
      </w:pPr>
    </w:p>
    <w:p>
      <w:pPr>
        <w:jc w:val="both"/>
        <w:ind w:firstLine="1735"/>
        <w:spacing w:after="0" w:line="290" w:lineRule="auto"/>
        <w:tabs>
          <w:tab w:leader="none" w:pos="25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mean all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investigating, defending, being a witness in or participating in (including and appeal), settling or preparing to prosecute or defend, to be a witness in or to participate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65" w:lineRule="exact"/>
        <w:rPr>
          <w:rFonts w:ascii="Arial" w:cs="Arial" w:eastAsia="Arial" w:hAnsi="Arial"/>
          <w:sz w:val="16"/>
          <w:szCs w:val="16"/>
          <w:color w:val="auto"/>
        </w:rPr>
      </w:pPr>
    </w:p>
    <w:p>
      <w:pPr>
        <w:jc w:val="both"/>
        <w:ind w:firstLine="1735"/>
        <w:spacing w:after="0" w:line="271" w:lineRule="auto"/>
        <w:tabs>
          <w:tab w:leader="none" w:pos="25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Indemnitee or of any inaction on Indemnitee’s part while acting as an officer or director of the Company, or by reason of the fact that Indemnitee is or was serving at the request of the Company as a director, officer, employee, agent or fiduciary of another corporation, partnership, joint venture, trust or other Enterprise; in each case whether or not he or she is acting or serving in any such capacity at the time any liability or expense is incurred for which indemnification can be provided under this Agreement; including one pending on or before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86" w:lineRule="auto"/>
        <w:rPr>
          <w:sz w:val="20"/>
          <w:szCs w:val="20"/>
          <w:color w:val="auto"/>
        </w:rPr>
      </w:pPr>
      <w:r>
        <w:rPr>
          <w:rFonts w:ascii="Arial" w:cs="Arial" w:eastAsia="Arial" w:hAnsi="Arial"/>
          <w:sz w:val="16"/>
          <w:szCs w:val="16"/>
          <w:color w:val="auto"/>
        </w:rPr>
        <w:t>If any provision or provisions of this Agreement shall be held by a court of competent jurisdiction to be invalid, void, illegal or otherwise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1" w:lineRule="exact"/>
        <w:rPr>
          <w:sz w:val="20"/>
          <w:szCs w:val="20"/>
          <w:color w:val="auto"/>
        </w:rPr>
      </w:pPr>
    </w:p>
    <w:p>
      <w:pPr>
        <w:jc w:val="both"/>
        <w:ind w:firstLine="8"/>
        <w:spacing w:after="0" w:line="270" w:lineRule="auto"/>
        <w:tabs>
          <w:tab w:leader="none" w:pos="2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u w:val="single" w:color="auto"/>
          <w:color w:val="auto"/>
        </w:rPr>
        <w:t>Attorneys’ Fees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96" w:lineRule="auto"/>
        <w:rPr>
          <w:sz w:val="20"/>
          <w:szCs w:val="20"/>
          <w:color w:val="auto"/>
        </w:rPr>
      </w:pPr>
      <w:r>
        <w:rPr>
          <w:rFonts w:ascii="Arial" w:cs="Arial" w:eastAsia="Arial" w:hAnsi="Arial"/>
          <w:sz w:val="16"/>
          <w:szCs w:val="16"/>
          <w:color w:val="auto"/>
        </w:rPr>
        <w:t>In the event that any action is instituted by Indemnitee under this Agreement to enforce or interpret any of the terms hereof, Indemnitee shall be entitled to be paid all expenses (of the types described in the definition of Expenses in Section 13(d) of this Agreement) incurred by Indemnitee with respect to such action. In the event of an action instituted by or in the name of the Company under this Agreement or to enforce or interpret any of the terms of this Agreement, Indemnitee shall be entitled to be paid all expenses (of the types described in the definition of Expenses in Section 13(d) of this Agreement) in defense of such action (including with respect to Indemnitee's counterclaims and cross claims made in such action).</w:t>
      </w:r>
    </w:p>
    <w:p>
      <w:pPr>
        <w:spacing w:after="0" w:line="157"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Modification and Waiver.</w:t>
      </w:r>
    </w:p>
    <w:p>
      <w:pPr>
        <w:spacing w:after="0" w:line="229" w:lineRule="exact"/>
        <w:rPr>
          <w:sz w:val="20"/>
          <w:szCs w:val="20"/>
          <w:color w:val="auto"/>
        </w:rPr>
      </w:pPr>
    </w:p>
    <w:p>
      <w:pPr>
        <w:jc w:val="both"/>
        <w:ind w:firstLine="1727"/>
        <w:spacing w:after="0" w:line="263" w:lineRule="auto"/>
        <w:rPr>
          <w:sz w:val="20"/>
          <w:szCs w:val="20"/>
          <w:color w:val="auto"/>
        </w:rPr>
      </w:pPr>
      <w:r>
        <w:rPr>
          <w:rFonts w:ascii="Arial" w:cs="Arial" w:eastAsia="Arial" w:hAnsi="Arial"/>
          <w:sz w:val="18"/>
          <w:szCs w:val="18"/>
          <w:color w:val="auto"/>
        </w:rPr>
        <w:t>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0"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727"/>
        <w:spacing w:after="0" w:line="286" w:lineRule="auto"/>
        <w:rPr>
          <w:sz w:val="20"/>
          <w:szCs w:val="20"/>
          <w:color w:val="auto"/>
        </w:rPr>
      </w:pPr>
      <w:r>
        <w:rPr>
          <w:rFonts w:ascii="Arial" w:cs="Arial" w:eastAsia="Arial" w:hAnsi="Arial"/>
          <w:sz w:val="16"/>
          <w:szCs w:val="16"/>
          <w:color w:val="auto"/>
        </w:rPr>
        <w:t>This Agreement shall be binding upon and inure to the benefit of and be enforceable by the parties hereto and their respective successors (including any direct or indirect successor by purchase, merger, consolidation, reorganization or otherwise to all or substantially all of the business and/or assets of the Company), assigns, spouses, heirs, executors, administrators, representatives, legatees and other successors. The Company shall require and cause any successor (whether direct or indirect by purchase, merger, consolidation, reorganization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or agent of the Company or of any other enterprise at the request of the Company as a director, officer, employee or agent of another corporation, partnership, limited liability company, joint venture, trust, employee benefit plan or other enterprise and shall continue for so long as Indemnitee may have any liability or potential liability by virtue of his or her service in such capacity, including the final termination of all pending Proceedings or claims in respect of which Indemnitee is granted rights of indemnification or advancement of Expenses hereunder and of any Proceedings or claims commenced by Indemnitee pursuant to this Agreement relating thereto, whether or not he or she is acting or serving in such capacity at the time any liability or Expense is incurred for which indemnification or advancement of Expenses can be provided hereunder. This Agreement is personal in nature and neither of the parties hereto shall, without the consent of the other, assign or delegate this Agreement or any rights or obligations hereunder except as expressly provided in this Section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Notice by Indemnitee</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7"/>
          <w:szCs w:val="17"/>
          <w:color w:val="auto"/>
        </w:rPr>
        <w:t>Indemnitee agrees promptly to notify the Company in writing upon being served or otherwise receiving with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the Indemnitee under this Agreement or otherwise unless and only to the extent that such failure or delay materially prejudices the Company.</w:t>
      </w:r>
    </w:p>
    <w:p>
      <w:pPr>
        <w:spacing w:after="0" w:line="167"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8"/>
          <w:szCs w:val="18"/>
          <w:color w:val="auto"/>
        </w:rPr>
        <w:t>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434975</wp:posOffset>
            </wp:positionV>
            <wp:extent cx="30175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288925</wp:posOffset>
            </wp:positionV>
            <wp:extent cx="30175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wp:posOffset>
            </wp:positionV>
            <wp:extent cx="24771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247713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-130175</wp:posOffset>
            </wp:positionV>
            <wp:extent cx="30175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wp:posOffset>
            </wp:positionV>
            <wp:extent cx="24771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wp:posOffset>
            </wp:positionV>
            <wp:extent cx="24771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Addus HomeCare Corporation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6303 Cowboys Way, Suite 600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Frisco, Texas 75034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Sean Gaffney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(469) 535-8216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sgaffney@addus.com</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Bass Berry &amp; Sims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David Cox</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 to such other representative or at such other address of a party as such party may furnish to the other parties in writing. Any notice which is delivered personally or by facsimile or other electronic transmission in the manner provided herein shall be deemed to have been duly given to the party to whom it is directed upon actual receipt by such party or its agent. Any notice which is addressed and mailed in the manner herein provided shall be conclusively presumed to have been duly given to the party to which it is addressed at the close of business, local time of the recipient, on the fourth Business Day after the day it is so placed in the mail (or on the first Business Day after placed in the mail if sent by overnight courier) or, if earlier, the time of actual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86" w:lineRule="auto"/>
        <w:rPr>
          <w:sz w:val="20"/>
          <w:szCs w:val="20"/>
          <w:color w:val="auto"/>
        </w:rPr>
      </w:pPr>
      <w:r>
        <w:rPr>
          <w:rFonts w:ascii="Arial" w:cs="Arial" w:eastAsia="Arial" w:hAnsi="Arial"/>
          <w:sz w:val="17"/>
          <w:szCs w:val="17"/>
          <w:color w:val="auto"/>
        </w:rPr>
        <w:t>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61"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Captions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8"/>
          <w:szCs w:val="18"/>
          <w:color w:val="auto"/>
        </w:rPr>
        <w:t>The captions of the paragraphs of this Agreement are inserted for convenience only and shall not be deemed to constitute part of this Agreement or to affect the construction thereof.</w:t>
      </w:r>
    </w:p>
    <w:p>
      <w:pPr>
        <w:spacing w:after="0" w:line="166"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Governing Law and Consent to Jurisdiction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1727"/>
        <w:spacing w:after="0" w:line="288" w:lineRule="auto"/>
        <w:rPr>
          <w:sz w:val="20"/>
          <w:szCs w:val="20"/>
          <w:color w:val="auto"/>
        </w:rPr>
      </w:pPr>
      <w:r>
        <w:rPr>
          <w:rFonts w:ascii="Arial" w:cs="Arial" w:eastAsia="Arial" w:hAnsi="Arial"/>
          <w:sz w:val="16"/>
          <w:szCs w:val="16"/>
          <w:color w:val="auto"/>
        </w:rPr>
        <w:t>This Agreement and the legal relations among the parties shall be governed by, and construed and enforced in accordance with, the laws of the State of Delaware, without regard to its conflict of law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6"/>
          <w:szCs w:val="16"/>
          <w:u w:val="single" w:color="auto"/>
          <w:color w:val="auto"/>
        </w:rPr>
        <w:t>Delaware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 Any interpretation or construction of this Agreement shall be made in accordance with the intent of this Agreement as expressed in the first sentence of Section 5. Any ambiguity shall be interpreted in favor of indemnification and advancement of expenses. Grants of indemnification and advancement of expenses shall be interpreted broadly. Limitations on indemnification and advancement of expenses shall be interpreted narrowly.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IN WITNESS WHEREOF, the parties hereto have executed this Agreement on the day and year first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ADDUS HOMECARE CORPORATION</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000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000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0003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[Signature Page to Indemnification Agreement]</w:t>
      </w:r>
    </w:p>
    <w:p>
      <w:pPr>
        <w:sectPr>
          <w:pgSz w:w="11900" w:h="16838" w:orient="portrait"/>
          <w:cols w:equalWidth="0" w:num="1">
            <w:col w:w="9259"/>
          </w:cols>
          <w:pgMar w:left="1200" w:top="557"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60" w:type="dxa"/>
            <w:vAlign w:val="bottom"/>
            <w:gridSpan w:val="2"/>
          </w:tcPr>
          <w:p>
            <w:pPr>
              <w:ind w:left="4100"/>
              <w:spacing w:after="0"/>
              <w:rPr>
                <w:sz w:val="20"/>
                <w:szCs w:val="20"/>
                <w:color w:val="auto"/>
              </w:rPr>
            </w:pPr>
            <w:r>
              <w:rPr>
                <w:rFonts w:ascii="Arial" w:cs="Arial" w:eastAsia="Arial" w:hAnsi="Arial"/>
                <w:sz w:val="16"/>
                <w:szCs w:val="16"/>
                <w:b w:val="1"/>
                <w:bCs w:val="1"/>
                <w:color w:val="auto"/>
                <w:w w:val="94"/>
              </w:rPr>
              <w:t>Exhibit 21.1</w:t>
            </w:r>
          </w:p>
        </w:tc>
      </w:tr>
      <w:tr>
        <w:trPr>
          <w:trHeight w:val="418"/>
        </w:trPr>
        <w:tc>
          <w:tcPr>
            <w:tcW w:w="3720" w:type="dxa"/>
            <w:vAlign w:val="bottom"/>
          </w:tcPr>
          <w:p>
            <w:pPr>
              <w:spacing w:after="0"/>
              <w:rPr>
                <w:sz w:val="24"/>
                <w:szCs w:val="24"/>
                <w:color w:val="auto"/>
              </w:rPr>
            </w:pPr>
          </w:p>
        </w:tc>
        <w:tc>
          <w:tcPr>
            <w:tcW w:w="7540" w:type="dxa"/>
            <w:vAlign w:val="bottom"/>
            <w:gridSpan w:val="3"/>
          </w:tcPr>
          <w:p>
            <w:pPr>
              <w:ind w:left="460"/>
              <w:spacing w:after="0"/>
              <w:rPr>
                <w:sz w:val="20"/>
                <w:szCs w:val="20"/>
                <w:color w:val="auto"/>
              </w:rPr>
            </w:pPr>
            <w:r>
              <w:rPr>
                <w:rFonts w:ascii="Arial" w:cs="Arial" w:eastAsia="Arial" w:hAnsi="Arial"/>
                <w:sz w:val="16"/>
                <w:szCs w:val="16"/>
                <w:b w:val="1"/>
                <w:bCs w:val="1"/>
                <w:color w:val="auto"/>
              </w:rPr>
              <w:t>SUBSIDIARIES OF THE REGISTRANT</w:t>
            </w:r>
          </w:p>
        </w:tc>
      </w:tr>
      <w:tr>
        <w:trPr>
          <w:trHeight w:val="397"/>
        </w:trPr>
        <w:tc>
          <w:tcPr>
            <w:tcW w:w="3720" w:type="dxa"/>
            <w:vAlign w:val="bottom"/>
          </w:tcPr>
          <w:p>
            <w:pPr>
              <w:spacing w:after="0"/>
              <w:rPr>
                <w:sz w:val="24"/>
                <w:szCs w:val="24"/>
                <w:color w:val="auto"/>
              </w:rPr>
            </w:pPr>
          </w:p>
        </w:tc>
        <w:tc>
          <w:tcPr>
            <w:tcW w:w="2580" w:type="dxa"/>
            <w:vAlign w:val="bottom"/>
          </w:tcPr>
          <w:p>
            <w:pPr>
              <w:jc w:val="center"/>
              <w:ind w:left="499"/>
              <w:spacing w:after="0"/>
              <w:rPr>
                <w:sz w:val="20"/>
                <w:szCs w:val="20"/>
                <w:color w:val="auto"/>
              </w:rPr>
            </w:pPr>
            <w:r>
              <w:rPr>
                <w:rFonts w:ascii="Arial" w:cs="Arial" w:eastAsia="Arial" w:hAnsi="Arial"/>
                <w:sz w:val="16"/>
                <w:szCs w:val="16"/>
                <w:b w:val="1"/>
                <w:bCs w:val="1"/>
                <w:color w:val="auto"/>
                <w:w w:val="88"/>
              </w:rPr>
              <w:t>State of</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b w:val="1"/>
                <w:bCs w:val="1"/>
                <w:color w:val="auto"/>
              </w:rPr>
              <w:t>Name of Subsidiary</w:t>
            </w:r>
          </w:p>
        </w:tc>
        <w:tc>
          <w:tcPr>
            <w:tcW w:w="2580" w:type="dxa"/>
            <w:vAlign w:val="bottom"/>
          </w:tcPr>
          <w:p>
            <w:pPr>
              <w:jc w:val="center"/>
              <w:ind w:left="499"/>
              <w:spacing w:after="0"/>
              <w:rPr>
                <w:sz w:val="20"/>
                <w:szCs w:val="20"/>
                <w:color w:val="auto"/>
              </w:rPr>
            </w:pPr>
            <w:r>
              <w:rPr>
                <w:rFonts w:ascii="Arial" w:cs="Arial" w:eastAsia="Arial" w:hAnsi="Arial"/>
                <w:sz w:val="16"/>
                <w:szCs w:val="16"/>
                <w:b w:val="1"/>
                <w:bCs w:val="1"/>
                <w:color w:val="auto"/>
                <w:w w:val="93"/>
              </w:rPr>
              <w:t>Incorporation</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88"/>
              </w:rPr>
              <w:t>Doing Business As Name</w:t>
            </w:r>
          </w:p>
        </w:tc>
      </w:tr>
      <w:tr>
        <w:trPr>
          <w:trHeight w:val="189"/>
        </w:trPr>
        <w:tc>
          <w:tcPr>
            <w:tcW w:w="37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 Plus Health Care, Inc.</w:t>
            </w:r>
          </w:p>
        </w:tc>
        <w:tc>
          <w:tcPr>
            <w:tcW w:w="2580" w:type="dxa"/>
            <w:vAlign w:val="bottom"/>
            <w:tcBorders>
              <w:top w:val="single" w:sz="8" w:color="auto"/>
            </w:tcBorders>
          </w:tcPr>
          <w:p>
            <w:pPr>
              <w:jc w:val="center"/>
              <w:ind w:left="499"/>
              <w:spacing w:after="0"/>
              <w:rPr>
                <w:sz w:val="20"/>
                <w:szCs w:val="20"/>
                <w:color w:val="auto"/>
              </w:rPr>
            </w:pPr>
            <w:r>
              <w:rPr>
                <w:rFonts w:ascii="Arial" w:cs="Arial" w:eastAsia="Arial" w:hAnsi="Arial"/>
                <w:sz w:val="16"/>
                <w:szCs w:val="16"/>
                <w:color w:val="auto"/>
                <w:w w:val="89"/>
              </w:rPr>
              <w:t>Montana</w:t>
            </w:r>
          </w:p>
        </w:tc>
        <w:tc>
          <w:tcPr>
            <w:tcW w:w="4940" w:type="dxa"/>
            <w:vAlign w:val="bottom"/>
            <w:tcBorders>
              <w:top w:val="single" w:sz="8" w:color="auto"/>
            </w:tcBorders>
          </w:tcPr>
          <w:p>
            <w:pPr>
              <w:jc w:val="center"/>
              <w:ind w:left="159"/>
              <w:spacing w:after="0"/>
              <w:rPr>
                <w:sz w:val="20"/>
                <w:szCs w:val="20"/>
                <w:color w:val="auto"/>
              </w:rPr>
            </w:pPr>
            <w:r>
              <w:rPr>
                <w:rFonts w:ascii="Arial" w:cs="Arial" w:eastAsia="Arial" w:hAnsi="Arial"/>
                <w:sz w:val="16"/>
                <w:szCs w:val="16"/>
                <w:color w:val="auto"/>
                <w:w w:val="92"/>
              </w:rPr>
              <w:t>A-Plus HealthCare</w:t>
            </w:r>
          </w:p>
        </w:tc>
        <w:tc>
          <w:tcPr>
            <w:tcW w:w="20" w:type="dxa"/>
            <w:vAlign w:val="bottom"/>
          </w:tcPr>
          <w:p>
            <w:pPr>
              <w:spacing w:after="0"/>
              <w:rPr>
                <w:sz w:val="16"/>
                <w:szCs w:val="16"/>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HomeCare Corporation</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Addus Homecare Corporation</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HealthCare (Delaware),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1"/>
              </w:rPr>
              <w:t>Addus HomeCare Delaware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HealthCare (Idaho),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Addus HomeCare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HealthCare (South Carolina),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Addus HomeCare; Arcadia Home Care &amp; Staffing</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HealthCare,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8"/>
              </w:rPr>
              <w:t>Illinois</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Addus HomeCare; Arcadia Home Care &amp; Staffing</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Hospice of Illinois,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JourneyCare – Barrington; JourneyCare – Glenview</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Addus Nurse Care,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Sun City Caregivers; Lifestyle Options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Alamo Area Home Hospice, LP</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82"/>
              </w:rPr>
              <w:t>Texas</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4"/>
              </w:rPr>
              <w:t>Alamo Hospice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Alliance Home Health Care,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6"/>
              </w:rPr>
              <w:t>New Mexico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Ambercare Home Health; Ambercare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Ambercare Corporation</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6"/>
              </w:rPr>
              <w:t>New Mexico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rPr>
              <w:t>N/A</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Ambercare Home Health Care Corporation</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6"/>
              </w:rPr>
              <w:t>New Mexico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0"/>
              </w:rPr>
              <w:t>Ambercare Home Health; Ambercare Personal Care Services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Ambercare Hospice,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6"/>
              </w:rPr>
              <w:t>New Mexico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Ambercare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Armada Hospice of New Mexico,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5"/>
              </w:rPr>
              <w:t>Armada Hospice of New Mexico, LLC</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Armada Hospice of Santa Fe,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Armada Hospice of Santa Fe, LLC</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Armada Skilled Home Care of New Mexico,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1"/>
              </w:rPr>
              <w:t>Ambercare Home Health</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County Homemakers Incorporated</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2"/>
              </w:rPr>
              <w:t>Pennsylvania</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4"/>
              </w:rPr>
              <w:t>Arcadia Home Care &amp; Staffing</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Cura Partners,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85"/>
              </w:rPr>
              <w:t>Tennessee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Addus HomeCare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House Calls of New Mexico,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6"/>
              </w:rPr>
              <w:t>New Mexico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4"/>
              </w:rPr>
              <w:t>House Calls of New Mexico</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Hospice Partners of America Holding,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Alamo Hospice of Conroe; Alamo Hospice of Waco; Hospice of</w:t>
            </w:r>
          </w:p>
        </w:tc>
      </w:tr>
      <w:tr>
        <w:trPr>
          <w:trHeight w:val="203"/>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7"/>
              </w:rPr>
              <w:t>Virginia</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Hospice Partners of America,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Hospice Partners of America</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Hospice Partners of Texas,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0"/>
              </w:rPr>
              <w:t>Hospice Partners of Texas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HPA Medical Management,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Alamo Supportive Care; Serenity Supportive Care; JourneyCare</w:t>
            </w:r>
          </w:p>
        </w:tc>
      </w:tr>
      <w:tr>
        <w:trPr>
          <w:trHeight w:val="203"/>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Palliative 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HPA Idaho,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89"/>
              </w:rPr>
              <w:t>Idaho</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Harrison’s Hope; Harrison’s Hope Twin Falls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H&amp;PC of America,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7"/>
              </w:rPr>
              <w:t>H&amp;PC of America</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Miracle City Hospice,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5"/>
              </w:rPr>
              <w:t>Miracle City Hospice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New Capital Partners II-HS,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New Capital Partners II-HS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Options Service,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2"/>
              </w:rPr>
              <w:t>Colorado</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0"/>
              </w:rPr>
              <w:t>Ambercare Personal Care Services</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PHC Acquisition Corporation</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California</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Addus HomeCare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PRAC Holdings,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4"/>
              </w:rPr>
              <w:t>Arcadia Home Care &amp; Staffing</w:t>
            </w:r>
          </w:p>
        </w:tc>
      </w:tr>
      <w:tr>
        <w:trPr>
          <w:trHeight w:val="202"/>
        </w:trPr>
        <w:tc>
          <w:tcPr>
            <w:tcW w:w="3720" w:type="dxa"/>
            <w:vAlign w:val="bottom"/>
          </w:tcPr>
          <w:p>
            <w:pPr>
              <w:spacing w:after="0"/>
              <w:rPr>
                <w:sz w:val="20"/>
                <w:szCs w:val="20"/>
                <w:color w:val="auto"/>
              </w:rPr>
            </w:pPr>
            <w:r>
              <w:rPr>
                <w:rFonts w:ascii="Arial" w:cs="Arial" w:eastAsia="Arial" w:hAnsi="Arial"/>
                <w:sz w:val="16"/>
                <w:szCs w:val="16"/>
                <w:color w:val="auto"/>
              </w:rPr>
              <w:t>Priority Home Health Care,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Ohio</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Addus HomeCare; Arcadia Home Care &amp; Staffing;</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Professional Reliable Nursing Services,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California</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4"/>
              </w:rPr>
              <w:t>Arcadia Home Care &amp; Staffing</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Queen City Hospice,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3"/>
              </w:rPr>
              <w:t>Queen City Hospice; Day City Hospice; Capital City Hospice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Serenity Palliative Care and Hospice,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Serenity Hospice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SLHC,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5"/>
              </w:rPr>
              <w:t>Arizona</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SunLife Home 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South Shore Home Health Service, Inc.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7"/>
              </w:rPr>
              <w:t>New York</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w w:val="91"/>
              </w:rPr>
              <w:t>Addus HomeCare</w:t>
            </w: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Summit Home Health,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8"/>
              </w:rPr>
              <w:t>Illinois</w:t>
            </w:r>
          </w:p>
        </w:tc>
        <w:tc>
          <w:tcPr>
            <w:tcW w:w="496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Addus Home Health</w:t>
            </w: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TR&amp;B, LLC</w:t>
            </w:r>
          </w:p>
        </w:tc>
        <w:tc>
          <w:tcPr>
            <w:tcW w:w="2580" w:type="dxa"/>
            <w:vAlign w:val="bottom"/>
          </w:tcPr>
          <w:p>
            <w:pPr>
              <w:jc w:val="center"/>
              <w:ind w:left="499"/>
              <w:spacing w:after="0"/>
              <w:rPr>
                <w:sz w:val="20"/>
                <w:szCs w:val="20"/>
                <w:color w:val="auto"/>
              </w:rPr>
            </w:pPr>
            <w:r>
              <w:rPr>
                <w:rFonts w:ascii="Arial" w:cs="Arial" w:eastAsia="Arial" w:hAnsi="Arial"/>
                <w:sz w:val="16"/>
                <w:szCs w:val="16"/>
                <w:color w:val="auto"/>
                <w:w w:val="94"/>
              </w:rPr>
              <w:t>Delaware</w:t>
            </w:r>
          </w:p>
        </w:tc>
        <w:tc>
          <w:tcPr>
            <w:tcW w:w="4960" w:type="dxa"/>
            <w:vAlign w:val="bottom"/>
            <w:gridSpan w:val="2"/>
          </w:tcPr>
          <w:p>
            <w:pPr>
              <w:jc w:val="center"/>
              <w:ind w:left="119"/>
              <w:spacing w:after="0"/>
              <w:rPr>
                <w:sz w:val="20"/>
                <w:szCs w:val="20"/>
                <w:color w:val="auto"/>
              </w:rPr>
            </w:pPr>
            <w:r>
              <w:rPr>
                <w:rFonts w:ascii="Arial" w:cs="Arial" w:eastAsia="Arial" w:hAnsi="Arial"/>
                <w:sz w:val="16"/>
                <w:szCs w:val="16"/>
                <w:color w:val="auto"/>
              </w:rPr>
              <w:t>TR&amp;B</w:t>
            </w:r>
          </w:p>
        </w:tc>
      </w:tr>
    </w:tbl>
    <w:p>
      <w:pPr>
        <w:spacing w:after="0" w:line="19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Pursuant to Item 601(b)(21)(ii) of Regulation S-K, certain subsidiaries have been omitted because, when considered in the aggregate, they do not constitute a significant subsidiary.</w:t>
      </w:r>
    </w:p>
    <w:p>
      <w:pPr>
        <w:sectPr>
          <w:pgSz w:w="11900" w:h="16838" w:orient="portrait"/>
          <w:cols w:equalWidth="0" w:num="1">
            <w:col w:w="11240"/>
          </w:cols>
          <w:pgMar w:left="320" w:top="35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333-233600) and on Form S-8 (Nos. 333-219946, 333-190433, 333-164413) of Addus HomeCare Corporation of our report dated February 25, 2022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Chief Executive Officer and Chairman of the Board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00" w:hanging="612"/>
        <w:spacing w:after="0" w:line="263"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140" w:hanging="605"/>
        <w:spacing w:after="0" w:line="263"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120" w:hanging="605"/>
        <w:spacing w:after="0" w:line="263"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260" w:hanging="605"/>
        <w:spacing w:after="0" w:line="342" w:lineRule="auto"/>
        <w:tabs>
          <w:tab w:leader="none" w:pos="12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5"/>
        <w:spacing w:after="0" w:line="263"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60" w:hanging="612"/>
        <w:spacing w:after="0" w:line="342"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160" w:hanging="605"/>
        <w:spacing w:after="0" w:line="277"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39" w:lineRule="exact"/>
        <w:rPr>
          <w:sz w:val="20"/>
          <w:szCs w:val="20"/>
          <w:color w:val="auto"/>
        </w:rPr>
      </w:pPr>
    </w:p>
    <w:p>
      <w:pPr>
        <w:ind w:left="110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Executive Officer and Chairman of the Board</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Poff, Chief Financial Officer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00" w:hanging="612"/>
        <w:spacing w:after="0" w:line="263"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140" w:hanging="605"/>
        <w:spacing w:after="0" w:line="263"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120" w:hanging="605"/>
        <w:spacing w:after="0" w:line="263"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260" w:hanging="605"/>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5"/>
        <w:spacing w:after="0" w:line="263"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60" w:hanging="612"/>
        <w:spacing w:after="0" w:line="342"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160" w:hanging="605"/>
        <w:spacing w:after="0" w:line="277" w:lineRule="auto"/>
        <w:tabs>
          <w:tab w:leader="none" w:pos="12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2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Brian Poff</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40" w:firstLine="589"/>
        <w:spacing w:after="0" w:line="259" w:lineRule="auto"/>
        <w:rPr>
          <w:sz w:val="20"/>
          <w:szCs w:val="20"/>
          <w:color w:val="auto"/>
        </w:rPr>
      </w:pPr>
      <w:r>
        <w:rPr>
          <w:rFonts w:ascii="Arial" w:cs="Arial" w:eastAsia="Arial" w:hAnsi="Arial"/>
          <w:sz w:val="18"/>
          <w:szCs w:val="18"/>
          <w:color w:val="auto"/>
        </w:rPr>
        <w:t>In connection with the Annual Report on Form 10-K for the fiscal year ended December 31, 2021 of Addus HomeCare Corporation (the “Company”) as filed with the Securities and Exchange Commission on the date hereof (the “Report”), I, R. Dirk Allison, Chief Executive Officer and Chairman of the Board of the Company, certify, pursuant to 18 U.S.C. Section 1350, as adopted pursuant to Section 906 of the Sarbanes-Oxley Act of 2002, that:</w:t>
      </w:r>
    </w:p>
    <w:p>
      <w:pPr>
        <w:spacing w:after="0" w:line="79" w:lineRule="exact"/>
        <w:rPr>
          <w:sz w:val="20"/>
          <w:szCs w:val="20"/>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7700" w:val="left"/>
          <w:tab w:leader="none" w:pos="80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 and Chairman of the Board</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720" w:firstLine="589"/>
        <w:spacing w:after="0" w:line="311" w:lineRule="auto"/>
        <w:rPr>
          <w:sz w:val="20"/>
          <w:szCs w:val="20"/>
          <w:color w:val="auto"/>
        </w:rPr>
      </w:pPr>
      <w:r>
        <w:rPr>
          <w:rFonts w:ascii="Arial" w:cs="Arial" w:eastAsia="Arial" w:hAnsi="Arial"/>
          <w:sz w:val="16"/>
          <w:szCs w:val="16"/>
          <w:color w:val="auto"/>
        </w:rPr>
        <w:t>In connection with the Annual Report on Form 10-K for the fiscal year ended December 31, 2021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7280" w:val="left"/>
          <w:tab w:leader="none" w:pos="762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Brian Poff</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lvl w:ilvl="1">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lvl w:ilvl="1">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decimal"/>
      <w:start w:val="104"/>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Roman"/>
      <w:start w:val="2"/>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2"/>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2"/>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4" Type="http://schemas.openxmlformats.org/officeDocument/2006/relationships/image" Target="media/image68.png"/><Relationship Id="rId110" Type="http://schemas.openxmlformats.org/officeDocument/2006/relationships/image" Target="media/image69.png"/><Relationship Id="rId126"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75" Type="http://schemas.openxmlformats.org/officeDocument/2006/relationships/hyperlink" Target="http://www.sec.gov/Archives/edgar/data/1468328/000119312509238641/dex31.htm" TargetMode="External"/><Relationship Id="rId76" Type="http://schemas.openxmlformats.org/officeDocument/2006/relationships/hyperlink" Target="http://www.sec.gov/Archives/edgar/data/1468328/000119312513211165/d535575dex32.htm" TargetMode="External"/><Relationship Id="rId77" Type="http://schemas.openxmlformats.org/officeDocument/2006/relationships/hyperlink" Target="http://www.sec.gov/Archives/edgar/data/1468328/000119312509202215/dex41.htm" TargetMode="External"/><Relationship Id="rId78" Type="http://schemas.openxmlformats.org/officeDocument/2006/relationships/hyperlink" Target="http://www.sec.gov/Archives/edgar/data/1468328/000156459020038909/adus-ex42_1098.htm" TargetMode="External"/><Relationship Id="rId79" Type="http://schemas.openxmlformats.org/officeDocument/2006/relationships/hyperlink" Target="http://www.sec.gov/Archives/edgar/data/1468328/000119312509194976/dex101b.htm" TargetMode="External"/><Relationship Id="rId80" Type="http://schemas.openxmlformats.org/officeDocument/2006/relationships/hyperlink" Target="http://www.sec.gov/Archives/edgar/data/1468328/000119312509150710/dex1010.htm" TargetMode="External"/><Relationship Id="rId81" Type="http://schemas.openxmlformats.org/officeDocument/2006/relationships/hyperlink" Target="http://www.sec.gov/Archives/edgar/data/1468328/000119312509150710/dex1011.htm" TargetMode="External"/><Relationship Id="rId82" Type="http://schemas.openxmlformats.org/officeDocument/2006/relationships/hyperlink" Target="http://www.sec.gov/Archives/edgar/data/1468328/000119312509150710/dex1012.htm" TargetMode="External"/><Relationship Id="rId83" Type="http://schemas.openxmlformats.org/officeDocument/2006/relationships/hyperlink" Target="http://www.sec.gov/Archives/edgar/data/1468328/000119312509150710/dex1013.htm" TargetMode="External"/><Relationship Id="rId84" Type="http://schemas.openxmlformats.org/officeDocument/2006/relationships/hyperlink" Target="http://www.sec.gov/Archives/edgar/data/1468328/000119312509150710/dex1014.htm" TargetMode="External"/><Relationship Id="rId85" Type="http://schemas.openxmlformats.org/officeDocument/2006/relationships/hyperlink" Target="http://www.sec.gov/Archives/edgar/data/1468328/000119312509150710/dex1016.htm" TargetMode="External"/><Relationship Id="rId86" Type="http://schemas.openxmlformats.org/officeDocument/2006/relationships/hyperlink" Target="http://www.sec.gov/Archives/edgar/data/1468328/000119312509181308/dex1017.htm" TargetMode="External"/><Relationship Id="rId87" Type="http://schemas.openxmlformats.org/officeDocument/2006/relationships/hyperlink" Target="http://www.sec.gov/Archives/edgar/data/1468328/000119312509181308/dex1017a.htm" TargetMode="External"/><Relationship Id="rId88" Type="http://schemas.openxmlformats.org/officeDocument/2006/relationships/hyperlink" Target="http://www.sec.gov/Archives/edgar/data/1468328/000119312509181308/dex1017b.htm" TargetMode="External"/><Relationship Id="rId89" Type="http://schemas.openxmlformats.org/officeDocument/2006/relationships/hyperlink" Target="http://www.sec.gov/Archives/edgar/data/1468328/000119312509181308/dex1017c.htm" TargetMode="External"/><Relationship Id="rId90" Type="http://schemas.openxmlformats.org/officeDocument/2006/relationships/hyperlink" Target="http://www.sec.gov/Archives/edgar/data/1468328/000119312509194976/dex1020.htm" TargetMode="External"/><Relationship Id="rId91" Type="http://schemas.openxmlformats.org/officeDocument/2006/relationships/hyperlink" Target="http://www.sec.gov/Archives/edgar/data/1468328/000119312509194976/dex1020a.htm" TargetMode="External"/><Relationship Id="rId92" Type="http://schemas.openxmlformats.org/officeDocument/2006/relationships/hyperlink" Target="http://www.sec.gov/Archives/edgar/data/1468328/000119312509194976/dex1020b.htm" TargetMode="External"/><Relationship Id="rId93" Type="http://schemas.openxmlformats.org/officeDocument/2006/relationships/hyperlink" Target="http://www.sec.gov/Archives/edgar/data/1468328/000119312512152254/d330100dex991.htm" TargetMode="External"/><Relationship Id="rId95" Type="http://schemas.openxmlformats.org/officeDocument/2006/relationships/hyperlink" Target="http://www.sec.gov/Archives/edgar/data/1468328/000119312512152254/d330100dex992.htm" TargetMode="External"/><Relationship Id="rId96" Type="http://schemas.openxmlformats.org/officeDocument/2006/relationships/hyperlink" Target="http://www.sec.gov/Archives/edgar/data/1468328/000119312513042213/d480092dex991.htm" TargetMode="External"/><Relationship Id="rId97" Type="http://schemas.openxmlformats.org/officeDocument/2006/relationships/hyperlink" Target="http://www.sec.gov/Archives/edgar/data/1468328/000119312514442640/d838067dex991.htm" TargetMode="External"/><Relationship Id="rId98" Type="http://schemas.openxmlformats.org/officeDocument/2006/relationships/hyperlink" Target="http://www.sec.gov/Archives/edgar/data/1468328/000119312515179407/d915192dex101.htm" TargetMode="External"/><Relationship Id="rId99" Type="http://schemas.openxmlformats.org/officeDocument/2006/relationships/hyperlink" Target="http://www.sec.gov/Archives/edgar/data/1468328/000119312516515154/d135434dex101.htm" TargetMode="External"/><Relationship Id="rId100" Type="http://schemas.openxmlformats.org/officeDocument/2006/relationships/hyperlink" Target="http://www.sec.gov/Archives/edgar/data/1468328/000119312516605695/d341955dex991.htm" TargetMode="External"/><Relationship Id="rId101" Type="http://schemas.openxmlformats.org/officeDocument/2006/relationships/hyperlink" Target="http://www.sec.gov/Archives/edgar/data/1468328/000119312516489748/d142696dex992.htm" TargetMode="External"/><Relationship Id="rId102" Type="http://schemas.openxmlformats.org/officeDocument/2006/relationships/hyperlink" Target="http://www.sec.gov/Archives/edgar/data/1468328/000119312517012437/d312476dex101.htm" TargetMode="External"/><Relationship Id="rId103" Type="http://schemas.openxmlformats.org/officeDocument/2006/relationships/hyperlink" Target="http://www.sec.gov/Archives/edgar/data/1468328/000119312517164021/d382362dex103.htm" TargetMode="External"/><Relationship Id="rId104" Type="http://schemas.openxmlformats.org/officeDocument/2006/relationships/hyperlink" Target="http://www.sec.gov/Archives/edgar/data/1468328/000119312517205993/d397204dex101.htm" TargetMode="External"/><Relationship Id="rId105" Type="http://schemas.openxmlformats.org/officeDocument/2006/relationships/hyperlink" Target="http://www.sec.gov/Archives/edgar/data/1468328/000119312518082191/d453307dex1028.htm" TargetMode="External"/><Relationship Id="rId106" Type="http://schemas.openxmlformats.org/officeDocument/2006/relationships/hyperlink" Target="http://www.sec.gov/Archives/edgar/data/1468328/000119312518082191/d453307dex1029.htm" TargetMode="External"/><Relationship Id="rId107" Type="http://schemas.openxmlformats.org/officeDocument/2006/relationships/hyperlink" Target="http://www.sec.gov/Archives/edgar/data/1468328/000119312517251112/d377155dex107.htm" TargetMode="External"/><Relationship Id="rId108" Type="http://schemas.openxmlformats.org/officeDocument/2006/relationships/hyperlink" Target="http://www.sec.gov/Archives/edgar/data/1468328/000119312517242361/d421252dex101.htm" TargetMode="External"/><Relationship Id="rId109" Type="http://schemas.openxmlformats.org/officeDocument/2006/relationships/hyperlink" Target="http://www.sec.gov/Archives/edgar/data/1468328/000119312518070710/d536417dex101.htm" TargetMode="External"/><Relationship Id="rId111" Type="http://schemas.openxmlformats.org/officeDocument/2006/relationships/hyperlink" Target="http://www.sec.gov/Archives/edgar/data/1468328/000119312518322326/d581512dex102.htm" TargetMode="External"/><Relationship Id="rId112" Type="http://schemas.openxmlformats.org/officeDocument/2006/relationships/hyperlink" Target="http://www.sec.gov/Archives/edgar/data/1468328/000119312518322326/d581512dex103.htm" TargetMode="External"/><Relationship Id="rId113" Type="http://schemas.openxmlformats.org/officeDocument/2006/relationships/hyperlink" Target="http://www.sec.gov/Archives/edgar/data/1468328/000119312518322326/d581512dex104.htm" TargetMode="External"/><Relationship Id="rId114" Type="http://schemas.openxmlformats.org/officeDocument/2006/relationships/hyperlink" Target="http://www.sec.gov/Archives/edgar/data/1468328/000119312518322326/d581512dex105.htm" TargetMode="External"/><Relationship Id="rId115" Type="http://schemas.openxmlformats.org/officeDocument/2006/relationships/hyperlink" Target="http://www.sec.gov/Archives/edgar/data/1468328/000119312518322326/d581512dex106.htm" TargetMode="External"/><Relationship Id="rId116" Type="http://schemas.openxmlformats.org/officeDocument/2006/relationships/hyperlink" Target="http://www.sec.gov/Archives/edgar/data/1468328/000119312518322326/d581512dex107.htm" TargetMode="External"/><Relationship Id="rId117" Type="http://schemas.openxmlformats.org/officeDocument/2006/relationships/hyperlink" Target="http://www.sec.gov/Archives/edgar/data/1468328/000119312518322326/d581512dex108.htm" TargetMode="External"/><Relationship Id="rId118" Type="http://schemas.openxmlformats.org/officeDocument/2006/relationships/hyperlink" Target="http://www.sec.gov/Archives/edgar/data/1468328/000119312519100844/d732350dex992.htm" TargetMode="External"/><Relationship Id="rId119" Type="http://schemas.openxmlformats.org/officeDocument/2006/relationships/hyperlink" Target="http://www.sec.gov/Archives/edgar/data/1468328/000156459020038909/adus-ex1040_765.htm" TargetMode="External"/><Relationship Id="rId120" Type="http://schemas.openxmlformats.org/officeDocument/2006/relationships/hyperlink" Target="http://www.sec.gov/Archives/edgar/data/1468328/000156459020038909/adus-ex1041_766.htm" TargetMode="External"/><Relationship Id="rId121" Type="http://schemas.openxmlformats.org/officeDocument/2006/relationships/hyperlink" Target="http://www.sec.gov/Archives/edgar/data/1468328/000119312519200611/d778833dex101.htm" TargetMode="External"/><Relationship Id="rId122" Type="http://schemas.openxmlformats.org/officeDocument/2006/relationships/hyperlink" Target="http://www.sec.gov/Archives/edgar/data/1468328/000119312519236513/d24972dex21.htm" TargetMode="External"/><Relationship Id="rId123" Type="http://schemas.openxmlformats.org/officeDocument/2006/relationships/hyperlink" Target="http://www.sec.gov/Archives/edgar/data/1468328/000119312519244941/d801620dex101.htm" TargetMode="External"/><Relationship Id="rId124" Type="http://schemas.openxmlformats.org/officeDocument/2006/relationships/hyperlink" Target="http://www.sec.gov/Archives/edgar/data/1468328/000156459021009604/adus-ex1045_245.htm" TargetMode="External"/><Relationship Id="rId125" Type="http://schemas.openxmlformats.org/officeDocument/2006/relationships/hyperlink" Target="http://www.sec.gov/Archives/edgar/data/1468328/000156459021009604/adus-ex1046_341.htm" TargetMode="External"/><Relationship Id="rId127" Type="http://schemas.openxmlformats.org/officeDocument/2006/relationships/hyperlink" Target="http://www.sec.gov/Archives/edgar/data/1468328/000156459021040783/adus-ex101_208.htm" TargetMode="External"/><Relationship Id="rId128" Type="http://schemas.openxmlformats.org/officeDocument/2006/relationships/hyperlink" Target="http://www.sec.gov/Archives/edgar/data/1468328/000156459021040783/adus-ex102_269.htm" TargetMode="External"/><Relationship Id="rId129" Type="http://schemas.openxmlformats.org/officeDocument/2006/relationships/hyperlink" Target="http://www.sec.gov/Archives/edgar/data/1468328/000119312521236284/d2134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2022-02-25T17:37:09Z</dcterms:created>
  <dcterms:modified xsi:type="dcterms:W3CDTF">2022-02-25T17:37:09Z</dcterms:modified>
</cp:coreProperties>
</file>