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5"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-244475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580" w:hanging="559"/>
        <w:spacing w:after="0" w:line="194" w:lineRule="auto"/>
        <w:tabs>
          <w:tab w:leader="none" w:pos="58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p>
      <w:pPr>
        <w:ind w:left="414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ADDUS HOMECARE CORPORATION</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55245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680" w:type="dxa"/>
            <w:vAlign w:val="bottom"/>
          </w:tcPr>
          <w:p>
            <w:pPr>
              <w:jc w:val="center"/>
              <w:ind w:left="1826"/>
              <w:spacing w:after="0"/>
              <w:rPr>
                <w:sz w:val="20"/>
                <w:szCs w:val="20"/>
                <w:color w:val="auto"/>
              </w:rPr>
            </w:pPr>
            <w:r>
              <w:rPr>
                <w:rFonts w:ascii="Arial" w:cs="Arial" w:eastAsia="Arial" w:hAnsi="Arial"/>
                <w:sz w:val="16"/>
                <w:szCs w:val="16"/>
                <w:b w:val="1"/>
                <w:bCs w:val="1"/>
                <w:color w:val="auto"/>
                <w:w w:val="93"/>
              </w:rPr>
              <w:t>Delaware</w:t>
            </w:r>
          </w:p>
        </w:tc>
        <w:tc>
          <w:tcPr>
            <w:tcW w:w="8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60" w:type="dxa"/>
            <w:vAlign w:val="bottom"/>
          </w:tcPr>
          <w:p>
            <w:pPr>
              <w:jc w:val="right"/>
              <w:ind w:right="2307"/>
              <w:spacing w:after="0"/>
              <w:rPr>
                <w:sz w:val="20"/>
                <w:szCs w:val="20"/>
                <w:color w:val="auto"/>
              </w:rPr>
            </w:pPr>
            <w:r>
              <w:rPr>
                <w:rFonts w:ascii="Arial" w:cs="Arial" w:eastAsia="Arial" w:hAnsi="Arial"/>
                <w:sz w:val="16"/>
                <w:szCs w:val="16"/>
                <w:b w:val="1"/>
                <w:bCs w:val="1"/>
                <w:color w:val="auto"/>
              </w:rPr>
              <w:t>20-5340172</w:t>
            </w:r>
          </w:p>
        </w:tc>
        <w:tc>
          <w:tcPr>
            <w:tcW w:w="0" w:type="dxa"/>
            <w:vAlign w:val="bottom"/>
          </w:tcPr>
          <w:p>
            <w:pPr>
              <w:spacing w:after="0"/>
              <w:rPr>
                <w:sz w:val="1"/>
                <w:szCs w:val="1"/>
                <w:color w:val="auto"/>
              </w:rPr>
            </w:pPr>
          </w:p>
        </w:tc>
      </w:tr>
      <w:tr>
        <w:trPr>
          <w:trHeight w:val="171"/>
        </w:trPr>
        <w:tc>
          <w:tcPr>
            <w:tcW w:w="3680" w:type="dxa"/>
            <w:vAlign w:val="bottom"/>
          </w:tcPr>
          <w:p>
            <w:pPr>
              <w:jc w:val="center"/>
              <w:ind w:left="1826"/>
              <w:spacing w:after="0"/>
              <w:rPr>
                <w:sz w:val="20"/>
                <w:szCs w:val="20"/>
                <w:color w:val="auto"/>
              </w:rPr>
            </w:pPr>
            <w:r>
              <w:rPr>
                <w:rFonts w:ascii="Arial" w:cs="Arial" w:eastAsia="Arial" w:hAnsi="Arial"/>
                <w:sz w:val="13"/>
                <w:szCs w:val="13"/>
                <w:color w:val="auto"/>
                <w:w w:val="97"/>
              </w:rPr>
              <w:t>(State or other jurisdiction of</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jc w:val="center"/>
              <w:ind w:right="2127"/>
              <w:spacing w:after="0"/>
              <w:rPr>
                <w:sz w:val="20"/>
                <w:szCs w:val="20"/>
                <w:color w:val="auto"/>
              </w:rPr>
            </w:pPr>
            <w:r>
              <w:rPr>
                <w:rFonts w:ascii="Arial" w:cs="Arial" w:eastAsia="Arial" w:hAnsi="Arial"/>
                <w:sz w:val="13"/>
                <w:szCs w:val="13"/>
                <w:color w:val="auto"/>
                <w:w w:val="96"/>
              </w:rPr>
              <w:t>(I.R.S. Employer</w:t>
            </w:r>
          </w:p>
        </w:tc>
        <w:tc>
          <w:tcPr>
            <w:tcW w:w="0" w:type="dxa"/>
            <w:vAlign w:val="bottom"/>
          </w:tcPr>
          <w:p>
            <w:pPr>
              <w:spacing w:after="0"/>
              <w:rPr>
                <w:sz w:val="1"/>
                <w:szCs w:val="1"/>
                <w:color w:val="auto"/>
              </w:rPr>
            </w:pPr>
          </w:p>
        </w:tc>
      </w:tr>
      <w:tr>
        <w:trPr>
          <w:trHeight w:val="172"/>
        </w:trPr>
        <w:tc>
          <w:tcPr>
            <w:tcW w:w="3680" w:type="dxa"/>
            <w:vAlign w:val="bottom"/>
          </w:tcPr>
          <w:p>
            <w:pPr>
              <w:jc w:val="center"/>
              <w:ind w:left="1826"/>
              <w:spacing w:after="0"/>
              <w:rPr>
                <w:sz w:val="20"/>
                <w:szCs w:val="20"/>
                <w:color w:val="auto"/>
              </w:rPr>
            </w:pPr>
            <w:r>
              <w:rPr>
                <w:rFonts w:ascii="Arial" w:cs="Arial" w:eastAsia="Arial" w:hAnsi="Arial"/>
                <w:sz w:val="13"/>
                <w:szCs w:val="13"/>
                <w:color w:val="auto"/>
                <w:w w:val="95"/>
              </w:rPr>
              <w:t>incorporation or organization)</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jc w:val="center"/>
              <w:ind w:right="2127"/>
              <w:spacing w:after="0"/>
              <w:rPr>
                <w:sz w:val="20"/>
                <w:szCs w:val="20"/>
                <w:color w:val="auto"/>
              </w:rPr>
            </w:pPr>
            <w:r>
              <w:rPr>
                <w:rFonts w:ascii="Arial" w:cs="Arial" w:eastAsia="Arial" w:hAnsi="Arial"/>
                <w:sz w:val="13"/>
                <w:szCs w:val="13"/>
                <w:color w:val="auto"/>
                <w:w w:val="98"/>
              </w:rPr>
              <w:t>Identification No.)</w:t>
            </w:r>
          </w:p>
        </w:tc>
        <w:tc>
          <w:tcPr>
            <w:tcW w:w="0" w:type="dxa"/>
            <w:vAlign w:val="bottom"/>
          </w:tcPr>
          <w:p>
            <w:pPr>
              <w:spacing w:after="0"/>
              <w:rPr>
                <w:sz w:val="1"/>
                <w:szCs w:val="1"/>
                <w:color w:val="auto"/>
              </w:rPr>
            </w:pPr>
          </w:p>
        </w:tc>
      </w:tr>
      <w:tr>
        <w:trPr>
          <w:trHeight w:val="319"/>
        </w:trPr>
        <w:tc>
          <w:tcPr>
            <w:tcW w:w="7080" w:type="dxa"/>
            <w:vAlign w:val="bottom"/>
            <w:gridSpan w:val="4"/>
          </w:tcPr>
          <w:p>
            <w:pPr>
              <w:jc w:val="center"/>
              <w:ind w:right="1500"/>
              <w:spacing w:after="0"/>
              <w:rPr>
                <w:sz w:val="20"/>
                <w:szCs w:val="20"/>
                <w:color w:val="auto"/>
              </w:rPr>
            </w:pPr>
            <w:r>
              <w:rPr>
                <w:rFonts w:ascii="Arial" w:cs="Arial" w:eastAsia="Arial" w:hAnsi="Arial"/>
                <w:sz w:val="16"/>
                <w:szCs w:val="16"/>
                <w:b w:val="1"/>
                <w:bCs w:val="1"/>
                <w:color w:val="auto"/>
                <w:w w:val="92"/>
              </w:rPr>
              <w:t>6303 Cowboys Way, Suite 600 Frisco, TX</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tcPr>
          <w:p>
            <w:pPr>
              <w:jc w:val="right"/>
              <w:ind w:right="2507"/>
              <w:spacing w:after="0"/>
              <w:rPr>
                <w:sz w:val="20"/>
                <w:szCs w:val="20"/>
                <w:color w:val="auto"/>
              </w:rPr>
            </w:pPr>
            <w:r>
              <w:rPr>
                <w:rFonts w:ascii="Arial" w:cs="Arial" w:eastAsia="Arial" w:hAnsi="Arial"/>
                <w:sz w:val="16"/>
                <w:szCs w:val="16"/>
                <w:b w:val="1"/>
                <w:bCs w:val="1"/>
                <w:color w:val="auto"/>
              </w:rPr>
              <w:t>75034</w:t>
            </w:r>
          </w:p>
        </w:tc>
        <w:tc>
          <w:tcPr>
            <w:tcW w:w="0" w:type="dxa"/>
            <w:vAlign w:val="bottom"/>
          </w:tcPr>
          <w:p>
            <w:pPr>
              <w:spacing w:after="0"/>
              <w:rPr>
                <w:sz w:val="1"/>
                <w:szCs w:val="1"/>
                <w:color w:val="auto"/>
              </w:rPr>
            </w:pPr>
          </w:p>
        </w:tc>
      </w:tr>
      <w:tr>
        <w:trPr>
          <w:trHeight w:val="194"/>
        </w:trPr>
        <w:tc>
          <w:tcPr>
            <w:tcW w:w="7080" w:type="dxa"/>
            <w:vAlign w:val="bottom"/>
            <w:gridSpan w:val="4"/>
          </w:tcPr>
          <w:p>
            <w:pPr>
              <w:jc w:val="center"/>
              <w:ind w:right="1500"/>
              <w:spacing w:after="0"/>
              <w:rPr>
                <w:sz w:val="20"/>
                <w:szCs w:val="20"/>
                <w:color w:val="auto"/>
              </w:rPr>
            </w:pPr>
            <w:r>
              <w:rPr>
                <w:rFonts w:ascii="Arial" w:cs="Arial" w:eastAsia="Arial" w:hAnsi="Arial"/>
                <w:sz w:val="13"/>
                <w:szCs w:val="13"/>
                <w:color w:val="auto"/>
                <w:w w:val="96"/>
              </w:rPr>
              <w:t>(Address of principal executive offices)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tcPr>
          <w:p>
            <w:pPr>
              <w:jc w:val="center"/>
              <w:ind w:right="2127"/>
              <w:spacing w:after="0"/>
              <w:rPr>
                <w:sz w:val="20"/>
                <w:szCs w:val="20"/>
                <w:color w:val="auto"/>
              </w:rPr>
            </w:pPr>
            <w:r>
              <w:rPr>
                <w:rFonts w:ascii="Arial" w:cs="Arial" w:eastAsia="Arial" w:hAnsi="Arial"/>
                <w:sz w:val="13"/>
                <w:szCs w:val="13"/>
                <w:color w:val="auto"/>
                <w:w w:val="97"/>
              </w:rPr>
              <w:t>(Zip Code)</w:t>
            </w:r>
          </w:p>
        </w:tc>
        <w:tc>
          <w:tcPr>
            <w:tcW w:w="0" w:type="dxa"/>
            <w:vAlign w:val="bottom"/>
          </w:tcPr>
          <w:p>
            <w:pPr>
              <w:spacing w:after="0"/>
              <w:rPr>
                <w:sz w:val="1"/>
                <w:szCs w:val="1"/>
                <w:color w:val="auto"/>
              </w:rPr>
            </w:pPr>
          </w:p>
        </w:tc>
      </w:tr>
      <w:tr>
        <w:trPr>
          <w:trHeight w:val="258"/>
        </w:trPr>
        <w:tc>
          <w:tcPr>
            <w:tcW w:w="3680" w:type="dxa"/>
            <w:vAlign w:val="bottom"/>
          </w:tcPr>
          <w:p>
            <w:pPr>
              <w:spacing w:after="0"/>
              <w:rPr>
                <w:sz w:val="22"/>
                <w:szCs w:val="22"/>
                <w:color w:val="auto"/>
              </w:rPr>
            </w:pPr>
          </w:p>
        </w:tc>
        <w:tc>
          <w:tcPr>
            <w:tcW w:w="3080" w:type="dxa"/>
            <w:vAlign w:val="bottom"/>
            <w:gridSpan w:val="2"/>
          </w:tcPr>
          <w:p>
            <w:pPr>
              <w:jc w:val="center"/>
              <w:ind w:left="724"/>
              <w:spacing w:after="0"/>
              <w:rPr>
                <w:sz w:val="20"/>
                <w:szCs w:val="20"/>
                <w:color w:val="auto"/>
              </w:rPr>
            </w:pPr>
            <w:r>
              <w:rPr>
                <w:rFonts w:ascii="Arial" w:cs="Arial" w:eastAsia="Arial" w:hAnsi="Arial"/>
                <w:sz w:val="16"/>
                <w:szCs w:val="16"/>
                <w:b w:val="1"/>
                <w:bCs w:val="1"/>
                <w:color w:val="auto"/>
                <w:w w:val="92"/>
              </w:rPr>
              <w:t>469-535-8200</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680" w:type="dxa"/>
            <w:vAlign w:val="bottom"/>
          </w:tcPr>
          <w:p>
            <w:pPr>
              <w:spacing w:after="0"/>
              <w:rPr>
                <w:sz w:val="15"/>
                <w:szCs w:val="15"/>
                <w:color w:val="auto"/>
              </w:rPr>
            </w:pPr>
          </w:p>
        </w:tc>
        <w:tc>
          <w:tcPr>
            <w:tcW w:w="3680" w:type="dxa"/>
            <w:vAlign w:val="bottom"/>
            <w:gridSpan w:val="4"/>
          </w:tcPr>
          <w:p>
            <w:pPr>
              <w:jc w:val="center"/>
              <w:ind w:left="124"/>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680" w:type="dxa"/>
            <w:vAlign w:val="bottom"/>
          </w:tcPr>
          <w:p>
            <w:pPr>
              <w:spacing w:after="0"/>
              <w:rPr>
                <w:sz w:val="21"/>
                <w:szCs w:val="21"/>
                <w:color w:val="auto"/>
              </w:rPr>
            </w:pPr>
          </w:p>
        </w:tc>
        <w:tc>
          <w:tcPr>
            <w:tcW w:w="392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3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680" w:type="dxa"/>
            <w:vAlign w:val="bottom"/>
            <w:tcBorders>
              <w:left w:val="single" w:sz="8" w:color="auto"/>
              <w:bottom w:val="single" w:sz="8" w:color="auto"/>
            </w:tcBorders>
          </w:tcPr>
          <w:p>
            <w:pPr>
              <w:jc w:val="center"/>
              <w:ind w:left="746"/>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gridSpan w:val="3"/>
          </w:tcPr>
          <w:p>
            <w:pPr>
              <w:jc w:val="center"/>
              <w:ind w:right="547"/>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03"/>
        </w:trPr>
        <w:tc>
          <w:tcPr>
            <w:tcW w:w="3680" w:type="dxa"/>
            <w:vAlign w:val="bottom"/>
            <w:tcBorders>
              <w:left w:val="single" w:sz="8" w:color="auto"/>
              <w:bottom w:val="single" w:sz="8" w:color="auto"/>
            </w:tcBorders>
          </w:tcPr>
          <w:p>
            <w:pPr>
              <w:jc w:val="center"/>
              <w:ind w:left="746"/>
              <w:spacing w:after="0"/>
              <w:rPr>
                <w:sz w:val="20"/>
                <w:szCs w:val="20"/>
                <w:color w:val="auto"/>
              </w:rPr>
            </w:pPr>
            <w:r>
              <w:rPr>
                <w:rFonts w:ascii="Arial" w:cs="Arial" w:eastAsia="Arial" w:hAnsi="Arial"/>
                <w:sz w:val="16"/>
                <w:szCs w:val="16"/>
                <w:color w:val="auto"/>
                <w:w w:val="91"/>
              </w:rPr>
              <w:t>Common Stock, $0.001 par value</w:t>
            </w:r>
          </w:p>
        </w:tc>
        <w:tc>
          <w:tcPr>
            <w:tcW w:w="82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1067"/>
              <w:spacing w:after="0"/>
              <w:rPr>
                <w:sz w:val="20"/>
                <w:szCs w:val="20"/>
                <w:color w:val="auto"/>
              </w:rPr>
            </w:pPr>
            <w:r>
              <w:rPr>
                <w:rFonts w:ascii="Arial" w:cs="Arial" w:eastAsia="Arial" w:hAnsi="Arial"/>
                <w:sz w:val="16"/>
                <w:szCs w:val="16"/>
                <w:color w:val="auto"/>
                <w:w w:val="93"/>
              </w:rPr>
              <w:t>The Nasdaq Global Market</w:t>
            </w:r>
          </w:p>
        </w:tc>
        <w:tc>
          <w:tcPr>
            <w:tcW w:w="0" w:type="dxa"/>
            <w:vAlign w:val="bottom"/>
          </w:tcPr>
          <w:p>
            <w:pPr>
              <w:spacing w:after="0"/>
              <w:rPr>
                <w:sz w:val="1"/>
                <w:szCs w:val="1"/>
                <w:color w:val="auto"/>
              </w:rPr>
            </w:pPr>
          </w:p>
        </w:tc>
      </w:tr>
      <w:tr>
        <w:trPr>
          <w:trHeight w:val="318"/>
        </w:trPr>
        <w:tc>
          <w:tcPr>
            <w:tcW w:w="7880" w:type="dxa"/>
            <w:vAlign w:val="bottom"/>
            <w:gridSpan w:val="7"/>
          </w:tcPr>
          <w:p>
            <w:pPr>
              <w:jc w:val="center"/>
              <w:ind w:left="3306"/>
              <w:spacing w:after="0"/>
              <w:rPr>
                <w:sz w:val="20"/>
                <w:szCs w:val="20"/>
                <w:color w:val="auto"/>
              </w:rPr>
            </w:pPr>
            <w:r>
              <w:rPr>
                <w:rFonts w:ascii="Arial" w:cs="Arial" w:eastAsia="Arial" w:hAnsi="Arial"/>
                <w:sz w:val="16"/>
                <w:szCs w:val="16"/>
                <w:b w:val="1"/>
                <w:bCs w:val="1"/>
                <w:color w:val="auto"/>
                <w:w w:val="90"/>
              </w:rPr>
              <w:t xml:space="preserve">Securities registered pursuant to Section 12(g) of the Act: </w:t>
            </w:r>
            <w:r>
              <w:rPr>
                <w:rFonts w:ascii="Arial" w:cs="Arial" w:eastAsia="Arial" w:hAnsi="Arial"/>
                <w:sz w:val="16"/>
                <w:szCs w:val="16"/>
                <w:color w:val="auto"/>
                <w:w w:val="90"/>
              </w:rPr>
              <w:t>None</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00" w:type="dxa"/>
            <w:vAlign w:val="bottom"/>
            <w:gridSpan w:val="2"/>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vMerge w:val="restart"/>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280" w:type="dxa"/>
            <w:vAlign w:val="bottom"/>
          </w:tcPr>
          <w:p>
            <w:pPr>
              <w:spacing w:after="0"/>
              <w:rPr>
                <w:sz w:val="8"/>
                <w:szCs w:val="8"/>
                <w:color w:val="auto"/>
              </w:rPr>
            </w:pPr>
          </w:p>
        </w:tc>
        <w:tc>
          <w:tcPr>
            <w:tcW w:w="3360" w:type="dxa"/>
            <w:vAlign w:val="bottom"/>
            <w:vMerge w:val="restart"/>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237"/>
        </w:trPr>
        <w:tc>
          <w:tcPr>
            <w:tcW w:w="7080" w:type="dxa"/>
            <w:vAlign w:val="bottom"/>
            <w:gridSpan w:val="4"/>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280" w:type="dxa"/>
            <w:vAlign w:val="bottom"/>
          </w:tcPr>
          <w:p>
            <w:pPr>
              <w:ind w:left="40"/>
              <w:spacing w:after="0"/>
              <w:rPr>
                <w:sz w:val="20"/>
                <w:szCs w:val="20"/>
                <w:color w:val="auto"/>
              </w:rPr>
            </w:pPr>
            <w:r>
              <w:rPr>
                <w:rFonts w:ascii="Arial" w:cs="Arial" w:eastAsia="Arial" w:hAnsi="Arial"/>
                <w:sz w:val="13"/>
                <w:szCs w:val="13"/>
                <w:color w:val="auto"/>
                <w:w w:val="97"/>
              </w:rPr>
              <w:t>Yes</w:t>
            </w:r>
          </w:p>
        </w:tc>
        <w:tc>
          <w:tcPr>
            <w:tcW w:w="240" w:type="dxa"/>
            <w:vAlign w:val="bottom"/>
            <w:vMerge w:val="continue"/>
          </w:tcPr>
          <w:p>
            <w:pPr>
              <w:spacing w:after="0"/>
              <w:rPr>
                <w:sz w:val="20"/>
                <w:szCs w:val="20"/>
                <w:color w:val="auto"/>
              </w:rPr>
            </w:pPr>
          </w:p>
        </w:tc>
        <w:tc>
          <w:tcPr>
            <w:tcW w:w="280" w:type="dxa"/>
            <w:vAlign w:val="bottom"/>
          </w:tcPr>
          <w:p>
            <w:pPr>
              <w:ind w:left="80"/>
              <w:spacing w:after="0"/>
              <w:rPr>
                <w:sz w:val="20"/>
                <w:szCs w:val="20"/>
                <w:color w:val="auto"/>
              </w:rPr>
            </w:pPr>
            <w:r>
              <w:rPr>
                <w:rFonts w:ascii="Arial" w:cs="Arial" w:eastAsia="Arial" w:hAnsi="Arial"/>
                <w:sz w:val="13"/>
                <w:szCs w:val="13"/>
                <w:color w:val="auto"/>
              </w:rPr>
              <w:t>No</w:t>
            </w:r>
          </w:p>
        </w:tc>
        <w:tc>
          <w:tcPr>
            <w:tcW w:w="3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gridSpan w:val="4"/>
          </w:tcPr>
          <w:p>
            <w:pPr>
              <w:spacing w:after="0"/>
              <w:rPr>
                <w:sz w:val="20"/>
                <w:szCs w:val="20"/>
                <w:color w:val="auto"/>
              </w:rPr>
            </w:pPr>
            <w:r>
              <w:rPr>
                <w:rFonts w:ascii="Arial" w:cs="Arial" w:eastAsia="Arial" w:hAnsi="Arial"/>
                <w:sz w:val="13"/>
                <w:szCs w:val="13"/>
                <w:color w:val="auto"/>
                <w:w w:val="95"/>
              </w:rPr>
              <w:t>Indicate by check mark if the registrant is not required to file reports pursuant to Section 13 or Section 15(d) of the Exchange Act.</w:t>
            </w:r>
          </w:p>
        </w:tc>
        <w:tc>
          <w:tcPr>
            <w:tcW w:w="280" w:type="dxa"/>
            <w:vAlign w:val="bottom"/>
          </w:tcPr>
          <w:p>
            <w:pPr>
              <w:ind w:left="60"/>
              <w:spacing w:after="0"/>
              <w:rPr>
                <w:sz w:val="20"/>
                <w:szCs w:val="20"/>
                <w:color w:val="auto"/>
              </w:rPr>
            </w:pPr>
            <w:r>
              <w:rPr>
                <w:rFonts w:ascii="Arial" w:cs="Arial" w:eastAsia="Arial" w:hAnsi="Arial"/>
                <w:sz w:val="13"/>
                <w:szCs w:val="13"/>
                <w:color w:val="auto"/>
                <w:w w:val="89"/>
              </w:rPr>
              <w:t>Yes</w:t>
            </w:r>
          </w:p>
        </w:tc>
        <w:tc>
          <w:tcPr>
            <w:tcW w:w="24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280" w:type="dxa"/>
            <w:vAlign w:val="bottom"/>
          </w:tcPr>
          <w:p>
            <w:pPr>
              <w:ind w:left="80"/>
              <w:spacing w:after="0"/>
              <w:rPr>
                <w:sz w:val="20"/>
                <w:szCs w:val="20"/>
                <w:color w:val="auto"/>
              </w:rPr>
            </w:pPr>
            <w:r>
              <w:rPr>
                <w:rFonts w:ascii="Arial" w:cs="Arial" w:eastAsia="Arial" w:hAnsi="Arial"/>
                <w:sz w:val="13"/>
                <w:szCs w:val="13"/>
                <w:color w:val="auto"/>
              </w:rPr>
              <w:t>No</w:t>
            </w:r>
          </w:p>
        </w:tc>
        <w:tc>
          <w:tcPr>
            <w:tcW w:w="3360" w:type="dxa"/>
            <w:vAlign w:val="bottom"/>
          </w:tcPr>
          <w:p>
            <w:pPr>
              <w:ind w:left="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right="200"/>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0"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 232.405 of this chapter) during the</w:t>
      </w:r>
    </w:p>
    <w:p>
      <w:pPr>
        <w:spacing w:after="0" w:line="18" w:lineRule="exact"/>
        <w:rPr>
          <w:sz w:val="24"/>
          <w:szCs w:val="24"/>
          <w:color w:val="auto"/>
        </w:rPr>
      </w:pPr>
    </w:p>
    <w:p>
      <w:pPr>
        <w:spacing w:after="0" w:line="175" w:lineRule="exact"/>
        <w:tabs>
          <w:tab w:leader="none" w:pos="6460" w:val="left"/>
          <w:tab w:leader="none" w:pos="6980" w:val="left"/>
        </w:tabs>
        <w:rPr>
          <w:sz w:val="20"/>
          <w:szCs w:val="20"/>
          <w:color w:val="auto"/>
        </w:rPr>
      </w:pPr>
      <w:r>
        <w:rPr>
          <w:rFonts w:ascii="Arial" w:cs="Arial" w:eastAsia="Arial" w:hAnsi="Arial"/>
          <w:sz w:val="13"/>
          <w:szCs w:val="13"/>
          <w:color w:val="auto"/>
        </w:rPr>
        <w:t>preceding 12 months (or for such shorter period that the registrant was required to submit such files).</w:t>
      </w:r>
      <w:r>
        <w:rPr>
          <w:sz w:val="20"/>
          <w:szCs w:val="20"/>
          <w:color w:val="auto"/>
        </w:rPr>
        <w:tab/>
      </w: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35" w:lineRule="exact"/>
        <w:rPr>
          <w:sz w:val="24"/>
          <w:szCs w:val="24"/>
          <w:color w:val="auto"/>
        </w:rPr>
      </w:pPr>
    </w:p>
    <w:p>
      <w:pPr>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4"/>
        </w:trPr>
        <w:tc>
          <w:tcPr>
            <w:tcW w:w="22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80" w:type="dxa"/>
            <w:vAlign w:val="bottom"/>
          </w:tcPr>
          <w:p>
            <w:pPr>
              <w:ind w:left="96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640" w:type="dxa"/>
            <w:vAlign w:val="bottom"/>
          </w:tcPr>
          <w:p>
            <w:pPr>
              <w:ind w:left="2280"/>
              <w:spacing w:after="0"/>
              <w:rPr>
                <w:sz w:val="20"/>
                <w:szCs w:val="20"/>
                <w:color w:val="auto"/>
              </w:rPr>
            </w:pPr>
            <w:r>
              <w:rPr>
                <w:rFonts w:ascii="Arial" w:cs="Arial" w:eastAsia="Arial" w:hAnsi="Arial"/>
                <w:sz w:val="13"/>
                <w:szCs w:val="13"/>
                <w:color w:val="auto"/>
              </w:rPr>
              <w:t>Accelerated Filer</w:t>
            </w:r>
          </w:p>
        </w:tc>
        <w:tc>
          <w:tcPr>
            <w:tcW w:w="920" w:type="dxa"/>
            <w:vAlign w:val="bottom"/>
          </w:tcPr>
          <w:p>
            <w:pPr>
              <w:ind w:left="8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62"/>
        </w:trPr>
        <w:tc>
          <w:tcPr>
            <w:tcW w:w="22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80" w:type="dxa"/>
            <w:vAlign w:val="bottom"/>
          </w:tcPr>
          <w:p>
            <w:pPr>
              <w:ind w:left="980"/>
              <w:spacing w:after="0" w:line="162" w:lineRule="exact"/>
              <w:rPr>
                <w:sz w:val="20"/>
                <w:szCs w:val="20"/>
                <w:color w:val="auto"/>
              </w:rPr>
            </w:pPr>
            <w:r>
              <w:rPr>
                <w:rFonts w:ascii="Arial Unicode MS" w:cs="Arial Unicode MS" w:eastAsia="Arial Unicode MS" w:hAnsi="Arial Unicode MS"/>
                <w:sz w:val="13"/>
                <w:szCs w:val="13"/>
                <w:color w:val="auto"/>
              </w:rPr>
              <w:t>☐</w:t>
            </w:r>
          </w:p>
        </w:tc>
        <w:tc>
          <w:tcPr>
            <w:tcW w:w="4640" w:type="dxa"/>
            <w:vAlign w:val="bottom"/>
          </w:tcPr>
          <w:p>
            <w:pPr>
              <w:ind w:left="2280"/>
              <w:spacing w:after="0"/>
              <w:rPr>
                <w:sz w:val="20"/>
                <w:szCs w:val="20"/>
                <w:color w:val="auto"/>
              </w:rPr>
            </w:pPr>
            <w:r>
              <w:rPr>
                <w:rFonts w:ascii="Arial" w:cs="Arial" w:eastAsia="Arial" w:hAnsi="Arial"/>
                <w:sz w:val="13"/>
                <w:szCs w:val="13"/>
                <w:color w:val="auto"/>
              </w:rPr>
              <w:t>Smaller Reporting Company</w:t>
            </w:r>
          </w:p>
        </w:tc>
        <w:tc>
          <w:tcPr>
            <w:tcW w:w="920" w:type="dxa"/>
            <w:vAlign w:val="bottom"/>
          </w:tcPr>
          <w:p>
            <w:pPr>
              <w:ind w:left="800"/>
              <w:spacing w:after="0" w:line="162" w:lineRule="exact"/>
              <w:rPr>
                <w:sz w:val="20"/>
                <w:szCs w:val="20"/>
                <w:color w:val="auto"/>
              </w:rPr>
            </w:pPr>
            <w:r>
              <w:rPr>
                <w:rFonts w:ascii="Arial Unicode MS" w:cs="Arial Unicode MS" w:eastAsia="Arial Unicode MS" w:hAnsi="Arial Unicode MS"/>
                <w:sz w:val="13"/>
                <w:szCs w:val="13"/>
                <w:color w:val="auto"/>
              </w:rPr>
              <w:t>☐</w:t>
            </w:r>
          </w:p>
        </w:tc>
      </w:tr>
      <w:tr>
        <w:trPr>
          <w:trHeight w:val="211"/>
        </w:trPr>
        <w:tc>
          <w:tcPr>
            <w:tcW w:w="2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640" w:type="dxa"/>
            <w:vAlign w:val="bottom"/>
          </w:tcPr>
          <w:p>
            <w:pPr>
              <w:ind w:left="2280"/>
              <w:spacing w:after="0"/>
              <w:rPr>
                <w:sz w:val="20"/>
                <w:szCs w:val="20"/>
                <w:color w:val="auto"/>
              </w:rPr>
            </w:pPr>
            <w:r>
              <w:rPr>
                <w:rFonts w:ascii="Arial" w:cs="Arial" w:eastAsia="Arial" w:hAnsi="Arial"/>
                <w:sz w:val="13"/>
                <w:szCs w:val="13"/>
                <w:color w:val="auto"/>
              </w:rPr>
              <w:t>Emerging Growth Company</w:t>
            </w:r>
          </w:p>
        </w:tc>
        <w:tc>
          <w:tcPr>
            <w:tcW w:w="920" w:type="dxa"/>
            <w:vAlign w:val="bottom"/>
          </w:tcPr>
          <w:p>
            <w:pPr>
              <w:ind w:left="8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57" w:lineRule="exact"/>
        <w:rPr>
          <w:sz w:val="24"/>
          <w:szCs w:val="24"/>
          <w:color w:val="auto"/>
        </w:rPr>
      </w:pPr>
    </w:p>
    <w:p>
      <w:pPr>
        <w:ind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4" w:lineRule="exact"/>
        <w:rPr>
          <w:sz w:val="24"/>
          <w:szCs w:val="24"/>
          <w:color w:val="auto"/>
        </w:rPr>
      </w:pPr>
    </w:p>
    <w:p>
      <w:pPr>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30" w:lineRule="exact"/>
        <w:rPr>
          <w:sz w:val="24"/>
          <w:szCs w:val="24"/>
          <w:color w:val="auto"/>
        </w:rPr>
      </w:pPr>
    </w:p>
    <w:p>
      <w:pPr>
        <w:ind w:right="200"/>
        <w:spacing w:after="0" w:line="168"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5" w:lineRule="exact"/>
        <w:rPr>
          <w:sz w:val="24"/>
          <w:szCs w:val="24"/>
          <w:color w:val="auto"/>
        </w:rPr>
      </w:pPr>
    </w:p>
    <w:p>
      <w:pPr>
        <w:ind w:right="120"/>
        <w:spacing w:after="0" w:line="180"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spacing w:after="0" w:line="175" w:lineRule="exact"/>
        <w:tabs>
          <w:tab w:leader="none" w:pos="6560" w:val="left"/>
          <w:tab w:leader="none" w:pos="71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67" w:lineRule="exact"/>
        <w:rPr>
          <w:sz w:val="24"/>
          <w:szCs w:val="24"/>
          <w:color w:val="auto"/>
        </w:rPr>
      </w:pPr>
    </w:p>
    <w:p>
      <w:pPr>
        <w:ind w:right="160"/>
        <w:spacing w:after="0" w:line="270"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based on the last sale price on The Nasdaq Global Market on June 30, 2022 (the last business day of the registrant’s most recently completed second fiscal quarter) was approximately $1,311,167,000.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As of February 17, 2023, there were 16,127,766 shares of common stock outstanding.</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4"/>
          <w:szCs w:val="24"/>
          <w:color w:val="auto"/>
        </w:rPr>
      </w:pPr>
    </w:p>
    <w:p>
      <w:pPr>
        <w:ind w:right="20"/>
        <w:spacing w:after="0" w:line="267" w:lineRule="auto"/>
        <w:rPr>
          <w:sz w:val="20"/>
          <w:szCs w:val="20"/>
          <w:color w:val="auto"/>
        </w:rPr>
      </w:pPr>
      <w:r>
        <w:rPr>
          <w:rFonts w:ascii="Arial" w:cs="Arial" w:eastAsia="Arial" w:hAnsi="Arial"/>
          <w:sz w:val="13"/>
          <w:szCs w:val="13"/>
          <w:color w:val="auto"/>
        </w:rPr>
        <w:t>Certain portions of the registrant’s Definitive Proxy Statement for its 2023 Annual Meeting of Stockholders (which is expected to be filed with the Commission within 120 days after the end of the registrant’s 2021 fiscal year) are incorporated by reference into Part III of this Annual Report on Form 10-K.</w:t>
      </w:r>
    </w:p>
    <w:p>
      <w:pPr>
        <w:spacing w:after="0" w:line="68" w:lineRule="exact"/>
        <w:rPr>
          <w:sz w:val="24"/>
          <w:szCs w:val="24"/>
          <w:color w:val="auto"/>
        </w:rPr>
      </w:pPr>
    </w:p>
    <w:p>
      <w:pPr>
        <w:ind w:left="220"/>
        <w:spacing w:after="0"/>
        <w:tabs>
          <w:tab w:leader="none" w:pos="2540" w:val="left"/>
          <w:tab w:leader="none" w:pos="3200" w:val="left"/>
          <w:tab w:leader="none" w:pos="4740" w:val="left"/>
          <w:tab w:leader="none" w:pos="7440" w:val="left"/>
          <w:tab w:leader="none" w:pos="9800" w:val="left"/>
        </w:tabs>
        <w:rPr>
          <w:sz w:val="20"/>
          <w:szCs w:val="20"/>
          <w:color w:val="auto"/>
        </w:rPr>
      </w:pPr>
      <w:r>
        <w:rPr>
          <w:rFonts w:ascii="Arial" w:cs="Arial" w:eastAsia="Arial" w:hAnsi="Arial"/>
          <w:sz w:val="13"/>
          <w:szCs w:val="13"/>
          <w:color w:val="auto"/>
        </w:rPr>
        <w:t>Auditor Firm PCAOB Id:</w:t>
      </w:r>
      <w:r>
        <w:rPr>
          <w:sz w:val="20"/>
          <w:szCs w:val="20"/>
          <w:color w:val="auto"/>
        </w:rPr>
        <w:tab/>
      </w:r>
      <w:r>
        <w:rPr>
          <w:rFonts w:ascii="Arial" w:cs="Arial" w:eastAsia="Arial" w:hAnsi="Arial"/>
          <w:sz w:val="13"/>
          <w:szCs w:val="13"/>
          <w:color w:val="auto"/>
        </w:rPr>
        <w:t>238</w:t>
      </w:r>
      <w:r>
        <w:rPr>
          <w:sz w:val="20"/>
          <w:szCs w:val="20"/>
          <w:color w:val="auto"/>
        </w:rPr>
        <w:tab/>
      </w:r>
      <w:r>
        <w:rPr>
          <w:rFonts w:ascii="Arial" w:cs="Arial" w:eastAsia="Arial" w:hAnsi="Arial"/>
          <w:sz w:val="13"/>
          <w:szCs w:val="13"/>
          <w:color w:val="auto"/>
        </w:rPr>
        <w:t>Auditor Name:</w:t>
      </w:r>
      <w:r>
        <w:rPr>
          <w:sz w:val="20"/>
          <w:szCs w:val="20"/>
          <w:color w:val="auto"/>
        </w:rPr>
        <w:tab/>
      </w:r>
      <w:r>
        <w:rPr>
          <w:rFonts w:ascii="Arial" w:cs="Arial" w:eastAsia="Arial" w:hAnsi="Arial"/>
          <w:sz w:val="13"/>
          <w:szCs w:val="13"/>
          <w:color w:val="auto"/>
        </w:rPr>
        <w:t>PricewaterhouseCoopers LLP</w:t>
      </w:r>
      <w:r>
        <w:rPr>
          <w:sz w:val="20"/>
          <w:szCs w:val="20"/>
          <w:color w:val="auto"/>
        </w:rPr>
        <w:tab/>
      </w:r>
      <w:r>
        <w:rPr>
          <w:rFonts w:ascii="Arial" w:cs="Arial" w:eastAsia="Arial" w:hAnsi="Arial"/>
          <w:sz w:val="13"/>
          <w:szCs w:val="13"/>
          <w:color w:val="auto"/>
        </w:rPr>
        <w:t>Auditor Location:</w:t>
      </w:r>
      <w:r>
        <w:rPr>
          <w:sz w:val="20"/>
          <w:szCs w:val="20"/>
          <w:color w:val="auto"/>
        </w:rPr>
        <w:tab/>
      </w:r>
      <w:r>
        <w:rPr>
          <w:rFonts w:ascii="Arial" w:cs="Arial" w:eastAsia="Arial" w:hAnsi="Arial"/>
          <w:sz w:val="11"/>
          <w:szCs w:val="11"/>
          <w:color w:val="auto"/>
        </w:rPr>
        <w:t>Dallas, Texas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9"/>
          </w:tcPr>
          <w:p>
            <w:pPr>
              <w:spacing w:after="0"/>
              <w:rPr>
                <w:sz w:val="20"/>
                <w:szCs w:val="20"/>
                <w:color w:val="auto"/>
              </w:rPr>
            </w:pPr>
            <w:r>
              <w:rPr>
                <w:rFonts w:ascii="Arial" w:cs="Arial" w:eastAsia="Arial" w:hAnsi="Arial"/>
                <w:sz w:val="18"/>
                <w:szCs w:val="18"/>
                <w:b w:val="1"/>
                <w:bCs w:val="1"/>
                <w:color w:val="0000FF"/>
                <w:w w:val="92"/>
              </w:rPr>
              <w:t>Table of Contents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80"/>
        </w:trPr>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2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400" w:type="dxa"/>
            <w:vAlign w:val="bottom"/>
            <w:gridSpan w:val="8"/>
          </w:tcPr>
          <w:p>
            <w:pPr>
              <w:spacing w:after="0"/>
              <w:rPr>
                <w:sz w:val="20"/>
                <w:szCs w:val="20"/>
                <w:color w:val="auto"/>
              </w:rPr>
            </w:pPr>
            <w:r>
              <w:rPr>
                <w:rFonts w:ascii="Arial" w:cs="Arial" w:eastAsia="Arial" w:hAnsi="Arial"/>
                <w:sz w:val="18"/>
                <w:szCs w:val="18"/>
                <w:b w:val="1"/>
                <w:bCs w:val="1"/>
                <w:color w:val="0000FF"/>
              </w:rPr>
              <w:t>PART I</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w:t>
            </w:r>
          </w:p>
        </w:tc>
        <w:tc>
          <w:tcPr>
            <w:tcW w:w="66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79"/>
              </w:rPr>
              <w:t>Business</w:t>
            </w:r>
          </w:p>
        </w:tc>
        <w:tc>
          <w:tcPr>
            <w:tcW w:w="8480" w:type="dxa"/>
            <w:vAlign w:val="bottom"/>
            <w:gridSpan w:val="25"/>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1A.</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1B.</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Unresolved Staff Comments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2.</w:t>
            </w:r>
          </w:p>
        </w:tc>
        <w:tc>
          <w:tcPr>
            <w:tcW w:w="2140" w:type="dxa"/>
            <w:vAlign w:val="bottom"/>
            <w:tcBorders>
              <w:top w:val="single" w:sz="8" w:color="0000FF"/>
            </w:tcBorders>
            <w:gridSpan w:val="14"/>
          </w:tcPr>
          <w:p>
            <w:pPr>
              <w:spacing w:after="0"/>
              <w:rPr>
                <w:sz w:val="20"/>
                <w:szCs w:val="20"/>
                <w:color w:val="auto"/>
              </w:rPr>
            </w:pPr>
            <w:r>
              <w:rPr>
                <w:rFonts w:ascii="Arial" w:cs="Arial" w:eastAsia="Arial" w:hAnsi="Arial"/>
                <w:sz w:val="18"/>
                <w:szCs w:val="18"/>
                <w:b w:val="1"/>
                <w:bCs w:val="1"/>
                <w:color w:val="0000FF"/>
              </w:rPr>
              <w:t>Properties</w:t>
            </w:r>
          </w:p>
        </w:tc>
        <w:tc>
          <w:tcPr>
            <w:tcW w:w="7000" w:type="dxa"/>
            <w:vAlign w:val="bottom"/>
            <w:gridSpan w:val="12"/>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3.</w:t>
            </w:r>
          </w:p>
        </w:tc>
        <w:tc>
          <w:tcPr>
            <w:tcW w:w="14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6"/>
              </w:rPr>
              <w:t>Legal Proceedings</w:t>
            </w:r>
          </w:p>
        </w:tc>
        <w:tc>
          <w:tcPr>
            <w:tcW w:w="20" w:type="dxa"/>
            <w:vAlign w:val="bottom"/>
            <w:tcBorders>
              <w:bottom w:val="single" w:sz="8" w:color="0000EE"/>
            </w:tcBorders>
          </w:tcPr>
          <w:p>
            <w:pPr>
              <w:spacing w:after="0"/>
              <w:rPr>
                <w:sz w:val="19"/>
                <w:szCs w:val="19"/>
                <w:color w:val="auto"/>
              </w:rPr>
            </w:pPr>
          </w:p>
        </w:tc>
        <w:tc>
          <w:tcPr>
            <w:tcW w:w="7720" w:type="dxa"/>
            <w:vAlign w:val="bottom"/>
            <w:gridSpan w:val="20"/>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4.</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20" w:type="dxa"/>
            <w:vAlign w:val="bottom"/>
            <w:tcBorders>
              <w:bottom w:val="single" w:sz="8" w:color="0000EE"/>
            </w:tcBorders>
          </w:tcPr>
          <w:p>
            <w:pPr>
              <w:spacing w:after="0"/>
              <w:rPr>
                <w:sz w:val="24"/>
                <w:szCs w:val="24"/>
                <w:color w:val="auto"/>
              </w:rPr>
            </w:pPr>
          </w:p>
        </w:tc>
        <w:tc>
          <w:tcPr>
            <w:tcW w:w="720" w:type="dxa"/>
            <w:vAlign w:val="bottom"/>
            <w:gridSpan w:val="5"/>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5.</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w w:val="95"/>
              </w:rPr>
              <w:t>Market for Registrant’s Common Equity, Related Stockholder Matters and Issuer Purchases of Equity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6.</w:t>
            </w:r>
          </w:p>
        </w:tc>
        <w:tc>
          <w:tcPr>
            <w:tcW w:w="8660" w:type="dxa"/>
            <w:vAlign w:val="bottom"/>
            <w:tcBorders>
              <w:top w:val="single" w:sz="8" w:color="0000FF"/>
            </w:tcBorders>
            <w:gridSpan w:val="25"/>
          </w:tcPr>
          <w:p>
            <w:pPr>
              <w:spacing w:after="0"/>
              <w:rPr>
                <w:sz w:val="20"/>
                <w:szCs w:val="20"/>
                <w:color w:val="auto"/>
              </w:rPr>
            </w:pPr>
            <w:r>
              <w:rPr>
                <w:rFonts w:ascii="Arial" w:cs="Arial" w:eastAsia="Arial" w:hAnsi="Arial"/>
                <w:sz w:val="18"/>
                <w:szCs w:val="18"/>
                <w:u w:val="single" w:color="auto"/>
                <w:color w:val="0563C1"/>
              </w:rPr>
              <w:t>[</w:t>
            </w:r>
            <w:r>
              <w:rPr>
                <w:rFonts w:ascii="Arial" w:cs="Arial" w:eastAsia="Arial" w:hAnsi="Arial"/>
                <w:sz w:val="18"/>
                <w:szCs w:val="18"/>
                <w:b w:val="1"/>
                <w:bCs w:val="1"/>
                <w:color w:val="0000FF"/>
              </w:rPr>
              <w:t>Reserved</w:t>
            </w:r>
            <w:r>
              <w:rPr>
                <w:rFonts w:ascii="Arial" w:cs="Arial" w:eastAsia="Arial" w:hAnsi="Arial"/>
                <w:sz w:val="18"/>
                <w:szCs w:val="18"/>
                <w:u w:val="single" w:color="auto"/>
                <w:color w:val="0563C1"/>
              </w:rPr>
              <w:t>]</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7.</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7A.</w:t>
            </w:r>
          </w:p>
        </w:tc>
        <w:tc>
          <w:tcPr>
            <w:tcW w:w="462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8"/>
                <w:szCs w:val="18"/>
                <w:b w:val="1"/>
                <w:bCs w:val="1"/>
                <w:color w:val="0000FF"/>
                <w:w w:val="91"/>
              </w:rPr>
              <w:t>Quantitative and Qualitative Disclosures about Market Risk</w:t>
            </w:r>
          </w:p>
        </w:tc>
        <w:tc>
          <w:tcPr>
            <w:tcW w:w="2200" w:type="dxa"/>
            <w:vAlign w:val="bottom"/>
            <w:tcBorders>
              <w:top w:val="single" w:sz="8" w:color="0000FF"/>
            </w:tcBorders>
            <w:gridSpan w:val="3"/>
          </w:tcPr>
          <w:p>
            <w:pPr>
              <w:spacing w:after="0"/>
              <w:rPr>
                <w:sz w:val="19"/>
                <w:szCs w:val="19"/>
                <w:color w:val="auto"/>
              </w:rPr>
            </w:pPr>
          </w:p>
        </w:tc>
        <w:tc>
          <w:tcPr>
            <w:tcW w:w="232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8.</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Financial Statements and Supplementary Data</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9.</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9A.</w:t>
            </w:r>
          </w:p>
        </w:tc>
        <w:tc>
          <w:tcPr>
            <w:tcW w:w="19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b w:val="1"/>
                <w:bCs w:val="1"/>
                <w:color w:val="0000FF"/>
                <w:w w:val="89"/>
              </w:rPr>
              <w:t>Controls and Procedures</w:t>
            </w:r>
          </w:p>
        </w:tc>
        <w:tc>
          <w:tcPr>
            <w:tcW w:w="4900" w:type="dxa"/>
            <w:vAlign w:val="bottom"/>
            <w:tcBorders>
              <w:top w:val="single" w:sz="8" w:color="0000FF"/>
            </w:tcBorders>
            <w:gridSpan w:val="10"/>
          </w:tcPr>
          <w:p>
            <w:pPr>
              <w:spacing w:after="0"/>
              <w:rPr>
                <w:sz w:val="19"/>
                <w:szCs w:val="19"/>
                <w:color w:val="auto"/>
              </w:rPr>
            </w:pPr>
          </w:p>
        </w:tc>
        <w:tc>
          <w:tcPr>
            <w:tcW w:w="230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9B.</w:t>
            </w:r>
          </w:p>
        </w:tc>
        <w:tc>
          <w:tcPr>
            <w:tcW w:w="1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3"/>
              </w:rPr>
              <w:t>Other Information</w:t>
            </w:r>
          </w:p>
        </w:tc>
        <w:tc>
          <w:tcPr>
            <w:tcW w:w="20" w:type="dxa"/>
            <w:vAlign w:val="bottom"/>
            <w:tcBorders>
              <w:bottom w:val="single" w:sz="8" w:color="0000EE"/>
            </w:tcBorders>
          </w:tcPr>
          <w:p>
            <w:pPr>
              <w:spacing w:after="0"/>
              <w:rPr>
                <w:sz w:val="19"/>
                <w:szCs w:val="19"/>
                <w:color w:val="auto"/>
              </w:rPr>
            </w:pPr>
          </w:p>
        </w:tc>
        <w:tc>
          <w:tcPr>
            <w:tcW w:w="7680" w:type="dxa"/>
            <w:vAlign w:val="bottom"/>
            <w:gridSpan w:val="18"/>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9C.</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Disclosure Regarding Foreign Jurisdictions that Prevent Inspections</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53"/>
        </w:trPr>
        <w:tc>
          <w:tcPr>
            <w:tcW w:w="20" w:type="dxa"/>
            <w:vAlign w:val="bottom"/>
          </w:tcPr>
          <w:p>
            <w:pPr>
              <w:spacing w:after="0"/>
              <w:rPr>
                <w:sz w:val="24"/>
                <w:szCs w:val="24"/>
                <w:color w:val="auto"/>
              </w:rPr>
            </w:pPr>
          </w:p>
        </w:tc>
        <w:tc>
          <w:tcPr>
            <w:tcW w:w="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III</w:t>
            </w:r>
          </w:p>
        </w:tc>
        <w:tc>
          <w:tcPr>
            <w:tcW w:w="20" w:type="dxa"/>
            <w:vAlign w:val="bottom"/>
            <w:tcBorders>
              <w:bottom w:val="single" w:sz="8" w:color="0000EE"/>
            </w:tcBorders>
          </w:tcPr>
          <w:p>
            <w:pPr>
              <w:spacing w:after="0"/>
              <w:rPr>
                <w:sz w:val="24"/>
                <w:szCs w:val="24"/>
                <w:color w:val="auto"/>
              </w:rPr>
            </w:pPr>
          </w:p>
        </w:tc>
        <w:tc>
          <w:tcPr>
            <w:tcW w:w="64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10.</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Directors, Executive Officers and Corporate Governance</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11.</w:t>
            </w:r>
          </w:p>
        </w:tc>
        <w:tc>
          <w:tcPr>
            <w:tcW w:w="19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b w:val="1"/>
                <w:bCs w:val="1"/>
                <w:color w:val="0000FF"/>
                <w:w w:val="87"/>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440" w:type="dxa"/>
            <w:vAlign w:val="bottom"/>
            <w:tcBorders>
              <w:top w:val="single" w:sz="8" w:color="0000FF"/>
            </w:tcBorders>
            <w:gridSpan w:val="6"/>
          </w:tcPr>
          <w:p>
            <w:pPr>
              <w:spacing w:after="0"/>
              <w:rPr>
                <w:sz w:val="19"/>
                <w:szCs w:val="19"/>
                <w:color w:val="auto"/>
              </w:rPr>
            </w:pPr>
          </w:p>
        </w:tc>
        <w:tc>
          <w:tcPr>
            <w:tcW w:w="4780" w:type="dxa"/>
            <w:vAlign w:val="bottom"/>
            <w:gridSpan w:val="8"/>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12.</w:t>
            </w:r>
          </w:p>
        </w:tc>
        <w:tc>
          <w:tcPr>
            <w:tcW w:w="78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b w:val="1"/>
                <w:bCs w:val="1"/>
                <w:color w:val="0000FF"/>
                <w:w w:val="90"/>
              </w:rPr>
              <w:t>Security Ownership of Certain Beneficial Owners and Management and Related Stockholder Matters</w:t>
            </w:r>
          </w:p>
        </w:tc>
        <w:tc>
          <w:tcPr>
            <w:tcW w:w="134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13.</w:t>
            </w:r>
          </w:p>
        </w:tc>
        <w:tc>
          <w:tcPr>
            <w:tcW w:w="58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b w:val="1"/>
                <w:bCs w:val="1"/>
                <w:color w:val="0000FF"/>
                <w:w w:val="89"/>
              </w:rPr>
              <w:t>Certain Relationships and Related Transactions, and Director Independence</w:t>
            </w:r>
          </w:p>
        </w:tc>
        <w:tc>
          <w:tcPr>
            <w:tcW w:w="3280" w:type="dxa"/>
            <w:vAlign w:val="bottom"/>
            <w:gridSpan w:val="5"/>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14.</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Principal Accounting Fees and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53"/>
        </w:trPr>
        <w:tc>
          <w:tcPr>
            <w:tcW w:w="20" w:type="dxa"/>
            <w:vAlign w:val="bottom"/>
          </w:tcPr>
          <w:p>
            <w:pPr>
              <w:spacing w:after="0"/>
              <w:rPr>
                <w:sz w:val="24"/>
                <w:szCs w:val="24"/>
                <w:color w:val="auto"/>
              </w:rPr>
            </w:pPr>
          </w:p>
        </w:tc>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8"/>
              </w:rPr>
              <w:t>PART IV</w:t>
            </w:r>
          </w:p>
        </w:tc>
        <w:tc>
          <w:tcPr>
            <w:tcW w:w="20" w:type="dxa"/>
            <w:vAlign w:val="bottom"/>
            <w:tcBorders>
              <w:bottom w:val="single" w:sz="8" w:color="0000EE"/>
            </w:tcBorders>
          </w:tcPr>
          <w:p>
            <w:pPr>
              <w:spacing w:after="0"/>
              <w:rPr>
                <w:sz w:val="24"/>
                <w:szCs w:val="24"/>
                <w:color w:val="auto"/>
              </w:rPr>
            </w:pPr>
          </w:p>
        </w:tc>
        <w:tc>
          <w:tcPr>
            <w:tcW w:w="66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15.</w:t>
            </w:r>
          </w:p>
        </w:tc>
        <w:tc>
          <w:tcPr>
            <w:tcW w:w="9140" w:type="dxa"/>
            <w:vAlign w:val="bottom"/>
            <w:gridSpan w:val="26"/>
          </w:tcPr>
          <w:p>
            <w:pPr>
              <w:spacing w:after="0"/>
              <w:rPr>
                <w:sz w:val="20"/>
                <w:szCs w:val="20"/>
                <w:color w:val="auto"/>
              </w:rPr>
            </w:pPr>
            <w:r>
              <w:rPr>
                <w:rFonts w:ascii="Arial" w:cs="Arial" w:eastAsia="Arial" w:hAnsi="Arial"/>
                <w:sz w:val="18"/>
                <w:szCs w:val="18"/>
                <w:b w:val="1"/>
                <w:bCs w:val="1"/>
                <w:color w:val="0000FF"/>
              </w:rPr>
              <w:t>Exhibits and Financial Statement Schedules</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20" w:type="dxa"/>
            <w:vAlign w:val="bottom"/>
          </w:tcPr>
          <w:p>
            <w:pPr>
              <w:spacing w:after="0"/>
              <w:rPr>
                <w:sz w:val="19"/>
                <w:szCs w:val="19"/>
                <w:color w:val="auto"/>
              </w:rPr>
            </w:pPr>
          </w:p>
        </w:tc>
        <w:tc>
          <w:tcPr>
            <w:tcW w:w="1400" w:type="dxa"/>
            <w:vAlign w:val="bottom"/>
            <w:gridSpan w:val="8"/>
          </w:tcPr>
          <w:p>
            <w:pPr>
              <w:ind w:left="220"/>
              <w:spacing w:after="0"/>
              <w:rPr>
                <w:sz w:val="20"/>
                <w:szCs w:val="20"/>
                <w:color w:val="auto"/>
              </w:rPr>
            </w:pPr>
            <w:r>
              <w:rPr>
                <w:rFonts w:ascii="Arial" w:cs="Arial" w:eastAsia="Arial" w:hAnsi="Arial"/>
                <w:sz w:val="18"/>
                <w:szCs w:val="18"/>
                <w:b w:val="1"/>
                <w:bCs w:val="1"/>
                <w:color w:val="auto"/>
              </w:rPr>
              <w:t>Item 16.</w:t>
            </w:r>
          </w:p>
        </w:tc>
        <w:tc>
          <w:tcPr>
            <w:tcW w:w="3360" w:type="dxa"/>
            <w:vAlign w:val="bottom"/>
            <w:tcBorders>
              <w:top w:val="single" w:sz="8" w:color="0000FF"/>
            </w:tcBorders>
            <w:gridSpan w:val="16"/>
          </w:tcPr>
          <w:p>
            <w:pPr>
              <w:spacing w:after="0"/>
              <w:rPr>
                <w:sz w:val="20"/>
                <w:szCs w:val="20"/>
                <w:color w:val="auto"/>
              </w:rPr>
            </w:pPr>
            <w:r>
              <w:rPr>
                <w:rFonts w:ascii="Arial" w:cs="Arial" w:eastAsia="Arial" w:hAnsi="Arial"/>
                <w:sz w:val="18"/>
                <w:szCs w:val="18"/>
                <w:b w:val="1"/>
                <w:bCs w:val="1"/>
                <w:color w:val="0000FF"/>
              </w:rPr>
              <w:t>Form 10-K Summary</w:t>
            </w:r>
          </w:p>
        </w:tc>
        <w:tc>
          <w:tcPr>
            <w:tcW w:w="5780" w:type="dxa"/>
            <w:vAlign w:val="bottom"/>
            <w:gridSpan w:val="10"/>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60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CAUTION CONCERNING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When included in this Annual Report on Form 10-K, or in other documents that we file with the Securities and Exchange Commission (“SEC”) or in statements made by or on behalf of the Company,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w:t>
      </w:r>
    </w:p>
    <w:p>
      <w:pPr>
        <w:spacing w:after="0" w:line="195" w:lineRule="exact"/>
        <w:rPr>
          <w:sz w:val="20"/>
          <w:szCs w:val="20"/>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macroeconomic conditions, rising global inflation and interest rates, legislative developments, trade disruptions and supply chain disruptions on our business and our customers’ businesses;</w:t>
      </w:r>
    </w:p>
    <w:p>
      <w:pPr>
        <w:spacing w:after="0" w:line="170"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due to natural disasters, acts of terrorism, pandemics (including the ongoing COVID-19 pandemic), riots, civil insurrection or social unrest, looting, protests, strikes or street demonstrations;</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operational and reimbursement processes and payment structures at the state or federal levels;</w:t>
      </w:r>
    </w:p>
    <w:p>
      <w:pPr>
        <w:spacing w:after="0" w:line="225" w:lineRule="exact"/>
        <w:rPr>
          <w:rFonts w:ascii="Arial" w:cs="Arial" w:eastAsia="Arial" w:hAnsi="Arial"/>
          <w:sz w:val="18"/>
          <w:szCs w:val="18"/>
          <w:color w:val="auto"/>
        </w:rPr>
      </w:pPr>
    </w:p>
    <w:p>
      <w:pPr>
        <w:ind w:left="900" w:right="1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Medicaid, Medicare, other government program and managed care organizations policies and payment rates, and the timeliness of reimbursements received under government programs;</w:t>
      </w:r>
    </w:p>
    <w:p>
      <w:pPr>
        <w:spacing w:after="0" w:line="170"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our failure to comply with, existing, federal and state laws or regulations, or our failure to comply with new government laws or regulations on a timely basis;</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healthcare industry;</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geographical concentration of our operations;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case mix of consumers and payment methodologies;</w:t>
      </w:r>
    </w:p>
    <w:p>
      <w:pPr>
        <w:spacing w:after="0" w:line="225"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changes resulting from the assumption by managed care organizations of responsibility for managing and paying for our services to consumers;</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and success of future financial and/or delivery system reforms;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and judgments associated with critical accounting policies;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establish new referral sources;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significant agreements or groups of agreements;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225"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city minimum wage pressure, including any failure of any governmental entity to enact a minimum wage offset and/or the timing of any such enactment;</w:t>
      </w:r>
    </w:p>
    <w:p>
      <w:pPr>
        <w:spacing w:after="0" w:line="170" w:lineRule="exact"/>
        <w:rPr>
          <w:rFonts w:ascii="Arial" w:cs="Arial" w:eastAsia="Arial" w:hAnsi="Arial"/>
          <w:sz w:val="18"/>
          <w:szCs w:val="18"/>
          <w:color w:val="auto"/>
        </w:rPr>
      </w:pPr>
    </w:p>
    <w:p>
      <w:pPr>
        <w:ind w:left="900" w:right="7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payments and covered services due to the overall economic conditions and deficit reduction measures by federal and state governments, and our expectations regarding these changes;</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containment initiatives undertaken by federal and state governmental and other third-party payors;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financing through the capital and credit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debt service requirements and comply with covenants in debt agreements;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and manage our information systems;</w:t>
      </w:r>
    </w:p>
    <w:p>
      <w:pPr>
        <w:spacing w:after="0" w:line="225" w:lineRule="exact"/>
        <w:rPr>
          <w:rFonts w:ascii="Arial" w:cs="Arial" w:eastAsia="Arial" w:hAnsi="Arial"/>
          <w:sz w:val="18"/>
          <w:szCs w:val="18"/>
          <w:color w:val="auto"/>
        </w:rPr>
      </w:pPr>
    </w:p>
    <w:p>
      <w:pPr>
        <w:ind w:left="900" w:right="360" w:hanging="383"/>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security breaches, cyber-attacks, loss of data, or cybersecurity threats or incidents, and any actual or perceived failures to comply with legal requirements related to the privacy of confidential consumer data and other sensitive information;</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markets for our services, including our expectations regarding the markets for our services;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acceptance of privatized social services;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eligibility standards and limits on services imposed by state governmental agencies;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litigation, audits and investigations;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discretionary determinations by government officials;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model to grow our business;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continue identifying, pursuing, consummating and integrating acquisition opportunities and expand into new geographic markets;</w:t>
      </w:r>
    </w:p>
    <w:p>
      <w:pPr>
        <w:spacing w:after="0" w:line="248" w:lineRule="exact"/>
        <w:rPr>
          <w:rFonts w:ascii="Arial" w:cs="Arial" w:eastAsia="Arial" w:hAnsi="Arial"/>
          <w:sz w:val="16"/>
          <w:szCs w:val="16"/>
          <w:color w:val="auto"/>
        </w:rPr>
      </w:pPr>
    </w:p>
    <w:p>
      <w:pPr>
        <w:ind w:left="900" w:hanging="383"/>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acquisitions and dispositions on our business, including the potential inability to realize the benefits of potential acquisitions;</w:t>
      </w:r>
    </w:p>
    <w:p>
      <w:pPr>
        <w:spacing w:after="0" w:line="236" w:lineRule="exact"/>
        <w:rPr>
          <w:rFonts w:ascii="Arial" w:cs="Arial" w:eastAsia="Arial" w:hAnsi="Arial"/>
          <w:sz w:val="17"/>
          <w:szCs w:val="17"/>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the discontinuation or modification of LIBOR;</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quality and cost of our services;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our growth strategy;</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inclement weather or natural disasters; and</w:t>
      </w:r>
    </w:p>
    <w:p>
      <w:pPr>
        <w:spacing w:after="0" w:line="225"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other matters, many of which are beyond our control.</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 For a discussion of some of the factors discussed above as well as additional factors, see Part I, Item 1A—“Risk Factors” and Part II, Item 7—”Management’s Discussion and Analysis of Financial Condition and Results of Operations—Critical Accounting Policies and Estimates.”</w:t>
      </w:r>
    </w:p>
    <w:p>
      <w:pPr>
        <w:spacing w:after="0" w:line="19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Unless otherwise provided, “Addus,” “we,” “us,” “our,” and the “Company” refer to Addus HomeCare Corporation and our consolidated subsidiaries and “Holdings” refers to Addus HomeCare Corporation. When we refer to 2022, 2021 and 2020, we mean the twelve-month period then ended December 31, unless otherwise provided.</w:t>
      </w:r>
    </w:p>
    <w:p>
      <w:pPr>
        <w:spacing w:after="0" w:line="184"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A copy of this Annual Report on Form 10-K for the year ended December 31, 2022 as filed with the SEC, including all exhibits, is available on our internet website at http://www.addus.com on the “Investors” page link. Information contained on, or accessible through, our website is not a part of, and is not incorporated by reference into, this Annual Report on Form 10-K.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60" w:firstLine="509"/>
        <w:spacing w:after="0" w:line="311" w:lineRule="auto"/>
        <w:rPr>
          <w:sz w:val="20"/>
          <w:szCs w:val="20"/>
          <w:color w:val="auto"/>
        </w:rPr>
      </w:pPr>
      <w:r>
        <w:rPr>
          <w:rFonts w:ascii="Arial" w:cs="Arial" w:eastAsia="Arial" w:hAnsi="Arial"/>
          <w:sz w:val="16"/>
          <w:szCs w:val="16"/>
          <w:color w:val="auto"/>
        </w:rPr>
        <w:t>Addus has been providing home care services since 1979. We operate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w:t>
      </w:r>
    </w:p>
    <w:p>
      <w:pPr>
        <w:spacing w:after="0" w:line="14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As of December 31, 2022, we provided services in 22 states through approximately 202 offices. For the years ended December 31, 2022 and 2021, we served approximately 66,000 and 67,000 discrete consumers, respectively.</w:t>
      </w:r>
    </w:p>
    <w:p>
      <w:pPr>
        <w:spacing w:after="0" w:line="170"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continue to drive organic growth while also growing through acquisitions, focusing on growth in the states in which we have a presence while adding clinical care services to our offerings. As of December 31, 2022, we provide all three levels of care, personal care, home health and hospice services, in Ohio, Illinois and New Mexico and strategically continue to pursue other markets.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financial results is provided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76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(Amounts</w:t>
            </w:r>
          </w:p>
        </w:tc>
        <w:tc>
          <w:tcPr>
            <w:tcW w:w="300" w:type="dxa"/>
            <w:vAlign w:val="bottom"/>
          </w:tcPr>
          <w:p>
            <w:pPr>
              <w:ind w:left="160"/>
              <w:spacing w:after="0"/>
              <w:rPr>
                <w:sz w:val="20"/>
                <w:szCs w:val="20"/>
                <w:color w:val="auto"/>
              </w:rPr>
            </w:pPr>
            <w:r>
              <w:rPr>
                <w:rFonts w:ascii="Arial" w:cs="Arial" w:eastAsia="Arial" w:hAnsi="Arial"/>
                <w:sz w:val="14"/>
                <w:szCs w:val="14"/>
                <w:b w:val="1"/>
                <w:bCs w:val="1"/>
                <w:color w:val="auto"/>
                <w:w w:val="96"/>
              </w:rPr>
              <w:t>in</w:t>
            </w:r>
          </w:p>
        </w:tc>
        <w:tc>
          <w:tcPr>
            <w:tcW w:w="9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Personal care</w:t>
            </w:r>
          </w:p>
        </w:tc>
        <w:tc>
          <w:tcPr>
            <w:tcW w:w="900" w:type="dxa"/>
            <w:vAlign w:val="bottom"/>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706,507</w:t>
            </w:r>
          </w:p>
        </w:tc>
        <w:tc>
          <w:tcPr>
            <w:tcW w:w="12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685,854</w:t>
            </w:r>
          </w:p>
        </w:tc>
        <w:tc>
          <w:tcPr>
            <w:tcW w:w="22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Hospice</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201,772</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152,253</w:t>
            </w:r>
          </w:p>
        </w:tc>
        <w:tc>
          <w:tcPr>
            <w:tcW w:w="22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Home health</w:t>
            </w:r>
          </w:p>
        </w:tc>
        <w:tc>
          <w:tcPr>
            <w:tcW w:w="9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42,841</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net service revenue by segment</w:t>
            </w:r>
          </w:p>
        </w:tc>
        <w:tc>
          <w:tcPr>
            <w:tcW w:w="900" w:type="dxa"/>
            <w:vAlign w:val="bottom"/>
            <w:tcBorders>
              <w:bottom w:val="single" w:sz="8" w:color="auto"/>
            </w:tcBorders>
          </w:tcPr>
          <w:p>
            <w:pPr>
              <w:jc w:val="right"/>
              <w:ind w:right="71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951,120</w:t>
            </w:r>
          </w:p>
        </w:tc>
        <w:tc>
          <w:tcPr>
            <w:tcW w:w="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864,499</w:t>
            </w:r>
          </w:p>
        </w:tc>
        <w:tc>
          <w:tcPr>
            <w:tcW w:w="22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71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46,025</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45,126</w:t>
            </w:r>
          </w:p>
        </w:tc>
        <w:tc>
          <w:tcPr>
            <w:tcW w:w="22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937,994</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947,585</w:t>
            </w:r>
          </w:p>
        </w:tc>
        <w:tc>
          <w:tcPr>
            <w:tcW w:w="2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-650875</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-650875</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services and operating model address a number of crucial needs across the healthcare continuum. Care provided in the home generally costs less than facility-based care and is typically preferred by consumers and their families. By providing services in the home to the elderly and others who require long-term care and support with the activities of daily living, we lower the cost of chronic and acute care treatment by delaying or eliminating the need for care in more expensive settings. In addition, our caregivers observe and report changes in the condition of our consumers for the purpose of facilitating early intervention in the disease process, which often reduces the cost of medical services by preventing unnecessary emergency room visits and/or hospital admissions and re-admissions. We coordinate the services provided by our team with those of other healthcare providers and payors, as appropriate. Changes in a consumer’s conditions are evaluated by appropriately trained managers, which may result in a report to the consumer’s case manager at a managed care organization or other payor. By providing care in the preferred setting of the home and by providing opportunities to improve the consumer’s conditions and allow early intervention as indicated, our model also is designed to improve consumer outcomes and satisfaction.</w:t>
      </w:r>
    </w:p>
    <w:p>
      <w:pPr>
        <w:spacing w:after="0" w:line="16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believe our model provides significant value to managed care organizations. States continue to implement managed care programs for Medicaid enrollees, and, as a result, managed care organizations have been increasingly responsible for the healthcare needs and the related healthcare costs of our consumers. Managed care organizations have an economic incentive to better manage the healthcare expenditures of their members, lower costs and improve outcomes. We believe that our model is well positioned to assist in meeting those goals while also improving consumer satisfaction, and, as a result, we expect increased referrals from managed care organizations.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and Opportunity</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provide home care services that primarily include personal care services to assist with activities of daily living, as well as hospice and home health services. These services allow the elderly and other infirm adults who require long-term care and assistance with activities of daily living to maintain their independence at home with their families. Personal care services are a significant component of home and community-based services (“HCBS”), which have grown in significance and demand in recent years and during the COVID-19 pandemic. In particular, the demand for personal care services is growing from managed care delivery models, including Medicaid Long-Term Services and Supports (“LTSS”) programs and Medicare Advantage plans. Managed care plans aim to manage cost, utilization and quality through collaboration of health insurance plans and healthcare providers. We also offer personal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care services to private pay consumers. We expect demand for HCBS to continue to grow due to the aging of the U.S. population and improved opportunities for individuals to receive home-based care as an alternative to institutional care.</w:t>
      </w:r>
    </w:p>
    <w:p>
      <w:pPr>
        <w:spacing w:after="0" w:line="170"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Because our model serves an aging population in a home setting at a lower cost, we believe that we have favorable opportunities for growth. Historically, there were limited barriers to entry in the home-based services industry. As a result, the personal care, home health and hospice service industries developed in a highly fragmented manner, with few large participants and many small ones. Few companies have a significant market share across multiple regions or states. The lack of licensure or certification requirements in some states makes it difficult to estimate the number of home-based services agencies. We expect ongoing consolidation within our industry, driven by the desire of healthcare systems and managed care organizations to narrow their networks of service providers, and also as a result of the industry’s increasingly complex regulatory, operating and technology requirements. We believe we are well positioned to capitalize on a consolidating industry given our reputation in the market, strong payor relationships and integration of technology into our business model.</w:t>
      </w:r>
    </w:p>
    <w:p>
      <w:pPr>
        <w:spacing w:after="0" w:line="192" w:lineRule="exact"/>
        <w:rPr>
          <w:sz w:val="20"/>
          <w:szCs w:val="20"/>
          <w:color w:val="auto"/>
        </w:rPr>
      </w:pPr>
    </w:p>
    <w:p>
      <w:pPr>
        <w:ind w:right="180" w:firstLine="509"/>
        <w:spacing w:after="0" w:line="272" w:lineRule="auto"/>
        <w:rPr>
          <w:sz w:val="20"/>
          <w:szCs w:val="20"/>
          <w:color w:val="auto"/>
        </w:rPr>
      </w:pPr>
      <w:r>
        <w:rPr>
          <w:rFonts w:ascii="Arial" w:cs="Arial" w:eastAsia="Arial" w:hAnsi="Arial"/>
          <w:sz w:val="17"/>
          <w:szCs w:val="17"/>
          <w:color w:val="auto"/>
        </w:rPr>
        <w:t>The personal care services industry is subject to increasing regulation. At the federal level, efforts have focused on improved coordination of regulation across the various types of Medicaid programs through which personal care services are offered. Federally required state mandates include implementing electronic visit verification (“EVV”), which is used to collect home visit data, and obtaining state licenses or registrations. Providers must dedicate substantial resources to ensure continuing compliance with all applicable regulations and significant expenditures may be necessary to offer new services or to expand into new markets. We believe licensing requirements and regulations, including those related to EVV, the increasing focus on improving health outcomes, the rising cost and complexity of operations and technology and pressure on reimbursement rates due to constrained government resources may discourage new providers and may encourage industry consolidation.</w:t>
      </w:r>
    </w:p>
    <w:p>
      <w:pPr>
        <w:spacing w:after="0" w:line="177"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The Medicare-Medicaid Coordination Office (“MMCO”) was established within the Centers for Medicare &amp; Medicaid Services (“CMS”) to improve services for consumers who are eligible for both Medicare and Medicaid, also known as “dual eligibles,” and improve coordination between the federal government and states to enhance access to quality services to which they are entitled. The MMCO works with state Medicaid agencies, other federal and state agencies, physicians and others, to make available technical assistance and educational tools to improve care coordination between Medicare and Medicaid and to reduce costs and improve beneficiary experience while reducing administrative and regulatory barriers between the programs. In addition, the MMCO and the CMS Innovation Center are considering or have implemented demonstration projects affecting reimbursement for services provided to dual eligibles.</w:t>
      </w:r>
    </w:p>
    <w:p>
      <w:pPr>
        <w:spacing w:after="0" w:line="19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believe that our personal care program and our technology make us well-suited to partner with managed care organizations to address the needs of the “dual eligible” population, and we believe that our ability to identify changes in our consumers’ health and condition before acute intervention is required will lower the overall cost of care. We believe this approach to care delivery and the integration of our services into the broader healthcare continuum are particularly attractive to managed care organizations and others who are ultimately responsible for the healthcare needs of our consumers and over time will increase our business with them.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growth of our revenues is closely correlated with the number of consumers to whom we provide our services. Our continued growth depends on our ability to provide consistently high-quality care, maintain our existing payor relationships, establish relationships with new payors, increase our referral sources and attract and retain caregivers. Our continued growth is also dependent upon the authorization by state agencies of new consumers to receive our services. We believe there are several market opportunities for growth as the population ages. Moreover, individuals generally prefer to receive care in their homes, and we believe the COVID-19 pandemic has heightened this preference due to health concerns that may be associated with institutional settings for long-term care, along with concerns about the re-imposition of visitor restrictions that were imposed in many long-term care facilities in response to the pandemic. Finally, we believe the provision of home-based services is more cost-effective than the provision of similar services in institutional settings for long-term care. We plan to continue our revenue growth and margin improvement and enhance our competitive positioning by executing on the following growth strategies: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Consistently Provide High-Quality Care</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schedule and require our caregivers to perform their services as defined within the individual plan of care. We monitor the performance of our caregivers through regular supervisory visits in the homes of consumers. Our caregivers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The training assists our caregivers with identifying changes in our consumers’ health and condition before acute intervention is required, which we believe lowers the overall cost of care.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Drive Organic Growth in Existing Markets</w:t>
      </w:r>
    </w:p>
    <w:p>
      <w:pPr>
        <w:spacing w:after="0" w:line="117" w:lineRule="exact"/>
        <w:rPr>
          <w:sz w:val="20"/>
          <w:szCs w:val="20"/>
          <w:color w:val="auto"/>
        </w:rPr>
      </w:pPr>
    </w:p>
    <w:p>
      <w:pPr>
        <w:ind w:right="500" w:firstLine="509"/>
        <w:spacing w:after="0" w:line="257" w:lineRule="auto"/>
        <w:rPr>
          <w:sz w:val="20"/>
          <w:szCs w:val="20"/>
          <w:color w:val="auto"/>
        </w:rPr>
      </w:pPr>
      <w:r>
        <w:rPr>
          <w:rFonts w:ascii="Arial" w:cs="Arial" w:eastAsia="Arial" w:hAnsi="Arial"/>
          <w:sz w:val="18"/>
          <w:szCs w:val="18"/>
          <w:color w:val="auto"/>
        </w:rPr>
        <w:t>We intend to drive organic growth through several initiatives, including continuing to build and enhance our sales and marketing capabilities, enhancing our business intelligence analytic capabilities, recruiting and retaining employees and investing in technology and operations to drive efficiencies. We also expect our organic growth will benefit from an increase in demand for our services by an aging population and our increased alignment with referral sources and payors. We continue to selectively open new offices in existing markets when an opportunity is identified and appropriate.</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 to Managed Care Organizations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As a large-scale provider of home-based care, we are partnering with managed care organizations, taking advantage of an industry shift from traditional fee-for-service Medicare and Medicaid and toward managed care models, which aim to better coordinate care. We expect this shift to lead to narrower provider networks where we can be competitive by offering a larger, more experienced partner to these organizations, as well as by providing more sophisticated technology, electronic visit records and an outcomes-driven approach to service. We believe our coordinated care model and integration of services into the broader healthcare industry are particularly attractive to managed care organizations. In particular, our expansion from primarily personal care services into hospice and home health has increased our value to our managed care partners by diversifying our home-based care offerings.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Grow Through Acquisitions</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addition to our organic growth, we have been growing through acquisitions that have expanded our presence in current markets or facilitated our entry into new markets. We completed two acquisitions in 2022, despite the continuing challenges and disruptions related to the COVID-19 pandemic: JourneyCare Inc. (“JourneyCare”) on February 1, 2022 and Apple Home Healthcare, LTD (“Apple Home”) on October 1, 2022. Acquisitions completed in 2022 accounted for $48.7 million in net service revenues for the year ended December 31, 2022. We also completed two acquisitions in 2021: Armada Skilled Homecare of New Mexico LLC, Armada Hospice of New Mexico LLC and Armada Hospice of Santa Fe LLC (collectively, “Armada”) on August 1, 2021 and Summit Home Health, LLC (“Summit”) on October 1, 2021.</w:t>
      </w:r>
    </w:p>
    <w:p>
      <w:pPr>
        <w:spacing w:after="0" w:line="178" w:lineRule="exact"/>
        <w:rPr>
          <w:sz w:val="20"/>
          <w:szCs w:val="20"/>
          <w:color w:val="auto"/>
        </w:rPr>
      </w:pPr>
    </w:p>
    <w:p>
      <w:pPr>
        <w:jc w:val="both"/>
        <w:ind w:right="60" w:firstLine="509"/>
        <w:spacing w:after="0" w:line="257" w:lineRule="auto"/>
        <w:rPr>
          <w:sz w:val="20"/>
          <w:szCs w:val="20"/>
          <w:color w:val="auto"/>
        </w:rPr>
      </w:pPr>
      <w:r>
        <w:rPr>
          <w:rFonts w:ascii="Arial" w:cs="Arial" w:eastAsia="Arial" w:hAnsi="Arial"/>
          <w:sz w:val="18"/>
          <w:szCs w:val="18"/>
          <w:color w:val="auto"/>
        </w:rPr>
        <w:t>Our active pipeline and strong financial position support additional acquisitions. With rising consolidation pressures in the industry, our focus is on identifying growing markets with favorable demographics in states that are fiscally well managed and have a reasonable minimum wage environment and where we have the potential to become one of the leading providers in the state in order to support our managed care organization strategy. We believe our experience identifying and executing on opportunities generated by our acquisition pipeline, as well as our history of integrating acquisitions, will lead to additional growth.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operate three business segments: personal care, hospice and home health. Without our services, many of our consumers would be at increased risk of placement in a long-term care institution.</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Personal Care</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Our personal care segment provides non-medical assistance with activities of daily living, primarily to persons who are at increased risk of hospitalization or institutionalization, such as the elderly, chronically ill or disabled. The services we provide include assistance with bathing, grooming, oral care, feeding and dressing, medication reminders, meal planning and preparation, housekeeping and transportation services. Many consumers need such services on a long-term basis to address chronic or acute conditions. Our personal care segment also includes staffing services, with clients including assisted living facilities, nursing homes and hospice facilities. Each payor client establishes its own eligibility standards, determines the type, amount, duration and scope of services, and establishes the applicable reimbursement rate in accordance with applicable laws, regulations or contracts.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hospice segment provides physical, emotional and spiritual care for people who are terminally ill as well as related services for their families.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hospice services we provide include palliative nursing care, social work, spiritual counseling, homemaker services and bereavement counseling.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Generally, patients receiving hospice services have a life expectancy of six months or less.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Our home health segment provides services that are primarily medical in nature to individuals who may require assistance during an illness or after hospitalization and include skilled nursing and physical, occupational and speech therapy. We generally provide home health services on a short-term, intermittent or episodic basis to individuals, typically to assist patients recovering from an illness or injury.</w:t>
      </w:r>
    </w:p>
    <w:p>
      <w:pPr>
        <w:spacing w:after="0" w:line="184" w:lineRule="exact"/>
        <w:rPr>
          <w:sz w:val="20"/>
          <w:szCs w:val="20"/>
          <w:color w:val="auto"/>
        </w:rPr>
      </w:pPr>
    </w:p>
    <w:p>
      <w:pPr>
        <w:ind w:right="580" w:firstLine="509"/>
        <w:spacing w:after="0" w:line="308" w:lineRule="auto"/>
        <w:rPr>
          <w:sz w:val="20"/>
          <w:szCs w:val="20"/>
          <w:color w:val="auto"/>
        </w:rPr>
      </w:pPr>
      <w:r>
        <w:rPr>
          <w:rFonts w:ascii="Arial" w:cs="Arial" w:eastAsia="Arial" w:hAnsi="Arial"/>
          <w:sz w:val="17"/>
          <w:szCs w:val="17"/>
          <w:color w:val="auto"/>
        </w:rPr>
        <w:t>We measure the performance of each segment using a number of different metrics. See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Operations—Results of Operations</w:t>
      </w:r>
      <w:r>
        <w:rPr>
          <w:rFonts w:ascii="Arial" w:cs="Arial" w:eastAsia="Arial" w:hAnsi="Arial"/>
          <w:sz w:val="17"/>
          <w:szCs w:val="17"/>
          <w:color w:val="auto"/>
        </w:rPr>
        <w:t>” for information regarding the Company’s segment metrics.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Payors</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Our payor clients are principally federal, state and local governmental agencies and managed care organizations. The federal, state and local programs under which the agencies operate are subject to legislative and budgetary restrictions, changes and other risks that can influence reimbursement rates. Managed care organizations that operate as an extension of government payors are subject to similar economic pressures. Our commercial insurance payor clients are typically for-profit companies and are continuously seeking opportunities to control costs.</w:t>
      </w:r>
    </w:p>
    <w:p>
      <w:pPr>
        <w:spacing w:after="0" w:line="17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Most of our services are provided pursuant to agreements with state and local governmental social and aging service agencies. These agreements generally have an initial term of one to two years and may be terminated with 60 days’ notice. They are typically renewed for one to five-year terms, provided that we have complied with licensing, certification and program standards, and other regulatory requirements. Reimbursement rates and methods vary by state and service type, but are typically based on an hourly or unit-of-service basis. Managed care organizations are becoming an increasing portion of our personal care segment payor mix as states shift from administering fee-for-service programs to utilizing managed care models. See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Operations—Overview</w:t>
      </w:r>
      <w:r>
        <w:rPr>
          <w:rFonts w:ascii="Arial" w:cs="Arial" w:eastAsia="Arial" w:hAnsi="Arial"/>
          <w:sz w:val="16"/>
          <w:szCs w:val="16"/>
          <w:color w:val="auto"/>
        </w:rPr>
        <w:t>” for our revenue mix by payor type.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believe our industry is highly competitive, fragmented and market specific. Each local market has its own competitive profile and no single competitor has significant market share across all of our markets. Our competition consists of personal care service providers, home health providers, hospice providers, private caregivers, larger publicly held companies, privately held companies, privately held single-site agencies, hospital-based agencies, not-for-profit organizations, community-based organizations, managed care organizations and self-directed care programs. In addition, certain governmental payors contract with other providers for services we offer. We have experienced, and expect to continue to experience, competition from new entrants into our markets. Increased competition may result in pricing pressures, loss of or failure to gain market share or loss of consumers or payors, any of which could harm our business. In addition, some of our competitors may have greater financial, technical, political and marketing resources, as well as name recognition with consumers and payors.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We focus on initiating and maintaining working relationships with state and local governmental agencies responsible for the provision of the services we offer. We target these agencies in our current markets and in geographical areas that we have identified as potential markets for expansion. We also seek to identify service needs or changes in the service delivery or reimbursement systems of governmental entities and attempt to work with and provide input to the responsible government personnel, provider associations and consumer advocacy groups.</w:t>
      </w:r>
    </w:p>
    <w:p>
      <w:pPr>
        <w:spacing w:after="0" w:line="17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establish new referral relationships with various managed care organizations that contract with the states to service the Medicaid programs. We have met with many contracted managed care organizations in markets we serve and believe we are building the relationships necessary to generate continued referrals of new clients.</w:t>
      </w:r>
    </w:p>
    <w:p>
      <w:pPr>
        <w:spacing w:after="0" w:line="184"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We receive substantially all of our personal care consumers through third-party referrals, including state departments on aging, rehabilitation, mental health and children’s services, county departments of social services, managed care organizations, the Veterans Health Administration and city departments on aging. Generally, family members of potential consumers are made aware of available in-home or alternative living arrangements through state or local case management systems. These systems are operated by governmental or private agencies.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We provide ongoing education and outreach in our target communities in order to inform the community about state and locally-subsidized care options and to communicate our role in providing quality personal care services. We also utilize consumer-directed sales, marketing and advertising programs designed to attract consumers.</w:t>
      </w:r>
    </w:p>
    <w:p>
      <w:pPr>
        <w:spacing w:after="0" w:line="184"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With respect to our hospice and home health patients, we receive substantially all of our referrals through other healthcare providers, such as hospitals, physicians, nursing homes and assisted living facilities. We have a team of community liaisons in our hospice and home health operations that educate and develop relationships with other healthcare providers and the community at large.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for Services</w:t>
      </w:r>
    </w:p>
    <w:p>
      <w:pPr>
        <w:spacing w:after="0" w:line="117"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We are reimbursed for substantially all of our services by federal, state and local government programs, such as Medicare and Medicaid state programs, managed care organizations, other state agencies and the Veterans Health Administration. In addition, we are reimbursed by commercial insurance and private pay consumers. Depending on the type of service, coverage for services may be predicated on a case manager, physician or nurse determination that the care is necessary or on the development of a plan for care in the home.</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Medicare</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Medicare is a federal program that provides medical services to persons aged 65 or older and other qualified persons with disabilities or end-stage renal disease. Each of our hospice and home care agencies must comply with the extensive conditions of participation in the Medicare program in order to continue receiving Medicare reimbursement.</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Medicare beneficiaries who have a terminal illness and a life expectancy of six months or less may elect to receive hospice benefits (i.e., palliative services for management of a terminal illness) in lieu of standard Medicare coverage for treatment. Hospice services are paid under the Medicare Hospice Prospective Payment System (“HPPS”), under which CMS sets a daily rate for each day a patient is enrolled in the hospice benefit. CMS requires hospice providers to submit quality reporting data each year and updates hospice payment rates annually using a market basket index. Hospices that do not satisfy quality reporting requirements are subject to a 2 percentage point reduction to the market basket percentage update. Beginning in federal fiscal year 2024, the reduction to the market basket update for failure to satisfy quality reporting requirements will increase to 4 percentage points. Additionally, hospice providers are subject to two specific payment limit caps under the Medicare program each federal fiscal year: the inpatient cap and the aggregate cap, as discussed further in Note 1 to the Notes to Consolidated Financial Statements.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CMS reimburses home health agencies under a prospective payment system, paying a national, standardized 30-day period payment rate if a period of care meets a threshold of home health visits. The daily home health payment rate is adjusted for case-mix and area wage levels. CMS uses the Patient-Driven Groupings Model (“PDGM”) as the case-mix classification model to place periods of care into payment categories, classifying patients based on clinical characteristics. An outlier adjustment may be paid for periods of care in which costs exceed a specific threshold amount. CMS updates home health payment rates annually using a market basket index. Home health agencies that do not submit required quality data are subject to a 2 percentage point reduction to the market basket update. In addition, CMS began implementing a nationwide expansion of the Home Health Value-Based Purchasing (“HHVBP”) Model in January 2022. Under the HHVBP Model, home health agencies will receive increases or reductions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spacing w:after="0" w:line="18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Medicare requires home health agencies to submit a one-time Notice of Admission (“NOA”) for each patient that establishes that the beneficiary is under a Medicare home health period of care. Failure to submit the NOA within five calendar days from the start of care date will result in a reduction to the 30-day period payment amount for each day from the start of care date until the date the NOA is submitted.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Medicaid Programs</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Medicaid is a state-administered program that provides certain social and medical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intermittent home health services for Medicaid beneficiaries, but cover continuous services for children and young adults with complicated medical conditions and home and community-based services for seniors and people with disabilities.</w:t>
      </w:r>
    </w:p>
    <w:p>
      <w:pPr>
        <w:spacing w:after="0" w:line="16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Payment models vary by state. Currently, home health services are often reimbursed by state Medicaid programs on a fee-for-service basis. For hospice services, the state pays an amount for each day that a beneficiary is under the care of a hospice provider based on the type and intensity of services furnished. Many states are moving the administration of their Medicaid hospice and home healthcare programs to managed care organizations in order to effectively manage costs.</w:t>
      </w:r>
    </w:p>
    <w:p>
      <w:pPr>
        <w:spacing w:after="0" w:line="18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Currently, personal care services and other HCBS are largely reimbursed on a fee-for-service basis. Some states have received permission from CMS to provide HCBS under waivers of traditional Medicaid requirements. In an effort to control escalating Medicaid costs, states are increasingly requiring Medicaid beneficiaries to enroll in managed care plans for better coordination of HCBS and healthcare services. For example, over three-quarters of Medicaid beneficiaries in Illinois are a part of the Health Choice Illinois statewide managed care program, which is serviced by various managed care organizations. Reimbursement from the managed care organizations for personal care services is generally on an hourly, fee-for-service basis with rates consistent with or as a percentage of the individual state funded rates, where applicable.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Illinois Department on Aging</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 significant amount of our net service revenues from our personal care segment are derived from once specific payor client, the Illinois Department on Aging, which accounted for 20.7% and 21.4% of our net service revenues for 2022 and 2021, respectively. The Illinois Department on Aging coordinates programs and community-based services intended to improve quality of life and preserve the independence of older individuals. The Illinois Department on Aging is funded by Medicaid, Illinois’s Commitment to Human Services Fund, and general revenue funds of the state of Illinois, and also receives funding available under the federal Older Americans Act (“OAA”). The Department on Aging’s Community Care Program (“CCP”) provides adult day services, emergency home response and in-home services, which consist of personal care services, to individuals who are age 60 and over and meet other eligibility requirements. Some of these services are provided through Medicaid waivers granted by CMS.</w:t>
      </w:r>
    </w:p>
    <w:p>
      <w:pPr>
        <w:spacing w:after="0" w:line="177"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Consumers are identified by “care coordinators” contracted independently with the Illinois Department on Aging. Once a consumer has been evaluated and determined to be eligible for a program, an assigned care coordinator refers the consumer to a list of authorized providers, from which the consumer selects the provider. We provide our services in accordance with a care plan developed by the care coordinator and under administrative directives from the Illinois Department on Aging. We are reimbursed on an hourly fee-for-service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Veterans Health Administration</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Veterans Health Administration operates the nation’s largest integrated healthcare system, with more than 1,200 healthcare facilities, and provides healthcare benefits, including personal care, hospice and home health services, to eligible military veterans. The Veterans Health Administration provides funding to regional and local offices and facilities that support the in-home care needs of eligible aged and disabled veterans. Services are funded by local Veterans Medical Centers and the aid and attendance pension, which reimburses veterans for their otherwise unreimbursed health and long-term care expenses. We currently have relationships and agreements with the Veterans Health Administration to provide personal care services in several states, principally in New Mexico, Illinois and California.</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Other sources of funding are available to support personal care, hospice and home health services in different states and localities. For example,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Insurance</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Most long-term care insurance policies contain benefits for in-home services. Policies are generally subject to dollar limitations on the amount of daily, weekly or monthly coverage provided.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Pay</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Our private pay services are provided on an hourly or type of services basis. Our rates are established to achieve a pre-determined gross margin, and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Programs and Costs</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maintain workers’ compensation, general and professional liability, cyber, automobile, directors’ and officers’ liability, fiduciary liability and excess liability insurance. We offer various health insurance plans to eligible full-time and part-time employees. We believe our insurance coverage and self-insurance reserves are adequate for our current operations. However, we cannot be certain that any potential losses or asserted claims will not exceed such insurance coverage and self-insurance reserves.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breakdown of our part- and full-time employees, including the employees in our corporate support center,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4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Full-time</w:t>
            </w:r>
          </w:p>
        </w:tc>
        <w:tc>
          <w:tcPr>
            <w:tcW w:w="5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Part-time</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Caregivers and agency staff</w:t>
            </w:r>
          </w:p>
        </w:tc>
        <w:tc>
          <w:tcPr>
            <w:tcW w:w="14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26,892</w:t>
            </w:r>
          </w:p>
        </w:tc>
        <w:tc>
          <w:tcPr>
            <w:tcW w:w="32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32,727</w:t>
            </w:r>
          </w:p>
        </w:tc>
        <w:tc>
          <w:tcPr>
            <w:tcW w:w="100" w:type="dxa"/>
            <w:vAlign w:val="bottom"/>
            <w:shd w:val="clear" w:color="auto" w:fill="CFF0FC"/>
          </w:tcPr>
          <w:p>
            <w:pPr>
              <w:spacing w:after="0"/>
              <w:rPr>
                <w:sz w:val="20"/>
                <w:szCs w:val="20"/>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Corporate support centers</w:t>
            </w:r>
          </w:p>
        </w:tc>
        <w:tc>
          <w:tcPr>
            <w:tcW w:w="540" w:type="dxa"/>
            <w:vAlign w:val="bottom"/>
          </w:tcPr>
          <w:p>
            <w:pPr>
              <w:jc w:val="right"/>
              <w:spacing w:after="0"/>
              <w:rPr>
                <w:sz w:val="20"/>
                <w:szCs w:val="20"/>
                <w:color w:val="auto"/>
              </w:rPr>
            </w:pPr>
            <w:r>
              <w:rPr>
                <w:rFonts w:ascii="Arial" w:cs="Arial" w:eastAsia="Arial" w:hAnsi="Arial"/>
                <w:sz w:val="18"/>
                <w:szCs w:val="18"/>
                <w:color w:val="auto"/>
              </w:rPr>
              <w:t>449</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r>
      <w:tr>
        <w:trPr>
          <w:trHeight w:val="243"/>
        </w:trPr>
        <w:tc>
          <w:tcPr>
            <w:tcW w:w="4660" w:type="dxa"/>
            <w:vAlign w:val="bottom"/>
            <w:shd w:val="clear" w:color="auto" w:fill="CFF0FC"/>
          </w:tcPr>
          <w:p>
            <w:pPr>
              <w:spacing w:after="0"/>
              <w:rPr>
                <w:sz w:val="21"/>
                <w:szCs w:val="21"/>
                <w:color w:val="auto"/>
              </w:rPr>
            </w:pPr>
          </w:p>
        </w:tc>
        <w:tc>
          <w:tcPr>
            <w:tcW w:w="140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6,284</w:t>
            </w:r>
          </w:p>
        </w:tc>
        <w:tc>
          <w:tcPr>
            <w:tcW w:w="360" w:type="dxa"/>
            <w:vAlign w:val="bottom"/>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26,898</w:t>
            </w:r>
          </w:p>
        </w:tc>
        <w:tc>
          <w:tcPr>
            <w:tcW w:w="320" w:type="dxa"/>
            <w:vAlign w:val="bottom"/>
            <w:shd w:val="clear" w:color="auto" w:fill="CFF0FC"/>
          </w:tcPr>
          <w:p>
            <w:pPr>
              <w:spacing w:after="0"/>
              <w:rPr>
                <w:sz w:val="21"/>
                <w:szCs w:val="21"/>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33,182</w:t>
            </w:r>
          </w:p>
        </w:tc>
        <w:tc>
          <w:tcPr>
            <w:tcW w:w="100" w:type="dxa"/>
            <w:vAlign w:val="bottom"/>
            <w:shd w:val="clear" w:color="auto" w:fill="CFF0FC"/>
          </w:tcPr>
          <w:p>
            <w:pPr>
              <w:spacing w:after="0"/>
              <w:rPr>
                <w:sz w:val="21"/>
                <w:szCs w:val="21"/>
                <w:color w:val="auto"/>
              </w:rPr>
            </w:pPr>
          </w:p>
        </w:tc>
      </w:tr>
    </w:tbl>
    <w:p>
      <w:pPr>
        <w:spacing w:after="0" w:line="33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caregivers, excluding agency staff, provide substantially all of our services and comprise approximately 94.4% of our total workforce. They undergo a criminal background check and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Approximately 51.4% of our total employees are represented by labor unions. We maintain strong working relationships with these labor unions. We have numerous collective bargaining agreements with local affiliates of the Service Employees International Union (“SEIU”), which are renegotiated from time to time.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value our employees and believe they are the reason for our success. We strive to provide the following, among other things.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Employee Health and Safety</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Addus continues to prioritize the health and safety of our employees. We recognize the importance of employee health and well-being, which can be assessed by measures such as employee satisfaction, work-related injuries and access to healthcare services. Our benefits strategy is to provide an attractive package for our eligible employees with quality care choices that fit their needs. Along with health insurance, we provide a number of benefits to encourage and support the health and safety of our employees, such as dental and vision insurance, disability and life insurance, a 401(k) plan and an employee assistance program.</w:t>
      </w:r>
    </w:p>
    <w:p>
      <w:pPr>
        <w:spacing w:after="0" w:line="80" w:lineRule="exact"/>
        <w:rPr>
          <w:sz w:val="20"/>
          <w:szCs w:val="20"/>
          <w:color w:val="auto"/>
        </w:rPr>
      </w:pPr>
    </w:p>
    <w:p>
      <w:pPr>
        <w:ind w:right="260" w:firstLine="554"/>
        <w:spacing w:after="0" w:line="296" w:lineRule="auto"/>
        <w:rPr>
          <w:sz w:val="20"/>
          <w:szCs w:val="20"/>
          <w:color w:val="auto"/>
        </w:rPr>
      </w:pPr>
      <w:r>
        <w:rPr>
          <w:rFonts w:ascii="Arial" w:cs="Arial" w:eastAsia="Arial" w:hAnsi="Arial"/>
          <w:sz w:val="16"/>
          <w:szCs w:val="16"/>
          <w:color w:val="auto"/>
        </w:rPr>
        <w:t>The COVID-19 pandemic has reinforced for us the importance of keeping our employees and the personnel provided by independent contractors safe and healthy. In response to the pandemic, the Company has taken actions aligned with the Centers for Disease Control and Prevention to protect its workforce so that they can more safely and effectively perform their work. We have recognized the challenges presented by the pandemic and have adjusted our operations to comply with health and safety standards, regulations and guidance provided by the Occupational Safety and Health Administration (“OSHA”), the United States Department of Labor and other regulatory bodies that focus on the safety of employees.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Recruiting and Development</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Employee recruiting and retention remains a top priority each year for Addus, as we are committed to hiring and retaining excellent employees. As the labor market continues to be tight and unemployment has remained at low levels, the competition for new caregivers continues to be significant, which will continue to impact our ability to attract and retain new caregivers.</w:t>
      </w:r>
    </w:p>
    <w:p>
      <w:pPr>
        <w:spacing w:after="0" w:line="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believe that a strong workplace culture focused on employee engagement enables ongoing learning and promotes the development of individual career growth, necessary to successfully retain and develop diverse talent. Addus recognizes the importance of employee engagement and we have implemented programs focused on new hire experiences and integration, ongoing learning opportunities though the Addus Learning Academy and Addus Institute of Skilled Care Education (“AISCE”), and mentoring through leadership training. The Addus Learning Academy allows employees to access training and resources necessary to build the skills specifically related to their respective positions at Addus. AISCE provides continuing education courses to support licensing and re-certification for our clinical employees.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Communication and Recognition</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committed to fostering employee satisfaction and wellness through employee recognition programs, communications and services. We have developed two primary communication tools to distribute information to our branches and administrative employees, the SC Connect and Addus Ink newsletters. Addus Ink is a quarterly newsletter that features local branch content from around the country that is focused on fulfilling our Addus Mission and Values. SC Connect is a biweekly newsletter that features important Company updates, information and resources. We have also implemented the Addus Elite Program, which has three levels of recognition; peer to peer, quarterly recognition and Addus Elite Hall of Fame, designed to celebrate the amazing work our employees do on a daily basis. We believe it is important to acknowledge our colleagues, managers, and direct reports who are living our Addus mission and values every day.</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Community Outreach</w:t>
      </w:r>
    </w:p>
    <w:p>
      <w:pPr>
        <w:spacing w:after="0" w:line="117" w:lineRule="exact"/>
        <w:rPr>
          <w:sz w:val="20"/>
          <w:szCs w:val="20"/>
          <w:color w:val="auto"/>
        </w:rPr>
      </w:pPr>
    </w:p>
    <w:p>
      <w:pPr>
        <w:ind w:right="80" w:firstLine="562"/>
        <w:spacing w:after="0" w:line="291" w:lineRule="auto"/>
        <w:rPr>
          <w:sz w:val="20"/>
          <w:szCs w:val="20"/>
          <w:color w:val="auto"/>
        </w:rPr>
      </w:pPr>
      <w:r>
        <w:rPr>
          <w:rFonts w:ascii="Arial" w:cs="Arial" w:eastAsia="Arial" w:hAnsi="Arial"/>
          <w:sz w:val="16"/>
          <w:szCs w:val="16"/>
          <w:color w:val="auto"/>
        </w:rPr>
        <w:t>We are committed to efforts to make a difference in our communities. Our local investments include providing monetary and personnel contributions to faith based organizations, public housing authorities, public school systems and other non-profit community organizations. For example, we partner with organizations such as The Hope Foundation, which provides resources to families in need of additional help outside of the hospice benefit; the National Minority Health Association, which seeks to mobilize homecare workers to increase vaccination confidence and rates in underserved communities through its Flex for Checks community-based program; and National Association of Area Agencies on Aging, a network of agencies responsible for local planning of home and community based services delivered to older Americans. Additionally, our employees are involved in various local events such as taking part in town parades, holding food drives and providing health and personal protective equipment (“PPE”) to first responders.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currently utilize multiple applications to support our various lines of business and locations for patient accounting. Each application supports its respective line of business and locations with administrative, office, clinical and operating information system needs, including compliance of our operating systems with federal and state privacy, security and interoperability requirements. Each assists our staff in gathering information to improve the quality of consumer care, optimize financial performance, promote regulatory compliance and enhance staff efficiency. Each application is hosted by the vendor in a secure data center, which provides multiple redundancies for storage, power, bandwidth and security.</w:t>
      </w:r>
    </w:p>
    <w:p>
      <w:pPr>
        <w:spacing w:after="0" w:line="176"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In order to comply with current and future state and federal laws and regulations around EVV use, we utilize several different vendors and have built interfaces between the EVV vendor and the patient accounting system utilized in the respective branch location. Our caregivers use a mix of Interactive Voice Response (“IVR”) and mobile applications for EVV. In addition, we use these technologies to record basic information about each visit, record start and end times for a scheduled shift, track mileage reimbursement, send text messages to the caregivers and communicate basic payroll information.</w:t>
      </w:r>
    </w:p>
    <w:p>
      <w:pPr>
        <w:spacing w:after="0" w:line="188"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license the Qlik Business Intelligence (“Qlik”) platform to provide historical, current, and forward-looking operational performance analysis. We currently have our personal care and hospice segments integrated into Qlik. Qlik provides high-level historical and current analytical views to measure performance against budget and deliver insight into the various factors driving our execution against our financial, operational, and compliance goals. This analysis is available in summary and detailed views to accommodate user needs at all levels, from senior management to operators in the field.</w:t>
      </w:r>
    </w:p>
    <w:p>
      <w:pPr>
        <w:spacing w:after="0" w:line="15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We utilize the ADP Vantage Suite as our base human resources and payroll processing system and use their services and products to manage our leave of absence processes, benefits, 401(k) and flexible spending account administration, garnishment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services, payroll tax filings, ACA compliance and filings, and time and attendance. For financial management, we utilize Oracle’s Planning Budgeting Cloud Service as our solution for budgeting, forecasting, and financial reporting and Oracle Fusion for the general ledger, accounts payable and fixed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Our business is subject to extensive federal, state and local regulation. Changes in the laws and regulations, or new interpretations of existing laws and regulations, may have a material impact on the definition of permissible activities, the relative cost of doing business, and the methods and amounts of payment for care by both governmental and other payors. In addition, differences among state laws may impede our ability to expand into certain markets. If we fail to comply with applicable laws and regulations, we could suffer administrative civil or criminal penalties, including substantial fines, the loss of our licenses to operate and our ability to participate in federal or state programs. In addition, the healthcare industry has experienced, and is expected to continue to experience, extensive and dynamic change. It is difficult to predict the effect of these changes on budgetary allocations for our services. See further discussion at “</w:t>
      </w:r>
      <w:r>
        <w:rPr>
          <w:rFonts w:ascii="Arial" w:cs="Arial" w:eastAsia="Arial" w:hAnsi="Arial"/>
          <w:sz w:val="16"/>
          <w:szCs w:val="16"/>
          <w:i w:val="1"/>
          <w:iCs w:val="1"/>
          <w:color w:val="auto"/>
        </w:rPr>
        <w:t>Management’s Discussion and Analysis of Financial Condition and Results of Operations—“Liquidity and Capital Resources</w:t>
      </w:r>
      <w:r>
        <w:rPr>
          <w:rFonts w:ascii="Arial" w:cs="Arial" w:eastAsia="Arial" w:hAnsi="Arial"/>
          <w:sz w:val="16"/>
          <w:szCs w:val="16"/>
          <w:color w:val="auto"/>
        </w:rPr>
        <w:t>.”</w:t>
      </w:r>
    </w:p>
    <w:p>
      <w:pPr>
        <w:spacing w:after="0" w:line="27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Medicare and Medicaid Participation</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To participate in and qualify for reimbursement under Medicare, our home health agencies and hospices must comply with extensive conditions of participation. Likewise, to participate in Medicaid programs, our personal care services, home health agencies and hospices are subject to various requirements imposed by federal and state authorities. If we were to violate the applicable federal and state regulations governing Medicare or Medicaid participation, we could be excluded from participation in federal and state healthcare programs and be subject to substantial administrative, civil and criminal penalties.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Healthcare Reform</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healthcare industry is subject to changing political, regulatory, and economic influences at the federal and state level that may affect our business. In recent years, the healthcare industry has undergone significant changes, many of which have been aimed at reducing costs and government spending and increasing access to health insurance. The most prominent of these efforts, the Patient Protection and Affordable Care Act, as amended by the HealthCare and Education Reconciliation Act of 2010 (collectively, the “ACA”), affects how healthcare services are covered, delivered and reimbursed. The ACA increased health insurance coverage through a combination of public program expansion and private sector health insurance reforms. The law has been, and continues to be, subject to legislative and regulatory changes and court challenges. Although the current presidential administration has indicated its intent to protect the ACA, it is possible that there may be continued changes to the ACA, its implementation or interpretation.</w:t>
      </w:r>
    </w:p>
    <w:p>
      <w:pPr>
        <w:spacing w:after="0" w:line="166"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States continue to explore payment and delivery reform initiatives, including quality of care incentives. Some states use or have applied to use Medicaid waivers granted by CMS to implement the ACA’s Medicaid expansion provisions, impose different eligibility or enrollment restrictions, or otherwise implement programs that vary from federal standards. Some of these program changes may reduce the number of Medicaid enrollees in certain states. For example, Georgia intends to impose work and community engagement requirements under a Medicaid demonstration program that is expected to launch in mid-2023, while the current presidential administration and several courts have rejected similar initiatives in other states, making it difficult to predict the nature and success of potential changes. In addition, enrollment in managed Medicaid plans has increased in recent years, as state governments seek to control the cost of Medicaid programs. Managed Medicaid programs enable states to contract with one or more entities for patient enrollment, care management and claims adjudication. The states usually do not relinquish program responsibilities for financing, eligibility criteria and core benefit plan design.</w:t>
      </w:r>
    </w:p>
    <w:p>
      <w:pPr>
        <w:spacing w:after="0" w:line="196"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The CMS Innovation Center tests innovative payment and service delivery systems to reduce Medicare and Medicaid program expenditures while maintaining or enhancing quality. For example, the CMS Innovation Center has supported testing of new models of care for “dual eligibles,” funding of home health providers that offer chronic care management services, and establishment of pilot programs that bundle acute care hospital services with physician services and post-acute care services, which may include home health services for certain patients. In addition, the Improving Medicare Post-Acute Care Transformation Act of 2014 (the “IMPACT Act”) requires HHS, in conjunction with the Medicare Payment Advisory Commission, to work toward a unified post-acute care payment model for post-acute care services. Currently, home health agencies, skilled nursing facilities, inpatient rehabilitation facilities, and long-term care hospitals are reimbursed under four distinct Medicare payment systems. In contrast, a unified post-acute care payment model would pay these post-acute care providers under a single framework according to a patient’s characteristics, rather than the post-acute care setting where the patient receives treatment. As required by the IMPACT Act, CMS and the HHS Office of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Assistant Secretary for Planning and Evaluation issued a report in July 2022, presenting an initial prototype. CMS noted in its report the need for additional analyses and acknowledged that the universal implementation of a unified post-acute care Medicare payment system would require congressional action. The Medicare Payment Advisory Commission is required to submit a proposal by June 2023. It is difficult to predict the nature and success of these and other future financial or delivery system reforms implemented by Congress, HHS, the CMS Innovation Center and other industry participants, but any such changes could have a material impact on our business.</w:t>
      </w:r>
    </w:p>
    <w:p>
      <w:pPr>
        <w:spacing w:after="0" w:line="18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Other recent reform initiatives and proposals at the federal and state levels include those focused on price transparency, which may impact prices and the relationships between providers, patients, and payors. For example, among other consumer protections, the No Surprises Act imposes various requirements on providers and health plans intended to prevent “surprise” medical bills. It requires providers to send an insured patient’s health plan a good faith estimate of expected charges, including billing and diagnostic codes, prior to when the patient is scheduled to receive the item or service. HHS is deferring enforcement of the good faith estimate requirement for insured patients until it issues additional regulations. The No Surprises Act also generally requires providers to provide a good faith estimate of expected charges to uninsured or self-pay individuals in advance of the scheduled services or upon request. HHS is delaying enforcement with regard to good faith estimates that do not include expected charges for co-providers or co-facilities until the agency issues additional regulations. A number of states have adopted their own healthcare price transparency requirements. In addition, trends toward transparency and value-based pricing may impact our competitive position and patient volumes. For example, the CMS Care Compare website makes publicly available certain data on home health agency and hospice performance on quality measures and patient satisfaction. Further, Medicare reimbursement is tied to reporting of quality measures.</w:t>
      </w:r>
    </w:p>
    <w:p>
      <w:pPr>
        <w:spacing w:after="0" w:line="18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There is uncertainty regarding the potential impact of health reform efforts at the federal and state levels. For example, some members of Congress have proposed measures that would expand government-sponsored coverage, including single-payor models. Some states have implemented or are considering measures such as individual health insurance mandates and public health insurance options. Other industry participants, such as private payers and large employer groups and their affiliates, may also introduce financial or delivery system reforms. Health reform initiatives and proposals from the government or the private sector may impact prices, our relationships with patients, payers or ancillary providers, and our competitive position, among other effects.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Permits, Licensure and Certificate of Need</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Our hospice, home health and personal care services are authorized and/or licensed under various state and county requirements, which cover a variety of topics including standards regarding the provision of medical or care services, clinical records, personnel, infection control and care plans. Additionally, healthcare professionals at our agencies are required to be individually licensed or certified under state law. Although our personal care service caregivers are generally not subject to licensure requirements, certain states require them to complete pre- and post-employment training programs, background checks, and, in certain instances, maintain state certification. We believe we are currently licensed appropriately as required by the laws of the states in which we operate in all material respects, but additional licensing requirements may be imposed upon us in existing markets or markets that we enter in the future.</w:t>
      </w:r>
    </w:p>
    <w:p>
      <w:pPr>
        <w:spacing w:after="0" w:line="195" w:lineRule="exact"/>
        <w:rPr>
          <w:sz w:val="20"/>
          <w:szCs w:val="20"/>
          <w:color w:val="auto"/>
        </w:rPr>
      </w:pPr>
    </w:p>
    <w:p>
      <w:pPr>
        <w:jc w:val="both"/>
        <w:ind w:right="340" w:firstLine="509"/>
        <w:spacing w:after="0" w:line="311" w:lineRule="auto"/>
        <w:rPr>
          <w:sz w:val="20"/>
          <w:szCs w:val="20"/>
          <w:color w:val="auto"/>
        </w:rPr>
      </w:pPr>
      <w:r>
        <w:rPr>
          <w:rFonts w:ascii="Arial" w:cs="Arial" w:eastAsia="Arial" w:hAnsi="Arial"/>
          <w:sz w:val="16"/>
          <w:szCs w:val="16"/>
          <w:color w:val="auto"/>
        </w:rPr>
        <w:t>Some states also require a provider to obtain a certificate of need or permit of approval (“CON”) before establishing, constructing, acquiring or expanding certain health services, operations or facilities or making certain capital expenditures. These requirements are intended to avoid unnecessary duplication of services. In order to obtain a CON, a state health planning agency must determine that a need exists for the project.</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Fraud and Abuse Laws</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laws and regulations governing our operations, including the terms of participation in Medicare, Medicaid and other government programs, impose certain requirements and limitations on our operations, business arrangements and our interactions with providers and consumers. These laws include, but are not limited to, the federal Anti-Kickback Statute, the federal Stark law, the federal False Claims Act (“FCA”), the federal Civil Monetary Penalties Law, other federal and state fraud and abuse, insurance fraud, and fee-splitting laws, which may extend to services reimbursable by any payer, including private insurers.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fraud and abuse laws and regulations to which we are subject include but are not limited to:</w:t>
      </w:r>
    </w:p>
    <w:p>
      <w:pPr>
        <w:spacing w:after="0" w:line="117" w:lineRule="exact"/>
        <w:rPr>
          <w:sz w:val="20"/>
          <w:szCs w:val="20"/>
          <w:color w:val="auto"/>
        </w:rPr>
      </w:pPr>
    </w:p>
    <w:p>
      <w:pPr>
        <w:ind w:left="760" w:right="18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providers and others from directly or indirectly soliciting, receiving, offering or paying any remuneration with the intent of generating referrals or orders for services or items covered by a federal healthcare program. Courts have interpreted this statute broadly and held that there is a violation of the Anti-Kickback Statute if just one purpose of the remuneration is to generate referrals.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760" w:right="100" w:hanging="378"/>
        <w:spacing w:after="0" w:line="273"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federal physician self-referral law, commonly known as the Stark Law, which prohibits physicians from referring Medicare and Medicaid patients to healthcare entities in which they or any of their immediate family members have ownership interests or other financial arrangements, if these entities provide certain “designated health services” (including home health services) reimbursable by Medicare or Medicaid, unless an exception applies. The Stark Law also prohibits entities that provide designated health services reimbursable by Medicare and Medicaid from billing the Medicare and Medicaid programs for any items or services that result from a prohibited referral and requires the entities to refund amounts received for items or services provided pursuant to the prohibited referral on a timely basis.</w:t>
      </w:r>
    </w:p>
    <w:p>
      <w:pPr>
        <w:spacing w:after="0" w:line="69" w:lineRule="exact"/>
        <w:rPr>
          <w:rFonts w:ascii="Arial" w:cs="Arial" w:eastAsia="Arial" w:hAnsi="Arial"/>
          <w:sz w:val="17"/>
          <w:szCs w:val="17"/>
          <w:color w:val="auto"/>
        </w:rPr>
      </w:pPr>
    </w:p>
    <w:p>
      <w:pPr>
        <w:ind w:left="760" w:right="120" w:hanging="378"/>
        <w:spacing w:after="0" w:line="291"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federal FCA and similar state laws that govern the submission of claims for reimbursement and prohibit the making of false claims or statements. The government may use the FCA to prosecute Medicare and other government program fraud in areas such as coding errors and billing for services not provided. Among the many other potential bases for liability is the knowing and improper failure to report and refund amounts owed to the government within 60 days of identifying an overpayment. Submission of claims for services or items generated in violation of the Anti-kickback Statute constitutes a false or fraudulent claim under the FCA. The federal government has taken the position, and some courts have held, that providers who allegedly have violated other statutes, such as the Stark Law, have thereby submitted false claims under the FCA. The FCA may be enforced directly by the federal government or by a whistleblower on the government’s behalf.</w:t>
      </w:r>
    </w:p>
    <w:p>
      <w:pPr>
        <w:spacing w:after="0" w:line="58" w:lineRule="exact"/>
        <w:rPr>
          <w:rFonts w:ascii="Arial" w:cs="Arial" w:eastAsia="Arial" w:hAnsi="Arial"/>
          <w:sz w:val="16"/>
          <w:szCs w:val="16"/>
          <w:color w:val="auto"/>
        </w:rPr>
      </w:pPr>
    </w:p>
    <w:p>
      <w:pPr>
        <w:ind w:left="760" w:right="40" w:hanging="378"/>
        <w:spacing w:after="0" w:line="259"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conduct, offering remuneration to influence a Medicare or Medicaid beneficiary’s selection of a healthcare provider, contracting with an individual or entity known to be excluded from a federal healthcare program, billing for services not rendered or for medically unnecessary services, misrepresenting actual services rendered in order to obtain higher reimbursement, and the failure to return overpayments in a timely manner.</w:t>
      </w:r>
    </w:p>
    <w:p>
      <w:pPr>
        <w:spacing w:after="0" w:line="78" w:lineRule="exact"/>
        <w:rPr>
          <w:rFonts w:ascii="Arial" w:cs="Arial" w:eastAsia="Arial" w:hAnsi="Arial"/>
          <w:sz w:val="18"/>
          <w:szCs w:val="18"/>
          <w:color w:val="auto"/>
        </w:rPr>
      </w:pPr>
    </w:p>
    <w:p>
      <w:pPr>
        <w:ind w:left="760" w:right="240" w:hanging="378"/>
        <w:spacing w:after="0" w:line="279"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State anti-kickback and self-referral provisions, false claims laws, insurance fraud laws, and fee-splitting laws. The scope and interpretation of these state laws vary, and in some cases apply to items or services reimbursed by any payer, including patients and commercial insurers. For instance, the Illinois Insurance Claims Fraud Prevention Act penalizes the knowing offer or payment of remuneration to induce a person to procure client or patients under a contract of insurance, including commercial insurance plans.</w:t>
      </w:r>
    </w:p>
    <w:p>
      <w:pPr>
        <w:spacing w:after="0" w:line="171"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color w:val="auto"/>
        </w:rPr>
        <w:t>Penalties for violation of various fraud and abuse laws or other failure to substantially comply with the numerous conditions of participation in the Medicare or Medicaid programs may result in criminal penalties, civil sanctions, including substantial civil monetary penalties, and exclusion from participation in federal healthcare programs, including Medicare and Medicaid.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Payment Integrity</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are subject to routine and periodic surveys and audits by various governmental agencies and other payors. From time to time, we receive and respond to survey reports containing statements of deficiencies. Periodic and random audits conducted or directed by these agencies could result in a delay in receipt or an adjustment to the amount of reimbursements due or received under federal or state programs and could result in referrals to other agencies to investigate and/or prosecute potential fraud or abuse.</w:t>
      </w:r>
    </w:p>
    <w:p>
      <w:pPr>
        <w:spacing w:after="0" w:line="18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CMS and state Medicaid agencies contract with third parties to promote the integrity of the Medicaid and Medicare programs through reviews of quality concerns and detections and corrections of improper payments. For example, CMS and state Medicaid agencies contract with recovery audit contractors (“RACs”) on a contingency fee basis to conduct post-payment reviews to detect and correct improper payments in the Medicare and Medicaid programs. RACs review claims submitted to Medicare for billing compliance, including correct coding and medical necessity. The RAC program’s scope also includes Medicaid claims. States may coordinate with Medicaid RACs regarding recoupment of overpayments and refer suspected fraud and abuse to appropriate law enforcement agencies. In addition, CMS engages unified program integrity contractors (“UPICS”) to perform proactive analysis, audits, investigations and other program integrity functions across the Medicare and Medicaid programs, with the goal of identifying and deterring fraud and abuse to avoid improper payments. Working across five geographic jurisdictions, UPICs collaborate with states and coordinate provider investigations across the Medicare and Medicaid programs.</w:t>
      </w:r>
    </w:p>
    <w:p>
      <w:pPr>
        <w:spacing w:after="0" w:line="181"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From time to time, various federal and state agencies, such as HHS, issue pronouncements that identify practices and provider types that may be subject to heightened scrutiny, as well as practices that may violate fraud and abuse laws. We believe, but cannot assure you, that our operations comply with the principles expressed by HHS in these reports, advisories and guidance.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HIPAA and Other Privacy and Security and Data Exchange Requirements</w:t>
      </w:r>
    </w:p>
    <w:p>
      <w:pPr>
        <w:spacing w:after="0" w:line="117" w:lineRule="exact"/>
        <w:rPr>
          <w:sz w:val="20"/>
          <w:szCs w:val="20"/>
          <w:color w:val="auto"/>
        </w:rPr>
      </w:pPr>
    </w:p>
    <w:p>
      <w:pPr>
        <w:ind w:firstLine="469"/>
        <w:spacing w:after="0" w:line="268" w:lineRule="auto"/>
        <w:rPr>
          <w:sz w:val="20"/>
          <w:szCs w:val="20"/>
          <w:color w:val="auto"/>
        </w:rPr>
      </w:pPr>
      <w:r>
        <w:rPr>
          <w:rFonts w:ascii="Arial" w:cs="Arial" w:eastAsia="Arial" w:hAnsi="Arial"/>
          <w:sz w:val="17"/>
          <w:szCs w:val="17"/>
          <w:color w:val="auto"/>
        </w:rPr>
        <w:t>The Health Insurance Portability and Accountability Act of 1996, as amended (“HIPAA”) and its implementing regulations require the use of uniform electronic data transmission standards and code sets for certain healthcare claims and reimbursement payment transactions submitted or received electronically. HIPAA extensively regulates the use, disclosure, confidentiality, availability and integrity of individually identifiable health information, known as “protected health information,” and provides for a number of individual rights with respect to such information. As a “covered entity” subject to HIPAA, we are required to maintain privacy and security policies, train workforce members, maintain physical, administrative, and technical safeguards, enter into confidentiality agreements with vendors that handle protected health information (“business associates”), and permit individuals to access and amend their protected health information. In addition, we must report any breaches of unsecured protected health information. HIPAA violations may result in criminal penalties and significant civil penalties. Other federal and state laws and regulations that apply to the collection, use, retention, protection, security, disclosure, transfer and other processing of personal data, such as the California Consumer Protection Act, which was recently significantly modified by the California Privacy Rights Act, may impose additional or inconsistent obligations and/or result in additional penalties. Virginia and certain other states have also passed comprehensive privacy legislation, and several privacy bills have been proposed both at the federal and state level that may result in additional legal requirements that impact our business. The potential effects of these laws are far-reaching and may require us to modify our data processing practices and policies and to incur substantial costs and expenses in order to comply. Healthcare providers and industry participants are also subject to a growing number of requirements intended to promote the interoperability and exchange of patient health information, including prohibitions on information blocking.</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Environmental, Health and Safety Laws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are subject to federal, state and local regulations governing the storage, transport, use and disposal of hazardous materials and waste products. In the event of an accident involving such hazardous materials, we could be held liable for any damages that result, and any liability could exceed the limits or fall outside the coverage of our insurance. We may not be able to maintain insurance on acceptable terms, or at all.</w:t>
      </w:r>
    </w:p>
    <w:p>
      <w:pPr>
        <w:spacing w:after="0" w:line="165"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In addition, we could be affected by climate change to the extent that climate change results in severe weather conditions or other disruptions impacting the communities in which we conduct operations or adversely impacts general economic conditions, including in communities in which we conduct operations. Moreover, legal requirements regulating greenhouse gas emissions or otherwise associated with the transition to a lower carbon economy may increase in the future, which could increase our costs associated with compliance and otherwise disrupt and adversely affect our operations. At the current time, our compliance with environmental legal requirements, including legal requirements relating to climate change, do not have a material effect on our capital expenditures, financial results or operations, and we did not incur material capital expenditures for environmental matters during the year ended December 31, 2022. However, it is possible that future environmental-related developments may impact us, including as a result of climate change and/or new legal requirements associated with the transition to a lower carbon economy, in a manner that we are currently unable to predict.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Filings</w:t>
      </w:r>
    </w:p>
    <w:p>
      <w:pPr>
        <w:spacing w:after="0" w:line="117"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 xml:space="preserve">Through our website, </w:t>
      </w:r>
      <w:r>
        <w:rPr>
          <w:rFonts w:ascii="Arial" w:cs="Arial" w:eastAsia="Arial" w:hAnsi="Arial"/>
          <w:sz w:val="17"/>
          <w:szCs w:val="17"/>
          <w:i w:val="1"/>
          <w:iCs w:val="1"/>
          <w:color w:val="auto"/>
        </w:rPr>
        <w:t>www.addus.com,</w:t>
      </w:r>
      <w:r>
        <w:rPr>
          <w:rFonts w:ascii="Arial" w:cs="Arial" w:eastAsia="Arial" w:hAnsi="Arial"/>
          <w:sz w:val="17"/>
          <w:szCs w:val="17"/>
          <w:color w:val="auto"/>
        </w:rPr>
        <w:t xml:space="preserve"> we make available, free of charge,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we electronically file such material with, or furnish it to, the SEC. In addition to our website, the SEC maintains an internet site that contains our reports, proxy and information statements, and other information that we file electronically with the SEC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The references to our website address in this Form 10-K do not constitute incorporation by reference of the information contained on the website and should not be considered part of this document.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i w:val="1"/>
          <w:iCs w:val="1"/>
          <w:color w:val="auto"/>
        </w:rPr>
        <w:t>Any of the risks described below, and the risks described elsewhere in this Form 10-K, could have a material adverse effect on our business and consolidated financial condition, results of operations and cash flows, cause the trading price of our common stock to decline and cause the actual outcome of matters to differ materially from our current expectations as reflected in forward-looking statements made in this Form 10-K. The considerations and risks that follow are organized within relevant headings but may be relevant to other headings as well. The risk factors described below and elsewhere in this Form 10-K are not the only risks we face. Our business and consolidated financial condition, results of operations and cash flows may also be materially adversely affected by factors that are not currently known to us, by factors that we currently consider immaterial or by factors that are not specific to us, such as general economic conditions.</w:t>
      </w:r>
    </w:p>
    <w:p>
      <w:pPr>
        <w:spacing w:after="0" w:line="195" w:lineRule="exact"/>
        <w:rPr>
          <w:sz w:val="20"/>
          <w:szCs w:val="20"/>
          <w:color w:val="auto"/>
        </w:rPr>
      </w:pPr>
    </w:p>
    <w:p>
      <w:pPr>
        <w:ind w:right="680" w:firstLine="509"/>
        <w:spacing w:after="0" w:line="308" w:lineRule="auto"/>
        <w:rPr>
          <w:sz w:val="20"/>
          <w:szCs w:val="20"/>
          <w:color w:val="auto"/>
        </w:rPr>
      </w:pPr>
      <w:r>
        <w:rPr>
          <w:rFonts w:ascii="Arial" w:cs="Arial" w:eastAsia="Arial" w:hAnsi="Arial"/>
          <w:sz w:val="17"/>
          <w:szCs w:val="17"/>
          <w:i w:val="1"/>
          <w:iCs w:val="1"/>
          <w:color w:val="auto"/>
        </w:rPr>
        <w:t>You should refer to the explanation of the qualifications and limitations on forward-looking statements under “Special Caution Concerning Forward-Looking Statements.” All forward-looking statements made by us are qualified by the risk factors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 and the COVID-19 Pandemic</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impacted by negative macroeconomic conditions.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Economic conditions in the United States continue to be challenging in various respects, and the United States economy continues to experience significant inflationary pressures, elevated interest rates, challenging labor market conditions, and disruptions to supply networks. Taking into account these factors, we have incurred, and may continue to incur, increased competition for new caregivers and skilled healthcare staff, which will continue to impact our ability to attract and retain new employees. Further, the inflationary conditions have resulted in, and may continue to result in, increased operating costs, particularly as the result of increased wages we have paid and may continue to pay our caregivers and other personnel and our ability to attract and retain personnel. Our ability to realize rate increases from government programs and private payors, which represent most of our revenue, might be limited despite inflation. Higher interest rates also raise our financing costs. These factors had an unfavorable impact on our financial results during the year ended December 31, 2022, and may have an unfavorable impact on our financial results in future periods which could be material.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Moreover, we anticipate that the federal deficit, the growing magnitude of Medicare and Medicaid expenditures and the aging of the U.S. population will continue to place pressure on government healthcare programs, and it is possible that future deficit reduction legislation will mandate additional Medicare spending reductions. In addition, if economic conditions in the United States significantly deteriorate, any such developments could materially and adversely affect our results of operations, financial position, and/or our cash flows. For example, states could face significant fiscal challenges and revise their revenue forecasts and adjust their budgets, and sales tax collections and income tax receipts could be depressed. Negative macroeconomic conditions could also disrupt financial markets and capital markets and the businesses of financial institutions, potentially causing a slowdown in the decision-making of these institutions. This may affect the timing on which we may obtain any additional funding and there can be no assurance that we will be able to raise additional funds on terms acceptable to us, if at all.</w:t>
      </w:r>
    </w:p>
    <w:p>
      <w:pPr>
        <w:spacing w:after="0" w:line="70" w:lineRule="exact"/>
        <w:rPr>
          <w:sz w:val="20"/>
          <w:szCs w:val="20"/>
          <w:color w:val="auto"/>
        </w:rPr>
      </w:pPr>
    </w:p>
    <w:p>
      <w:pPr>
        <w:ind w:left="260" w:right="340"/>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could adversely impact our business and future results of operations and financial condition.</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The ongoing COVID-19 pandemic continues to have unpredictable and rapidly shifting impacts on global financial markets, economies, and business practices, which, in turn, could adversely affect our business and future results of operations and financial condition. While the COVID-19 pandemic has not had a material effect on our results of operations and financial condition, the extent of future impact will depend on future developments that cannot be accurately predicted at this time, including the severity and transmission rate of prevalent strains of COVID-19, the extent and effectiveness of containment actions taken, the timing, availability and effectiveness of medical treatments, vaccines and booster shots, and the impact of any mutations of the virus. For example, at times during the COVID-19 pandemic, our home health and hospice providers experienced difficulty in accessing facility-based patients because of concerns about the spread of COVID-19, and may do so again in the future. If there are future surges in COVID-19 cases or the existing COVID-19 pandemic otherwise significantly worsens, our employees that contract COVID-19 could be unable to continue to perform their duties, and we could face litigation if our employees or customers contract COVID-19 while our employees perform their duties. We may also take further actions that alter our business operations as may be required by local, state, or federal authorities or that we determine are in the best interests of our employees and patients. Such measures could negatively affect our sales and marketing efforts, employee retention and recruitment, or patient care, any of which could harm our financial condition and business operations. Further, if general economic conditions deteriorate as a result of future surges in COVID-19 cases or because the existing COVID-19 pandemic otherwise significantly worsens, our results of operations, financial position, and/or our cash flows could be materially and adversely affected, as described in the preceding risk factor. The COVID-19 pandemic could also heighten the risks in certain of the other risk factors described in this Annual Report on Form 10-K.</w:t>
      </w:r>
    </w:p>
    <w:p>
      <w:pPr>
        <w:spacing w:after="0" w:line="59" w:lineRule="exact"/>
        <w:rPr>
          <w:sz w:val="20"/>
          <w:szCs w:val="20"/>
          <w:color w:val="auto"/>
        </w:rPr>
      </w:pPr>
    </w:p>
    <w:p>
      <w:pPr>
        <w:ind w:left="260" w:right="180"/>
        <w:spacing w:after="0" w:line="263" w:lineRule="auto"/>
        <w:rPr>
          <w:sz w:val="20"/>
          <w:szCs w:val="20"/>
          <w:color w:val="auto"/>
        </w:rPr>
      </w:pPr>
      <w:r>
        <w:rPr>
          <w:rFonts w:ascii="Arial" w:cs="Arial" w:eastAsia="Arial" w:hAnsi="Arial"/>
          <w:sz w:val="18"/>
          <w:szCs w:val="18"/>
          <w:b w:val="1"/>
          <w:bCs w:val="1"/>
          <w:i w:val="1"/>
          <w:iCs w:val="1"/>
          <w:color w:val="auto"/>
        </w:rPr>
        <w:t>We are unable to predict the ultimate impact of the CARES Act and other stimulus or relief legislation or the effect that such legislation and other governmental responses intended to assist healthcare providers in responding to the COVID-19 pandemic may have on our business, financial condition, results of operations, or cash flows.</w:t>
      </w:r>
    </w:p>
    <w:p>
      <w:pPr>
        <w:spacing w:after="0" w:line="76"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response to the COVID-19 pandemic, federal and state governments have passed legislation, promulgated regulations and taken other administrative actions intended to assist healthcare providers in providing care to COVID-19 and other patients and to provide financial relief to healthcare providers. Together, the CARES Act, the PPPHCE Act, the CAA and the ARPA authorize over $186 billion in funding to be distributed to healthcare providers through the Provider Relief Fund. These funds are intended to reimburse eligible providers, including public entities and Medicare and/or Medicaid-enrolled providers and suppliers, for healthcare-related expenses or lost revenues attributable to COVID-19. Recipients are not required to repay these funds, provided that they attest to and comply with certain terms and conditions, including not using Provider Relief Fund payments to reimburse expenses or losses that other sources are obligated to reimburse and submitting reports as required by HHS. The Company has received amounts from the Provider Relief Fund and returned any unused funds. It has acquired and may in the future acquire companies that have received funds from the Provider Relief Fund. We believe we have structured our use of these funds in accordance with the terms and conditions. Recipients of Provider Relief Fund payments are subject to reporting and audit requirements.</w:t>
      </w:r>
    </w:p>
    <w:p>
      <w:pPr>
        <w:spacing w:after="0" w:line="7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CARES Act and related legislation also have made other forms of financial assistance available to healthcare providers, including through Medicare and Medicaid payment adjustments. Providers indirectly benefit from a temporary increase in federal funds for state Medicaid expenditures for states that maintain continuous Medicaid enrollment, among other requirements. However, the continuous coverage requirement expires April 1, 2023, and the increase in funding will be phased out through calendar year 2023. Expiration of this requirement likely will lead to Medicaid coverage disruptions and dis-enrollments of current Medicaid enrollees. As another way to offer financial relief to providers, Congress temporarily suspended the Medicare sequestration payment adjustment through March 31, 2022, and reduced the sequestration adjustment from 2% to 1% from April 1 through June 30, 2022, which relates to our home health and hospice business lines. The full 2% reduction resumed on July 1, 2022. These reductions have been extended through the first six months of 2032. The ARPA increased the federal budget deficit in a manner that triggers an additional statutorily mandated sequestration under the Pay-As-You-Go Act of 2010 (“PAYGO Act”). As a result, an additional payment reduction of up to 4% was required to take effect in January 2022. However, Congress has delayed implementation of this payment reduction until 2025.</w:t>
      </w:r>
    </w:p>
    <w:p>
      <w:pPr>
        <w:spacing w:after="0" w:line="77"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Beyond financial assistance, federal and state governments have enacted legislation and established regulations intended to increase access to medical supplies and equipment and ease legal and regulatory burdens on healthcare providers, as well as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federal income and other tax changes, including the deferral of the employer portion of Social Security payroll taxes. The CARES Act also includes numerous income tax provisions including changes to the net operating loss rules and business interest expense deduction rules.</w:t>
      </w:r>
    </w:p>
    <w:p>
      <w:pPr>
        <w:spacing w:after="0" w:line="38"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Many of the federal and state measures allowing for flexibility in delivery of care and various financial supports are available only for the duration of the COVID-19 public health emergency. Most states have ended their state-level emergency declarations. The current national public health emergency declared by HHS expires May 11, 2023. The presidential administration has indicated that the public health emergency will not be extended. Termination of the public health emergency may impact our operations and financial results.</w:t>
      </w:r>
    </w:p>
    <w:p>
      <w:pPr>
        <w:spacing w:after="0" w:line="7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COVID-19 pandemic continues to evolve. The federal and state governments may consider additional stimulus and relief efforts, but we are unable to predict whether additional measures will be enacted or their impact. We are unable to assess the extent to which ongoing impacts arising from the COVID-19 pandemic affect our operations or the operations of our competitors, or whether any such impacts will be offset by financial and other types of assistance we may receive under existing or future legislation. Further, there can be no assurance that the terms and conditions of the Provider Relief Fund or other programs will not change or be interpreted in ways that affect funding we have received or may in the future receive, our ability to comply with such terms and conditions or our eligibility to participate. We continue to assess the potential impact of the COVID-19 pandemic and government responses to the pandemic, including the CARES Act and related legislation, on our business, financial condition, results of operations and cash flows.</w:t>
      </w:r>
    </w:p>
    <w:p>
      <w:pPr>
        <w:spacing w:after="0" w:line="58"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may be more vulnerable to the effects of a public health emergency than other businesses due to the nature of our consumers and the physical proximity required by our operations.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majority of our consumers and patients are older individuals, many of whom may be more vulnerable than the general public during a pandemic or in a public health emergency due to complex medical conditions or other socioeconomic factors. Our employees may also be at greater risk of contracting contagious diseases due to their increased exposure to vulnerable consumers. Due to the physical proximity required to offer many of our services, our employees could have difficulty attending to our consumers if social distancing policies or quarantines are instituted in response to a public health emergency. In addition, the Company may expand existing internal policies in a manner that may have a similar effect. At times of high COVID-19 prevalence, a significant number of our employees were unable to provide services because of quarantine policies. If another pandemic occurs or if there are future surges in COVID-19 cases or the existing COVID-19 pandemic otherwise significantly worsens, we could again suffer losses to our consumer population or a reduction in the availability of our employees. Accordingly, certain public health emergencies could have a material adverse effect on our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21"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Our growth strategy depends on our ability to manage growing and effectively integrating operations and we may not be successful in managing this growth.</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business plan calls for significant growth in business over the next several years through the expansion of our services in existing markets and the establishment of a presence in new markets. This growth has placed and continues to place significant demands on our management team, systems, internal controls and financial and professional resources. In addition, we will need to further develop our financial controls and reporting systems to accommodate our growth. This could require us to incur expenses for hiring additional qualified personnel, retaining professionals to assist in developing the appropriate control systems and expanding our information technology infrastructure. Our inability to effectively manage growth could have a material adverse effect on our financial results.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Previously completed or future acquisitions, or growth initiatives, may be unsuccessful and could expose us to unforeseen liabilities.</w:t>
      </w:r>
    </w:p>
    <w:p>
      <w:pPr>
        <w:spacing w:after="0" w:line="129"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Our growth strategy includes geographical expansion into new markets and the addition of new services in existing markets through the acquisition of local service providers. These acquisitions involve significant risks and uncertainties, including difficulties assimilating acquired personnel and other corporate cultures into our business, the potential loss of key employees or consumers of acquired providers, regulatory risks, the assumption of liabilities, exposure to unforeseen liabilities of acquired providers, and the diversion of the management team’s attention. In the past, we have made acquisitions that have not performed as expected or that we have been unable to successfully integrate with our existing operations.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The failure to effectively integrate future acquisitions could have a material adverse impact on our operations.</w:t>
      </w:r>
    </w:p>
    <w:p>
      <w:pPr>
        <w:spacing w:after="0" w:line="5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We have grown our business through de novo offices and we may in the future selectively open new offices in existing and new states. De novo offices involve risks, including those relating to licensing, accreditation, and payor program enrollment, hiring new personnel, establishing relationships with referral sources and delays or difficulty in installing our operating and information systems. We may not be successful in generating sufficient business activity to sustain the operating costs of such de novo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may be unable to pursue acquisitions or expand into new geographic regions without obtaining additional capital or consent from our lenders.</w:t>
      </w:r>
    </w:p>
    <w:p>
      <w:pPr>
        <w:spacing w:after="0" w:line="15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At December 31, 2022 and 2021, we had cash balances of $80.0 million and $168.9 million, respectively, and $134.9 million and $224.9 million, respectively, of outstanding debt on our credit facility. After giving effect to the amount drawn on our credit facility, approximately $8.2 million of outstanding letters of credit at December 31, 2022 and 2021, and borrowing limits based on an advanced multiple of Adjusted EBITDA (as defined in the Credit Agreement), we had $237.2 million and $112.6 million available for borrowing under our credit facility as of December 31, 2022 and 2021, respectively. Since our credit facility provides for borrowings based on a multiple of an Adjusted EBITDA ratio, any declines in our Adjusted EBITDA would result in a decrease in our available borrowings under our credit facility.</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cannot predict the timing, size and success of our acquisition efforts, our efforts to expand into new geographic regions or the associated capital commitments. If we do not have sufficient cash resources or availability under our credit facility, our growth could be limited unless we obtain additional equity or debt financing. In the future, we may elect to issue additional equity securities in conjunction with raising capital, completing an acquisition or expanding into a new geographic region. Such issuances could be dilutive to existing shareholders. In addition, our ability under our credit facility to consummate acquisitions is restricted if we exceed certain Total Net Leverage Ratio (as defined in the Credit Agreement, and subject to adjustments as provided therein) thresholds, without the consent of the lenders; provided, however, in certain circumstances, in connection with a Material Acquisition (as defined in the Credit Agreement), we can elect to increase our Total Net Leverage Ratio compliance covenant for the then current fiscal quarter and the three succeeding fiscal quarters. Further, our credit facility requires, among other things, that we are in pro forma compliance with the financial covenants set forth therein and that no event of default exists before and after giving effect to any proposed acquisition. Our ability to expand in a manner consistent with historic practices may be limited if we are unable to obtain such consent from our lenders.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Timing differences in reimbursement may cause liquidity problems.</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fund operations primarily through the collection of accounts receivable, but there is a delay between the time that we provide services and the time that we receive reimbursement or payment for these services. These delays may result from such factors as changes by payors to data submission requirements, requests by fiscal intermediaries for additional data or documentation, other Medicare or Medicaid issues, or information system problems. Further, many of the states in which we operate are operating with budget deficits for the 2022 fiscal year and fiscal year 2023 state budgets could be impacted as economic conditions in the United States continue to be challenging in various respects. Various states may in the future delay reimbursement, which would adversely affect our liquidity. In addition, from time to time, procedural issues require us to resubmit claims before payment is remitted, which contributes to our aged receivables. Additionally, we may experience unanticipated delays in receiving reimbursement from state programs due to changes in their policies or billing or audit procedures. Delays in receiving reimbursement or payments from Medicare, Medicaid and other payors may adversely impact our working capital. As a result, working capital management, including prompt and diligent billing and collection, is an important factor in our results of operations and liquidity. Our working capital management procedures may not successfully negate this risk.</w:t>
      </w:r>
    </w:p>
    <w:p>
      <w:pPr>
        <w:spacing w:after="0" w:line="60"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b w:val="1"/>
          <w:bCs w:val="1"/>
          <w:i w:val="1"/>
          <w:iCs w:val="1"/>
          <w:color w:val="auto"/>
        </w:rPr>
        <w:t>We face routine and periodic surveys, audits and investigations by governmental agencies and private payors, which could have adverse findings that may negatively impact our business.</w:t>
      </w:r>
    </w:p>
    <w:p>
      <w:pPr>
        <w:spacing w:after="0" w:line="62" w:lineRule="exact"/>
        <w:rPr>
          <w:sz w:val="20"/>
          <w:szCs w:val="20"/>
          <w:color w:val="auto"/>
        </w:rPr>
      </w:pPr>
    </w:p>
    <w:p>
      <w:pPr>
        <w:ind w:firstLine="569"/>
        <w:spacing w:after="0" w:line="253" w:lineRule="auto"/>
        <w:rPr>
          <w:sz w:val="20"/>
          <w:szCs w:val="20"/>
          <w:color w:val="auto"/>
        </w:rPr>
      </w:pPr>
      <w:r>
        <w:rPr>
          <w:rFonts w:ascii="Arial" w:cs="Arial" w:eastAsia="Arial" w:hAnsi="Arial"/>
          <w:sz w:val="18"/>
          <w:szCs w:val="18"/>
          <w:color w:val="auto"/>
        </w:rPr>
        <w:t>We are and have been subject to routine and periodic surveys, audits and investigations by various governmental agencies. In addition to surveys to determine compliance with the conditions of participation, CMS has engaged a number of contractors (including Medicare Administrative Contractors (“MACs”), RACs and UPICs) to conduct audits and investigations to evaluate billing practices and identify overpayments. These audits and investigations can result in recoupments by Medicare and other payors of amounts previously paid to us. In addition to audits by CMS contractors, individual states are implementing similar integrity programs using Medicaid RACs. We are unable to predict what additional government regulations, if any, affecting our business may be enacted in the future, how existing or future laws and regulations might be interpreted or whether we will be able to comply with such laws and regulations either in the markets in which we presently conduct, or wish to commence, business. If we fail to comply with applicable laws, regulations or programs, depending on the nature of the findings, our business, our financial position and our results of operations could be negatively impacted.</w:t>
      </w:r>
    </w:p>
    <w:p>
      <w:pPr>
        <w:spacing w:after="0" w:line="88" w:lineRule="exact"/>
        <w:rPr>
          <w:sz w:val="20"/>
          <w:szCs w:val="20"/>
          <w:color w:val="auto"/>
        </w:rPr>
      </w:pPr>
    </w:p>
    <w:p>
      <w:pPr>
        <w:ind w:right="100" w:firstLine="569"/>
        <w:spacing w:after="0" w:line="273" w:lineRule="auto"/>
        <w:rPr>
          <w:sz w:val="20"/>
          <w:szCs w:val="20"/>
          <w:color w:val="auto"/>
        </w:rPr>
      </w:pPr>
      <w:r>
        <w:rPr>
          <w:rFonts w:ascii="Arial" w:cs="Arial" w:eastAsia="Arial" w:hAnsi="Arial"/>
          <w:sz w:val="17"/>
          <w:szCs w:val="17"/>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is limited to home health agencies in Illinois, Ohio, North Carolina, Florida and Texas. Providers in these states may initially select from the following claims review and approval processes: pre-claim review, post-payment review, or a minimal post-payment review with a 25% payment reduction. Home health agencies that maintain high compliance levels will be eligible for additional, less burdensome options. We are currently unable to predict what impact, if any, this program may have on our results of operations or financial position.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jc w:val="both"/>
        <w:ind w:right="20" w:firstLine="569"/>
        <w:spacing w:after="0" w:line="263" w:lineRule="auto"/>
        <w:rPr>
          <w:sz w:val="20"/>
          <w:szCs w:val="20"/>
          <w:color w:val="auto"/>
        </w:rPr>
      </w:pPr>
      <w:r>
        <w:rPr>
          <w:rFonts w:ascii="Arial" w:cs="Arial" w:eastAsia="Arial" w:hAnsi="Arial"/>
          <w:sz w:val="18"/>
          <w:szCs w:val="18"/>
          <w:color w:val="auto"/>
        </w:rPr>
        <w:t>Private third-party payors may also conduct audits and investigations, and we also perform internal audits and monitoring. Depending on the nature of the conduct found in such audits and whether the underlying conduct could be considered systemic, the resolution of these audits could have a material, adverse effect on our financial position, results of operations and liquidity.</w:t>
      </w:r>
    </w:p>
    <w:p>
      <w:pPr>
        <w:spacing w:after="0" w:line="76" w:lineRule="exact"/>
        <w:rPr>
          <w:sz w:val="20"/>
          <w:szCs w:val="20"/>
          <w:color w:val="auto"/>
        </w:rPr>
      </w:pPr>
    </w:p>
    <w:p>
      <w:pPr>
        <w:ind w:left="260" w:right="400"/>
        <w:spacing w:after="0" w:line="277" w:lineRule="auto"/>
        <w:rPr>
          <w:sz w:val="20"/>
          <w:szCs w:val="20"/>
          <w:color w:val="auto"/>
        </w:rPr>
      </w:pPr>
      <w:r>
        <w:rPr>
          <w:rFonts w:ascii="Arial" w:cs="Arial" w:eastAsia="Arial" w:hAnsi="Arial"/>
          <w:sz w:val="18"/>
          <w:szCs w:val="18"/>
          <w:b w:val="1"/>
          <w:bCs w:val="1"/>
          <w:i w:val="1"/>
          <w:iCs w:val="1"/>
          <w:color w:val="auto"/>
        </w:rPr>
        <w:t>Our revenues are concentrated in a small number of states, which makes us particularly sensitive to regulatory and economic changes in those states.</w:t>
      </w:r>
    </w:p>
    <w:p>
      <w:pPr>
        <w:spacing w:after="0" w:line="62"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Our revenues are particularly sensitive to regulatory and economic changes in states in which we generate a significant portion of our revenues including Illinois, New Mexico and New York. Accordingly, any change in the current demographic, economic, competitive or regulatory conditions in these states could have an adverse effect on our business, financial condition or results of operations. Changes to the Medicaid programs in these states could also have a disproportionately adverse effect on our business, financial condition, results of operations or cash flows.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Future efforts to reduce the costs of the Illinois Department on Aging programs could adversely affect our service revenues and profitability.</w:t>
      </w:r>
    </w:p>
    <w:p>
      <w:pPr>
        <w:spacing w:after="0" w:line="14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For the years ended December 31, 2022 and 2021, we derived approximately 20.7% and 21.4%, respectively, of our revenue from the Illinois Department on Aging programs. State government officials have in the past attempted, and in the future may attempt, to reduce government spending by proposing changes aimed at reducing expenditures by this department. The nature and extent of any proposed future cost reduction initiatives is unknown. If future reforms impact the eligibility of consumers for services, the number of hours authorized or otherwise restrict services provided to existing consumers, our service revenues, results of operations, financial position and growth may be adversely affected.</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Failure to renew a significant payor agreement or group of related payor agreements may materially impact our revenue.</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Each of our agreements is generally in effect for a specific term, but they are also generally terminable with 60 days’ notice. Our ability to renew or retain our agreements depends on our quality of service and reputation, as well as other factors over which we have little or no control, such as state appropriations and changes in provider eligibility requirements. Additionally, failure to satisfy any of the numerous technical renewal requirements in connection with our proposals for agreements could result in a proposal being rejected even if it contains favorable pricing terms. Failure to obtain, renew or retain agreements with major payors may negatively impact our results of operations and revenue. We can give no assurance these agreements will be renewed on commercially reasonable terms or at all.</w:t>
      </w:r>
    </w:p>
    <w:p>
      <w:pPr>
        <w:spacing w:after="0" w:line="84"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Negative publicity or changes in public perception of our services may adversely affect our ability to receive referrals, obtain new agreements and renew existing agreements.</w:t>
      </w:r>
    </w:p>
    <w:p>
      <w:pPr>
        <w:spacing w:after="0" w:line="62" w:lineRule="exact"/>
        <w:rPr>
          <w:sz w:val="20"/>
          <w:szCs w:val="20"/>
          <w:color w:val="auto"/>
        </w:rPr>
      </w:pPr>
    </w:p>
    <w:p>
      <w:pPr>
        <w:ind w:right="220" w:firstLine="509"/>
        <w:spacing w:after="0" w:line="291" w:lineRule="auto"/>
        <w:rPr>
          <w:sz w:val="20"/>
          <w:szCs w:val="20"/>
          <w:color w:val="auto"/>
        </w:rPr>
      </w:pPr>
      <w:r>
        <w:rPr>
          <w:rFonts w:ascii="Arial" w:cs="Arial" w:eastAsia="Arial" w:hAnsi="Arial"/>
          <w:sz w:val="16"/>
          <w:szCs w:val="16"/>
          <w:color w:val="auto"/>
        </w:rPr>
        <w:t>Our success in receiving referrals, obtaining new agreements and renewing our existing agreements depends upon maintaining our reputation as a quality service provider among governmental authorities, physicians, hospitals, discharge planning departments, case managers, nursing homes, rehabilitation centers, advocacy groups, consumers and their families, other referral sources and the public. In July 2022, CMS released its first HCBS Quality Measure Set, which is intended to promote more common and consistent use of nationally standardized quality measures within and across state HCBS programs. Use of these HCBS measures by states, managed care organizations and other entities involved in HCBS is voluntary. In addition, the CMS Care Compare website makes publicly available certain data on home health agency and hospice performance on quality measures and patient satisfaction. Medicare reimbursement for these provider types is tied to reporting of quality measures.</w:t>
      </w:r>
    </w:p>
    <w:p>
      <w:pPr>
        <w:spacing w:after="0" w:line="5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While we believe that the services that we provide are of high quality, if our quality measures, some of which are published online by CMS, are deemed to be unsatisfactory or not of the highest value in relation to those of our competitors, our reputation could be negatively affected. Negative publicity, changes in public perceptions of our services or government investigations of our operations could damage our reputation and hinder our ability to receive referrals, retain agreements or obtain new agreements. Increased government scrutiny may also contribute to an increase in compliance costs and could discourage consumers from using our services. Any of these events could have a negative effect on our business, financial condition and operating results.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may be harmed by labor relations matters.</w:t>
      </w:r>
    </w:p>
    <w:p>
      <w:pPr>
        <w:spacing w:after="0" w:line="2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are subject to a risk of work stoppages and other labor relations matters because our hourly workforce is highly unionized. As of December 31, 2022, 51.4% of our workforce was represented by labor unions. We have numerous agreements with local SEIU affiliates which are renegotiated from time to time. These negotiations are often initiated when we receive increases in our hourly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 Moreover, potential changes to federal labor laws and regulations, including those supported by the current presidential administration, could increase the likelihood of employee unionization activity and the ability of employees to unionize. Labor costs are the most significant component of our total expenditures and, therefore, an increase in the cost of labor could significantly harm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left="260" w:right="560"/>
        <w:spacing w:after="0" w:line="277" w:lineRule="auto"/>
        <w:rPr>
          <w:sz w:val="20"/>
          <w:szCs w:val="20"/>
          <w:color w:val="auto"/>
        </w:rPr>
      </w:pPr>
      <w:r>
        <w:rPr>
          <w:rFonts w:ascii="Arial" w:cs="Arial" w:eastAsia="Arial" w:hAnsi="Arial"/>
          <w:sz w:val="18"/>
          <w:szCs w:val="18"/>
          <w:b w:val="1"/>
          <w:bCs w:val="1"/>
          <w:i w:val="1"/>
          <w:iCs w:val="1"/>
          <w:color w:val="auto"/>
        </w:rPr>
        <w:t>If we were required to write down all or part of our goodwill and/or our intangible assets, our net earnings and net worth could be materially adversely affected.</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Goodwill and intangible assets with finite lives represent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and intangibles, we were required to write down all or a significant part of our goodwill and/or intangible assets, our net earnings and net worth could be 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$582.8 million and $504.4 million of goodwill and $72.2 million and $64.3 million of intangible assets recorded on our Consolidated Balance Sheets at December 31, 2022 and 2021, respectively.</w:t>
      </w:r>
    </w:p>
    <w:p>
      <w:pPr>
        <w:spacing w:after="0" w:line="5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It is not possible at this time to determine if there will be any future impairment charge, or if there is, whether such charges would be material. We will continue to review our goodwill and other intangible assets for possible impairment. We cannot be certain that a downturn in our business or changes in market conditions will not result in an impairment of goodwill or other intangible assets and the recognition of resulting expenses in future periods, which could adversely affect our results of operations for those periods.</w:t>
      </w:r>
    </w:p>
    <w:p>
      <w:pPr>
        <w:spacing w:after="0" w:line="79"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such failure could adversely impact our business and stock price.</w:t>
      </w:r>
    </w:p>
    <w:p>
      <w:pPr>
        <w:spacing w:after="0" w:line="62"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Section 404 of the Sarbanes-Oxley Act of 2002, or the Sarbanes-Oxley Act, requires our management to report on, and requires our independent registered public accounting firm to attest to, the effectiveness of our internal control over financial reporting. Compliance with SEC regulations adopted pursuant to Section 404 of the Sarbanes Oxley Act requires annual management assessments of the effectiveness of our internal control over financial reporting. Compliance with Section 404(b) of the Sarbanes-Oxley Act has increased our legal and financial compliance costs making some activities more difficult, time-consuming or costly and may also place strain on our personnel, systems and resources.</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To the extent that we now or in the future have deficiencies in our internal control over financial reporting that are not remediated, our ability to accurately and timely report our financial position, results of operations, cash flows or key operating metrics could be impaired, which could result in a material misstatement in our financial statements, late filings of our annual and quarterly reports under the Exchange Act, restatements of our consolidated financial statements or other corrective disclosures, or other material adverse effects on our business, reputation, results of operations, financial condition or liquidity and could create a perception that our financial results do not fairly state our financial condition or results of operations, any of which could have an adverse effect on the value of our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121"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Compliance with changing laws and regulations including specific program compliance may result in additional expenses and pose challenges for our management team.</w:t>
      </w:r>
    </w:p>
    <w:p>
      <w:pPr>
        <w:spacing w:after="0" w:line="62"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Our industry is subject to extensive government regulation. For example, the state agencies that contract for our services require us to comply with various laws and regulations affecting the services we provide. We have a compliance officer who monitors and reports on our compliance efforts. The laws and regulations governing our operations are subject to change. The implementation of these changes may require us to increase our efforts to remain compliant, may reduce the authorizations for services to be provided, and may result in certain consumers no longer being eligible for our services, any of which may result in lower revenues and increased costs, reducing our operating performance and profitability. If we continue to serve our consumers without addressing changes in laws and regulations, we are at risk for non-compliance with program requirements and potential penalties.</w:t>
      </w:r>
    </w:p>
    <w:p>
      <w:pPr>
        <w:spacing w:after="0" w:line="56"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Our hospice operations are subject to annual Medicare caps. If we exceed the caps, our business and consolidated financial condition, results of operations and cash flows could be materially adversely affected.</w:t>
      </w:r>
    </w:p>
    <w:p>
      <w:pPr>
        <w:spacing w:after="0" w:line="62" w:lineRule="exact"/>
        <w:rPr>
          <w:sz w:val="20"/>
          <w:szCs w:val="20"/>
          <w:color w:val="auto"/>
        </w:rPr>
      </w:pPr>
    </w:p>
    <w:p>
      <w:pPr>
        <w:ind w:right="20" w:firstLine="509"/>
        <w:spacing w:after="0" w:line="297" w:lineRule="auto"/>
        <w:rPr>
          <w:sz w:val="20"/>
          <w:szCs w:val="20"/>
          <w:color w:val="auto"/>
        </w:rPr>
      </w:pPr>
      <w:r>
        <w:rPr>
          <w:rFonts w:ascii="Arial" w:cs="Arial" w:eastAsia="Arial" w:hAnsi="Arial"/>
          <w:sz w:val="16"/>
          <w:szCs w:val="16"/>
          <w:color w:val="auto"/>
        </w:rPr>
        <w:t>Overall payments made by Medicare to each hospice provider number (generally corresponding to each of our hospice agencies) are subject to an inpatient cap and an aggregate cap, which are set each federal fiscal year. The inpatient cap limits the number of days of inpatient care to no more than 20% of total patient care days. The aggregate cap limits the amount of Medicare reimbursement a hospice may receive, based on the number of Medicare patients served. If a hospice’s Medicare payments exceed its inpatient or aggregate caps, it must repay Medicare for the excess amount.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b w:val="1"/>
          <w:bCs w:val="1"/>
          <w:i w:val="1"/>
          <w:iCs w:val="1"/>
          <w:color w:val="auto"/>
        </w:rPr>
        <w:t>Reductions in reimbursement and other changes to Medicare, Medicaid, and other federal, state and local medical and social programs could adversely affect our consumer caseload, units of service, revenues, gross profit and profitability.</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A significant portion of our caseload and revenues are derived from government healthcare programs, primarily Medicare and Medicaid. For the year ended December 31, 2022, we derived approximately 59.2% of our net service revenues from state and local governmental agencies, primarily through Medicaid state programs and 22.6% from Medicare. However, changes in government healthcare programs may decrease the reimbursement we receive or limit access to, or utilization of, our services. As federal healthcare expenditures continue to increase and as some state governments navigate budgetary pressures, federal and state governments have made, and may continue to make, significant changes to the Medicare and Medicaid programs and reimbursement received for services rendered to beneficiaries of such programs. For example, the Budget Control Act of 2011 requires automatic spending reductions to reduce the federal deficit, resulting in a uniform 2% reduction across all Medicare programs beginning in 2013. The CARES Act and related legislation temporarily suspended these reductions through March 31, 2022, and reduced the sequestration adjustments from 2% to 1% from April 1 through June 30, 2022. The full 2% reduction resumed on July 1, 2022. The Budget Control Act of 2011 sequestration has been extended through 2032. As a result of the ARPA, an additional Medicare payment reduction of up to 4% was required to take effect in January 2022, although Congress has delayed implementation of this reduction until 2025. It is difficult to predict whether, when, or what other deficit reduction initiatives may be proposed by Congress, but future legislation may include additional Medicare spending reductions.</w:t>
      </w:r>
    </w:p>
    <w:p>
      <w:pPr>
        <w:spacing w:after="0" w:line="16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including as a result of the COVID-19 pandemic, and the rising costs of healthcare. Reductions to federal support for state Medicaid or other programs could also result in budgetary shortfalls. As a result, many states have made, are considering or may consider making changes in their Medicaid or other state and local medical and social programs, including enacting legislation designed to reduce Medicaid expenditures.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that may occur at the federal or state level to contain costs include:</w:t>
      </w:r>
    </w:p>
    <w:p>
      <w:pPr>
        <w:spacing w:after="0" w:line="117"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increases in, or decreasing, reimbursement rates;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redefining eligibility standards or coverage criteria for social and medical programs or the receipt of services under those programs;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consumer responsibility, including through increased co-payment requirements;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decreasing benefits, such as limiting the number of hours of personal care services that will be covered;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reimbursement methodology and program participation eligibility;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slowing payments to providers;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utilization of self-directed care alternatives or “all inclusive” programs;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shifting beneficiaries to managed care organizations;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demonstration projects and alternative payment models.</w:t>
      </w:r>
    </w:p>
    <w:p>
      <w:pPr>
        <w:spacing w:after="0" w:line="22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Certain of these measures have been implemented by, or are proposed in, states in which we operate. For example, we provide support services as a fiscal intermediary to the New York Consumer Directed Personal Assistance Program (“CDPAP”), a self-directed care alternative program that allows eligible individuals who need help with activities of daily living or skilled nursing services to choose their caregivers. 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In April 2022, the New York legislature passed its fiscal year 2023 state budget, which amended the Fiscal Intermediary RFO process to authorize all fiscal intermediaries that submitted an RFO application and served at least 200 clients in New York City or 50 clients in other counties between January 1, 2020, and March 31, 2020, but that were not initially awarded a contract, to contract with the New York State Department of Health (“NYSDOH”). These fiscal intermediaries are permitted to continue operating in all counties contained in their RFO application, provided they submitted an attestation and supporting information to the NYSDOH no later than November 29, 2022. The Company submitted an attestation on November 22, 2022. For the fiscal intermediaries whose attestation and supporting information meet all requirements, the NYSDOH will issue award letters on the contract award date, which is anticipated to be April 1, 2023. Any fiscal intermediary that does not receive an award letter must cease fiscal intermediary operations. The Company continues to assess the future of its participation in this program. Given the current profitability of the program, the Company has suspended materially all of its new fee-for-service patient admissions through County Social Service Departments in the CDPAP program.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recognized approximately $39.2 million and $3.0 million in net service revenue and operating income, respectively, from the program for the year ended December 31, 2022.</w:t>
      </w:r>
    </w:p>
    <w:p>
      <w:pPr>
        <w:spacing w:after="0" w:line="62" w:lineRule="exact"/>
        <w:rPr>
          <w:sz w:val="20"/>
          <w:szCs w:val="20"/>
          <w:color w:val="auto"/>
        </w:rPr>
      </w:pPr>
    </w:p>
    <w:p>
      <w:pPr>
        <w:ind w:right="120" w:firstLine="509"/>
        <w:spacing w:after="0" w:line="280" w:lineRule="auto"/>
        <w:rPr>
          <w:sz w:val="20"/>
          <w:szCs w:val="20"/>
          <w:color w:val="auto"/>
        </w:rPr>
      </w:pPr>
      <w:r>
        <w:rPr>
          <w:rFonts w:ascii="Arial" w:cs="Arial" w:eastAsia="Arial" w:hAnsi="Arial"/>
          <w:sz w:val="17"/>
          <w:szCs w:val="17"/>
          <w:color w:val="auto"/>
        </w:rPr>
        <w:t>In 2022, we derived approximately 43.8% of our net service revenues from services provided in Illinois, 17.9% of our net service revenues in New Mexico and 9.1% of our net service revenues in New York. Because a substantial portion of our business is concentrated in these states, any significant reduction in expenditures that pay for our services or other significant changes in these states may have a disproportionately negative impact on our future operating results. We cannot predict whether states material to our operating results will timely pass budgets in subsequent years or experience changes or other challenges that negatively impact our ability to be reimbursed for our services in a timely manner.</w:t>
      </w:r>
    </w:p>
    <w:p>
      <w:pPr>
        <w:spacing w:after="0" w:line="61"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ACA made significant changes to Medicare and Medicaid policy and funding, among other broad changes across the healthcare industry, promoting a shift toward value-based care, including implementation of alternative payment models. The ACA also resulted in expanded Medicaid eligibility in many states and the establishment of various demonstration projects and Medicaid programs under which states may apply to test new or existing approaches to payment and delivery of Medicaid benefits. Future health reform efforts or additional significant changes to the ACA could impact both federal and state programs.</w:t>
      </w:r>
    </w:p>
    <w:p>
      <w:pPr>
        <w:spacing w:after="0" w:line="8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changes in Medicare, Medicaid or other state and local medical and social programs result in a reduction in available funds for the services we offer, a reduction in the number of beneficiaries eligible for our services or a reduction in the number of hours or amount of services that beneficiaries eligible for our services may receive, then our revenues and profitability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 Any reduction in reimbursements or imposition of copayments that dissuade the use of our services, or any reduction in reimbursement from private payors, could also materially adversely affect our profitability.</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Federal and state regulation may impair our ability to consummate acquisitions or open new agencies.</w:t>
      </w:r>
    </w:p>
    <w:p>
      <w:pPr>
        <w:spacing w:after="0" w:line="117" w:lineRule="exact"/>
        <w:rPr>
          <w:sz w:val="20"/>
          <w:szCs w:val="20"/>
          <w:color w:val="auto"/>
        </w:rPr>
      </w:pPr>
    </w:p>
    <w:p>
      <w:pPr>
        <w:ind w:right="160" w:firstLine="509"/>
        <w:spacing w:after="0" w:line="289" w:lineRule="auto"/>
        <w:rPr>
          <w:sz w:val="20"/>
          <w:szCs w:val="20"/>
          <w:color w:val="auto"/>
        </w:rPr>
      </w:pPr>
      <w:r>
        <w:rPr>
          <w:rFonts w:ascii="Arial" w:cs="Arial" w:eastAsia="Arial" w:hAnsi="Arial"/>
          <w:sz w:val="16"/>
          <w:szCs w:val="16"/>
          <w:color w:val="auto"/>
        </w:rPr>
        <w:t>Federal laws or regulations may adversely impact our ability to acquire home health agencies or open new start-up home health agencies. For example, a Medicare regulation known as the “36 Month Rule” prohibits buyers of Medicare-certified home health agencies from assuming the Medicare billing privileges of an acquired agency if the acquired agency either enrolled in Medicare or underwent a change in majority ownership fewer than 36 months prior to the acquisition, subject to certain exceptions. Instead, the buyer must enroll the acquired home health agencies as new providers with Medicare. The 36 Month Rule can increase competition for acquisition targets that are not subject to the rule and may cause significant Medicare billing delays for the purchases of home health agencies that are subject to the rule. In addition, effective January 1, 2023, home health agencies undergoing changes of ownership are considered a “high-risk” provider type, subjecting provider enrollment applications to increased scrutiny, which may result in delays in processing. Further, in the past, CMS has limited enrollment of new home health agencies. If another moratorium is imposed on enrollment of new providers in a geographic area we desire to service, our ability to expand operations may be impacted.</w:t>
      </w:r>
    </w:p>
    <w:p>
      <w:pPr>
        <w:spacing w:after="0" w:line="58" w:lineRule="exact"/>
        <w:rPr>
          <w:sz w:val="20"/>
          <w:szCs w:val="20"/>
          <w:color w:val="auto"/>
        </w:rPr>
      </w:pPr>
    </w:p>
    <w:p>
      <w:pPr>
        <w:jc w:val="both"/>
        <w:ind w:right="160" w:firstLine="509"/>
        <w:spacing w:after="0" w:line="342" w:lineRule="auto"/>
        <w:rPr>
          <w:sz w:val="20"/>
          <w:szCs w:val="20"/>
          <w:color w:val="auto"/>
        </w:rPr>
      </w:pPr>
      <w:r>
        <w:rPr>
          <w:rFonts w:ascii="Arial" w:cs="Arial" w:eastAsia="Arial" w:hAnsi="Arial"/>
          <w:sz w:val="16"/>
          <w:szCs w:val="16"/>
          <w:color w:val="auto"/>
        </w:rPr>
        <w:t>Our ability to expand operations in a state will depend on our ability to obtain a state license to operate, and where required, CON approval. States may limit the number of licenses they issue. The failure to obtain any required CON or license could impair our ability to operate or expand our business.</w:t>
      </w:r>
    </w:p>
    <w:p>
      <w:pPr>
        <w:spacing w:after="0" w:line="16"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The implementation of alternative payment models and the transition of Medicaid and Medicare beneficiaries to managed care organizations may limit our market share and could adversely affect our revenues.</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Many government and commercial payors are transitioning providers to alternative payment models that are designed to promote cost-efficiency, quality and coordination of care. For example, accountable care organizations (“ACOs”) incentivize hospitals, physician groups, and other providers to organize and coordinate patient care while reducing unnecessary costs. Several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w:t>
      </w:r>
    </w:p>
    <w:p>
      <w:pPr>
        <w:spacing w:after="0" w:line="8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may be similarly impacted by increased enrollment of Medicare and Medicaid beneficiaries in managed care plans, which is part of the general shift away from traditional fee-for-service models. Under the managed Medicare program, also known as Medicare Advantage, the federal government contracts with private health insurers to provide Medicare benefits. Insurers may choose to offer supplemental benefits, including in-home support services, and impose higher plan costs on beneficiaries. Nearly half of Medicare beneficiaries are enrolled in a Medicare Advantage plan, a figure that continues to grow. While hospice services are currently reimbursed as a traditional fee-for-service program under Medicare Part A, hospice services may eventually be offered under Medicare Advantage plans, which could result in reduced reimbursement, limited utilization, and increased competition for managed care contracts.</w:t>
      </w:r>
    </w:p>
    <w:p>
      <w:pPr>
        <w:spacing w:after="0" w:line="87" w:lineRule="exact"/>
        <w:rPr>
          <w:sz w:val="20"/>
          <w:szCs w:val="20"/>
          <w:color w:val="auto"/>
        </w:rPr>
      </w:pPr>
    </w:p>
    <w:p>
      <w:pPr>
        <w:ind w:right="560" w:firstLine="509"/>
        <w:spacing w:after="0" w:line="308" w:lineRule="auto"/>
        <w:rPr>
          <w:sz w:val="20"/>
          <w:szCs w:val="20"/>
          <w:color w:val="auto"/>
        </w:rPr>
      </w:pPr>
      <w:r>
        <w:rPr>
          <w:rFonts w:ascii="Arial" w:cs="Arial" w:eastAsia="Arial" w:hAnsi="Arial"/>
          <w:sz w:val="17"/>
          <w:szCs w:val="17"/>
          <w:color w:val="auto"/>
        </w:rPr>
        <w:t>Enrollment in managed Medicaid plans is also growing, as states are increasingly relying on managed care organizations to deliver Medicaid program services as a strategy to control costs and manage resources. We may experience increased competition for</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managed care contracts due to state regulation and limitations. For instance, New York law limits the number of home care providers with which a managed Medicaid long-term care plan can contract. We cannot assure you that we will be successful in our efforts to be included in plan networks,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 levels consistent with past performance. In addition, operational processes may not be well defined as a state transitions beneficiaries to managed care. For example, membership, new referrals and the related authorization for services to be provided may be delayed, which may result in delays in service delivery to consumers or in payment for services rendered. Difficulties with operational processes may negatively affect our revenue growth rates, cash flow and profitability for services provided. Other alternative payment models may be presented by the government and commercial payors to control costs that subject our Company to financial risk. We cannot predict at this time what effect alternative payment models may have on our Company.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 is highly competitive, fragmented and market-specific.</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healthcare and long-term care industries are highly competitive among service providers. We compete with personal care service providers, hospice providers, home health providers, private caregivers, larger publicly held companies, privately held companies, privately held single-site agencies, hospital-based agencies, not-for-profit organizations, community-based organizations and self-directed care programs. Some of our competitors may have greater financial, technical, political and marketing resources, name recognition or a larger number of consumers and payors than we do. In addition, some of these organizations offer more services than we do in the markets in which we operate. These competitive advantages may limit our ability to attract and retain referrals in local markets and to increase our overall market share.</w:t>
      </w:r>
    </w:p>
    <w:p>
      <w:pPr>
        <w:spacing w:after="0" w:line="7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many states, there are limited barriers to entry in providing personal care services. However, some states require entities to obtain a license before providing home care services. Licensure is generally required of agencies providing home health and hospice services, though requirements vary by state. Some states also require a provider to obtain a CON before establishing certain health services, operations or facilities. CON restrictions may reduce the level of competition in a given industry or in a particular geographic region. In addition, economic changes such as increases in minimum wage and changes in Department of Labor rules can also impact the ease of entry into a market. These factors may affect competition in the states in which we operate.</w:t>
      </w:r>
    </w:p>
    <w:p>
      <w:pPr>
        <w:spacing w:after="0" w:line="84"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Often our contracts with payors are not exclusive. Local competitors may develop strategic relationships with referral sources and payors. Further, consolidation within the payor industry, vertical integration efforts involving payors and healthcare providers, and cost-reduction strategies by payors continue to increase, which may affect our competitive position. In addition, existing competitors may offer new or enhanced services that we do not provide or be viewed by consumers as a more desirable local alternative. These and other factors could impact our ability to contract with payors on favorable terms, result in pricing pressures, loss of or failure to gain market share or loss of consumers or payors, or otherwise affect our competitive position. Further,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spacing w:after="0" w:line="58"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Trends toward price transparency and value-based purchasing may have an impact on our competitive position, ability to obtain and maintain favorable contract terms, and consumer volumes. For example, starting January 1, 2023, health insurers must provide online price comparison tools to help individuals get personalized cost estimates for covered items and services. HHS also requires health insurers to publish online the charges negotiated with providers for healthcare services. In addition, the CMS Care Compare website makes publicly available certain data on home health agency and hospice performance on quality measures and patient satisfaction. It is unclear how price transparency requirements, value-based purchasing and similar initiatives will affect consumer behavior, our relationships with payors, or our ability to set and negotiate prices.</w:t>
      </w:r>
    </w:p>
    <w:p>
      <w:pPr>
        <w:spacing w:after="0" w:line="7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We expect these competitive trends to continue. If we are unable to compete effectively, consumers may seek services from other providers, which could have a negative impact on our business and results of operations.</w:t>
      </w:r>
    </w:p>
    <w:p>
      <w:pPr>
        <w:spacing w:after="0" w:line="62"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the laws and extensive regulations governing our business, we could be subject to penalties or be required to make changes to our operations, which could negatively impact our profitability.</w:t>
      </w:r>
    </w:p>
    <w:p>
      <w:pPr>
        <w:spacing w:after="0" w:line="62"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The federal government and the states in which we operate regulate our industry extensively. The laws and regulations governing our operations, along with the terms of participation in various government programs, impose certain requirements on the way in which we do business, the services we offer, and our interactions with providers and consumers. These requirements include matters related to:</w:t>
      </w:r>
    </w:p>
    <w:p>
      <w:pPr>
        <w:spacing w:after="0" w:line="76" w:lineRule="exact"/>
        <w:rPr>
          <w:sz w:val="20"/>
          <w:szCs w:val="20"/>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licensure and certification and enrollment with government programs;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eligibility for services;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appropriateness and necessity of services provided;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adequacy and quality of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qualifications and training of personnel;</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confidentiality, maintenance, data breach, identity theft, security, access and exchange of health-related and personal information and medical records, and interoperability and refraining from information blocking;</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protection, health and safety;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physicians, other referral sources and recipients of referrals;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policies and procedures;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 of, and changes to, facilities and services;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adequacy and manner of documentation for services provided;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billing and coding for services;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and proper handling of overpayments;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collection and communications with consumers.</w:t>
      </w:r>
    </w:p>
    <w:p>
      <w:pPr>
        <w:spacing w:after="0" w:line="117" w:lineRule="exact"/>
        <w:rPr>
          <w:sz w:val="20"/>
          <w:szCs w:val="20"/>
          <w:color w:val="auto"/>
        </w:rPr>
      </w:pPr>
    </w:p>
    <w:p>
      <w:pPr>
        <w:ind w:right="300" w:firstLine="509"/>
        <w:spacing w:after="0" w:line="311" w:lineRule="auto"/>
        <w:rPr>
          <w:sz w:val="20"/>
          <w:szCs w:val="20"/>
          <w:color w:val="auto"/>
        </w:rPr>
      </w:pPr>
      <w:r>
        <w:rPr>
          <w:rFonts w:ascii="Arial" w:cs="Arial" w:eastAsia="Arial" w:hAnsi="Arial"/>
          <w:sz w:val="16"/>
          <w:szCs w:val="16"/>
          <w:color w:val="auto"/>
        </w:rPr>
        <w:t>These laws include, but are not limited to the federal Anti-Kickback Statute, the federal Stark law, the federal FCA, the federal Civil Monetary Penalties Law, other federal and state fraud and abuse, insurance fraud, and fee-splitting laws, which may extend to services reimbursable by any payer, including private insurers, the No Surprises Act, and federal and state laws governing the security and privacy of health information.</w:t>
      </w:r>
    </w:p>
    <w:p>
      <w:pPr>
        <w:spacing w:after="0" w:line="4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currently have contractual relationships with current and potential referral sources and recipients, including hospitals and health systems, skilled nursing facilities and certain physicians who provide medical director and clinical services to our Company. We attempt to structure our relationships to meet applicable regulatory requirements, but we cannot provide assurance that every relationship is fully compliant. Further, we may fail to discover instances of noncompliance by businesses we acquire.</w:t>
      </w:r>
    </w:p>
    <w:p>
      <w:pPr>
        <w:spacing w:after="0" w:line="79"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If we fail to comply with applicable laws and regulations, which are subject to change, we could be subject to civil sanctions and criminal penalties, including substantial monetary penalties, the termination of rights to participate in federal and state healthcare programs, exclusion from federal healthcare programs, the suspension or revocation of licenses, and we could face nonpayment or encounter delays in our ability to bill and collect for services provided, any of which could adversely affect our business, results of operations, or financial results. Actions taken against one of our entities may subject our other entities to adverse consequences. While we endeavor to comply with applicable laws, and regulations, we cannot ensure you that our practices are fully compliant or that courts or regulatory agencies will not interpret those laws and regulations in ways that will adversely affect our practices. Further, the laws and regulations governing our business are subject to change, interpretations may evolve and enforcement focus may shift. These changes could subject us to allegations of impropriety or illegality, require restructuring of relationships with referral sources and recipients or otherwise require changes to our operations. The costs of compliance with, and the other burdens imposed by, applicable laws and regulations may be substantial and could increase our operational costs, result in interruptions or delays in the availability of systems and/or result in a patient volume decline.</w:t>
      </w:r>
    </w:p>
    <w:p>
      <w:pPr>
        <w:spacing w:after="0" w:line="60"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Federal and state government agencies have heightened and coordinated civil and criminal enforcement efforts throughout the healthcare industry. We may face audits or investigations by government agencies or third parties, including certain of our contractual relationships. An adverse outcome under any such audit or investigation, a determination that we have violated applicable laws and regulations, or a public announcement that we are being investigated for possible violations could result in liability, result in adverse publicity, require us to change our operations to implement plans of correction for alleged deficiencies, and other negative consequences that could adversely affect our business, financial condition, or results of operations.</w:t>
      </w:r>
    </w:p>
    <w:p>
      <w:pPr>
        <w:spacing w:after="0" w:line="53" w:lineRule="exact"/>
        <w:rPr>
          <w:sz w:val="20"/>
          <w:szCs w:val="20"/>
          <w:color w:val="auto"/>
        </w:rPr>
      </w:pPr>
    </w:p>
    <w:p>
      <w:pPr>
        <w:ind w:left="260" w:right="260"/>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required to comply with all applicable federal, state and local laws and regulations relating to employment, including OSHA requirements, wage and hour and other compensation requirements (including disclosure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Since our personal care operations are concentrated in Illinois, New Mexico and New York, we are particularly sensitive to changes in laws and regulations in these states. Additionally, the current presidential administration has signaled its support for increases in minimum wage. We may not be able to offset any increased costs and expenses. Furthermore, any failure to comply with these laws, including even a seemingly minor infraction, can result in significant penalties which could harm our reputation and have a material adverse effect on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business. The COVID-19 pandemic has increased some of these risks, with certain states modifying occupational health and safety guidelines in a manner that increases scrutiny and complexity of operations with respect to appropriate training and use in the workplace of PPE and the possibility of corresponding regulatory audit activity with respect to the adequacy of our practices and procedures. The COVID-19 pandemic has also resulted in states modifying standards associated with payment amounts and required justifications to qualify for sick leave and unemployment benefits. These modifications may result in increased operational costs to us, which may adversely impact our financial performance.</w:t>
      </w:r>
    </w:p>
    <w:p>
      <w:pPr>
        <w:spacing w:after="0" w:line="68"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civil monetary penalties, an assessment of up to three times the amount claimed and exclusion from the program. Each of our subsidiaries that employ an average of at least 50 full-time employees in a calendar year are required to offer a minimum level of health coverage for 95% of our full-time employees in 2021 or be subject to an annual penalty.</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may be adversely impacted by healthcare reform efforts.</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 recent years, the healthcare industry has undergone significant changes, many of which have been aimed at reducing costs and government spending. The U.S. Congress and certain state legislatures have considered and passed a large number of laws affecting the healthcare industry, including laws intended to impact access to health insurance. The most prominent of these legislative reform efforts, the ACA affects how healthcare services are covered, delivered, and reimbursed, and expanded health insurance coverage through a combination of public program expansion and private sector health insurance reforms. The ACA has been, and continues to be, subject to legislative and regulatory changes and court challenges. Although the current presidential administration has indicated that it generally intends to protect and strengthen the ACA, it is possible that changes by Congress or government agencies could eliminate or alter provisions beneficial to us, while leaving in place provisions reducing our reimbursement or otherwise negatively impacting our business.</w:t>
      </w:r>
    </w:p>
    <w:p>
      <w:pPr>
        <w:spacing w:after="0" w:line="8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addition, CMS administrators may make changes to Medicaid payment models or grant various flexibilities to states in the administration of state Medicaid programs, including by expanding the scope of waivers under which states may implement Medicaid expansion provisions, impose different eligibility or enrollment restrictions, or otherwise implement programs that vary from federal standards. Some of these program changes may reduce the number of Medicaid enrollees in certain states.</w:t>
      </w:r>
    </w:p>
    <w:p>
      <w:pPr>
        <w:spacing w:after="0" w:line="79" w:lineRule="exact"/>
        <w:rPr>
          <w:sz w:val="20"/>
          <w:szCs w:val="20"/>
          <w:color w:val="auto"/>
        </w:rPr>
      </w:pPr>
    </w:p>
    <w:p>
      <w:pPr>
        <w:jc w:val="both"/>
        <w:ind w:right="280" w:firstLine="509"/>
        <w:spacing w:after="0" w:line="287" w:lineRule="auto"/>
        <w:rPr>
          <w:sz w:val="20"/>
          <w:szCs w:val="20"/>
          <w:color w:val="auto"/>
        </w:rPr>
      </w:pPr>
      <w:r>
        <w:rPr>
          <w:rFonts w:ascii="Arial" w:cs="Arial" w:eastAsia="Arial" w:hAnsi="Arial"/>
          <w:sz w:val="16"/>
          <w:szCs w:val="16"/>
          <w:color w:val="auto"/>
        </w:rPr>
        <w:t>Other recent reform initiatives and proposals at the federal and state levels include those focused on price transparency and value-based pricing, which may impact our competitive position, patient volumes, and the relationships between providers, patients, and payors. For example, the CMS Care Compare website makes publicly available certain data on home health agency and hospice performance on quality measures and patient satisfaction.</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Medicare reimbursement is tied to reporting of quality measures. In addition, among other consumer protections, the No Surprises Act imposes various requirements on providers and health plans that are intended to prevent “surprise” medical bills. The law generally requires providers to send an insured patient’s health plan a good faith estimate of expected charges, including billing and diagnostic codes, prior to when the patient is scheduled to receive the item or service.</w:t>
      </w:r>
    </w:p>
    <w:p>
      <w:pPr>
        <w:spacing w:after="0" w:line="85"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There is uncertainty regarding whether, when and what other health reform measures will be adopted through governmental avenues and/or the private sector, the timing and implementation of any such efforts, and the impact of those efforts on providers as well as other healthcare industry participants. Some members of Congress have proposed expanding government-funded coverage, including proposals to expand coverage of federally-funded insurance programs as an alternative to private insurance or to establish a single payor system (such reforms are often referred to as “Medicare for All”), and some states have implemented or proposed public health insurance options. We are unable to predict the nature and success of current and future healthcare reform initiatives, any of which may have an adverse effect on our business, financial condition, and operating results.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industry trend toward value-based purchasing may negatively impact our revenues.</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There is a trend in the healthcare industry toward value-based purchasing of healthcare services among both government and commercial payors. Generally, value-based purchasing programs emphasize quality of outcome and efficiency of care provided, rather than quantity of care provided. For example, Medicare requires hospices and home health agencies to report certain quality data in order to receive full reimbursement. Failure to report quality data or poor performance may negatively impact the amount of reimbursement received. In addition, CMS publishes home health and hospice quality measure data online, through its Care Compare website, to allow consumers and others to search and compare data for Medicare-certified providers. Alongside this quality and public reporting effort, CMS began implementing a nationwide expansion of the HHVBP Model in January 2022.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In the future, CMS may establish new value-based purchasing programs affecting a broader range of providers, some of which may be mandatory. Initiatives aimed at improving quality and cost of care include alternative payment models, such as ACOs and bundled payment arrangements. The CMS Innovation Center is aiming to have all fee-for-service Medicare beneficiaries and most Medicaid beneficiaries in a care relationship with accountability for quality and total cost of care by 2030. There are also several state-driven value-based care initiatives. For example, some states have aligned quality metrics across payors through legislation or regulation. Commercial payors are shifting toward value-based reimbursement arrangements as well.</w:t>
      </w:r>
    </w:p>
    <w:p>
      <w:pPr>
        <w:spacing w:after="0" w:line="53"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We expect value-based purchasing programs, including programs that condition reimbursement on patient outcome measures, to become more common and to involve a higher percentage of reimbursement amounts. It is unclear whether alternative models will successfully coordinate care and reduce costs or whether they will decrease overall reimbursement. While we believe we are adapting our business strategies to compete in a value-based reimbursement environment, we are unable at this time to predict how this trend will affect our results of operations.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causing our revenues, financial position, results of operations and cash flows to decline.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Risks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operations subject us to risk of litigation.</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Operating in the personal care services industry exposes us to an inherent risk of wrongful death, personal injury, professional malpractice and other potential claims or litigation brought by our consumers and employees. From time to time, we are subject to claims alleging that we did not properly treat or care for a consumer that we failed to follow internal or external procedures that resulted in death or harm to a consumer or that our employees mistreated our consumers, resulting in death or harm. We are also subject to claims arising out of accidents involving vehicle collisions brought by consumers whom we are transporting, from employees driving to or from home visits or other affected individuals. We may also be subject to lawsuits from patients, employees and others exposed to COVID-19 at our facilities or in connection with the services provided by our workforce in client residences and third party facilities. Our professional and general liability insurance may not cover all claims against us.</w:t>
      </w:r>
    </w:p>
    <w:p>
      <w:pPr>
        <w:spacing w:after="0" w:line="69"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In addition, regulatory agencies may initiate administrative proceedings alleging violations of statutes and regulations arising from our services and seek to impose monetary penalties on us. We could be required to pay substantial amounts to respond to regulatory investigations or, if we do not prevail, damages or penalties arising from these legal proceedings. We also are subject to potential lawsuits under the federal FCA or other federal and state whistleblower statutes designed to combat fraud and abuse in our industry. These and other similar lawsuits can involve significant monetary awards or penalties that may not be covered by our insurance. If our third-party insurance coverage and self-insurance coverage reserves are not adequate to cover these claims, it could have a material adverse effect on our business, results of operations and financial condition. Even if we are successful in our defense, civil lawsuits or regulatory proceedings could distract us from running our business or irreparably damage our reputation.</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insurance liability coverage may not be sufficient for our business needs.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Although we maintain insurance consistent with industry practice, the insurance we maintain may not be sufficient to satisfy all claims made against us. We cannot assure you that claims will not be made in the future in excess of the limits of our insurance, and any such claims, if successful and in excess of such limits, may have a material adverse effect on our business or assets. We utilize historical data to estimate our reserves for our insurance programs. If losses on asserted claims exceed the current insurance coverage and accrued reserves, our business, results of operations and financial condition could be adversely affected. Changes in our annual insurance costs and self-insured retention limits depend in large part on the insurance market, and insurance coverage may not continue to be available to us at commercially reasonable rates, in adequate amounts or on satisfactory terms.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and Privacy Risks</w:t>
      </w:r>
    </w:p>
    <w:p>
      <w:pPr>
        <w:spacing w:after="0" w:line="121"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Our business depends on the proper functioning, availability, and security of our information systems. Our operations may be disrupted if we are unable to effectively integrate, manage and maintain the security of our information systems.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business depends on effective and secure information systems that assist us in, among other things, gathering information to improve the quality of consumer care, optimizing financial performance, adjusting consumer mix, monitoring regulatory compliance and enhancing staff efficiency. We rely on external service providers to provide continual maintenance, upgrading, and enhancement of our primary information systems used for our operational needs. The software we license for our various patient information systems supports intake, personnel scheduling, office clinical and centralized billing and receivables management in an integrated database, enabling us to standardize the care delivered across our network of offices and monitor our performance and consumer outcomes. Information systems may be vulnerable to damage from a variety of sources, including telecommunications or network failures, human acts and natural disasters.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To the extent providers fail to support the software or systems, or if we lose our licenses, our operations could be negatively affected. Our business also depends on a comprehensive payroll and human resources system for basic payroll functions and reporting, payroll tax reporting, managing wage assignments and garnishments. We rely on an external service provider, ADP, to provide continual maintenance, upgrading and enhancement of our primary human resource and payroll systems. To the extent that ADP fails to support the software or systems, or any of the related support services provided by them, our internal operations could be negatively affected.</w:t>
      </w:r>
    </w:p>
    <w:p>
      <w:pPr>
        <w:spacing w:after="0" w:line="80"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Our business also supports the use of EVV to collect visit submission information through our delivery of home care services. Our solution uses a combination of IVR and GPS enabled smartphones to capture time in and time out, mileage and travel time, as well as the completed care plan tasks. We license this software through CellTrak along with partnering with states who utilize other software. We rely on these providers to provide continual maintenance, enhancements, as well as security of any protected data. To the extent that our EVV vendors fail to support these processes, our internal operations could be negatively affected. Under the 21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Century Cures Act, as amended, states must require the use of EVV for all Medicaid-funded personal care services and home health services, by deadlines of January 1, 2020, and January 1, 2023, respectively. States that failed to meet these deadlines may be subject to incremental reductions in federal funding, absent approval of a good faith exemption. If any states in which we operate fail to properly implement EVV and lose an amount of their funding, or if those states adopt standards for EVV that are not compatible with our operations, our internal operations could be negatively affected. Further, to the extent that the EVV solutions that we use are determined to be noncompliant with federal or state EVV requirements, we could be subject to penalties.</w:t>
      </w:r>
    </w:p>
    <w:p>
      <w:pPr>
        <w:spacing w:after="0" w:line="81" w:lineRule="exact"/>
        <w:rPr>
          <w:sz w:val="20"/>
          <w:szCs w:val="20"/>
          <w:color w:val="auto"/>
        </w:rPr>
      </w:pPr>
    </w:p>
    <w:p>
      <w:pPr>
        <w:ind w:right="400" w:firstLine="509"/>
        <w:spacing w:after="0" w:line="342" w:lineRule="auto"/>
        <w:rPr>
          <w:sz w:val="20"/>
          <w:szCs w:val="20"/>
          <w:color w:val="auto"/>
        </w:rPr>
      </w:pPr>
      <w:r>
        <w:rPr>
          <w:rFonts w:ascii="Arial" w:cs="Arial" w:eastAsia="Arial" w:hAnsi="Arial"/>
          <w:sz w:val="16"/>
          <w:szCs w:val="16"/>
          <w:color w:val="auto"/>
        </w:rPr>
        <w:t>The COVID-19 pandemic also has led to a substantial increase in administrative employees working remotely and, consequently, accessing our system remotely. As a result, we are more dependent on our systems that facilitate remote access and potentially could experience increased risks.</w:t>
      </w:r>
    </w:p>
    <w:p>
      <w:pPr>
        <w:spacing w:after="0" w:line="1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have taken precautionary measures designed to prevent problems that could affect our information systems. We have implemented backup of our key information systems that are designed to allow our operations to failover to our geographically separate disaster recovery datacenter with a quick return to operations for all sites and systems in the event our main datacenter becomes inoperable because of a natural disaster, attacks or other cause. All of our sites and branch offices have redundant connections to our primary and backup datacenters using data lines and cellular connections through VPN or MPLS. The key business functions for our main sites also have redundancies with key functions geographically split between our two main facilities, should one not be available due to the above mentioned scenarios. While we believe these measures are reasonable, no system of information security is able to eliminate the risk of business disruptions, and we or our third-party vendors that we rely upon may experience system failures.</w:t>
      </w:r>
    </w:p>
    <w:p>
      <w:pPr>
        <w:spacing w:after="0" w:line="58"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If we experience a reduction in the performance, reliability, or availability of our information systems, our operations and ability to process transactions and produce timely and accurate reports could be adversely affected.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 The occurrence of any system failure could result in interruptions, delays, the loss or corruption of data and cessations or interruptions in the availability of systems, all of which could have a material, adverse effect on our financial position and results of operations and harm our business reputation.</w:t>
      </w:r>
    </w:p>
    <w:p>
      <w:pPr>
        <w:spacing w:after="0" w:line="84" w:lineRule="exact"/>
        <w:rPr>
          <w:sz w:val="20"/>
          <w:szCs w:val="20"/>
          <w:color w:val="auto"/>
        </w:rPr>
      </w:pPr>
    </w:p>
    <w:p>
      <w:pPr>
        <w:ind w:left="260" w:right="120"/>
        <w:spacing w:after="0" w:line="263" w:lineRule="auto"/>
        <w:rPr>
          <w:sz w:val="20"/>
          <w:szCs w:val="20"/>
          <w:color w:val="auto"/>
        </w:rPr>
      </w:pPr>
      <w:r>
        <w:rPr>
          <w:rFonts w:ascii="Arial" w:cs="Arial" w:eastAsia="Arial" w:hAnsi="Arial"/>
          <w:sz w:val="18"/>
          <w:szCs w:val="18"/>
          <w:b w:val="1"/>
          <w:bCs w:val="1"/>
          <w:i w:val="1"/>
          <w:iCs w:val="1"/>
          <w:color w:val="auto"/>
        </w:rPr>
        <w:t>A cyber-attack or security breach could cause a loss of confidential consumer data, give rise to remediation and other expenses, expose us to liability under HIPAA, consumer protection laws, common law and other legal theories, subject us to litigation and federal and state governmental inquiries, damage our reputation, and otherwise be disruptive to our business.</w:t>
      </w:r>
    </w:p>
    <w:p>
      <w:pPr>
        <w:spacing w:after="0" w:line="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rely extensively on computer systems to manage clinical and financial data, to communicate with our consumers, payors, vendors and other third parties, and to summarize and analyze our operating results. We frequently exchange clinical and financial data with third parties in connection with our routine operations and in order to meet our contractual and regulatory obligations. We are required to comply with the federal and state privacy and security laws and requirements, including HIPAA.</w:t>
      </w:r>
    </w:p>
    <w:p>
      <w:pPr>
        <w:spacing w:after="0" w:line="7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various states, including California, Colorado, Illinois, Nevada, New York, Massachusetts and Virginia have enacted, and other states are expected to enact, laws and regulations concerning privacy, data protection and information security. To the extent we are subject to such legislation, the potential effects of new legislation are often far-reaching and may require us to modify our data processing practices and policies and to incur substantial costs and expenses in an effort to comply. These laws often provide for civil penalties for violations, as well as a private right of action for data breaches that may increase data breach litigation.</w:t>
      </w:r>
    </w:p>
    <w:p>
      <w:pPr>
        <w:spacing w:after="0" w:line="8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have invested in security measures designed to protect against the threat of security breaches and cyber-attacks, including email phishing schemes, malware and ransomware. However, our technology, and that of our third-party service providers, may fail to adequately secure the protected health information and personally identifiable information we create, receive, transmit and maintain in our databases. We may be at increased risk because we outsource certain services or functions to, or have systems that interface with, third parties. These third parties may store or have access to our data. The information systems of third parties are also subject to various risks, and a breach or attack affecting any of these third parties could harm our business. Furthermore, because the techniques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used in cyber-attacks change frequently, they may not be immediately recognized, and we may experience or be affected by security or data breaches that remain undetected for an extended time.</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In spite of our policies, procedures and other security measures used to protect our computer systems and data, occasionally, we have experienced breaches that have required us to notify affected consumers and the government, and we have worked with consumers and the government to resolve such issues. While these past breaches have not had a significant adverse impact on our business or results of operations, there can be no assurance that we will not be subject to additional and/or more severe cyber-attacks or security breaches in the future. If we or any of our third-party service providers or certain other third-parties are subject to cyber-attacks or experience security or data breaches in the future, this could result in harm to consumers, loss of protected patient medical data or other information subject to privacy laws, disruption to our information technology systems and/or business, reputational harm. Subject us to litigation and governmental enforcement actions (including under HIPAA and other applicable laws), which could result in fines, settlement agreements, corrective action plans, and of which could have a material adverse effect on our business, financial position and results of operations. Further, some of the losses associated with cybersecurity and data breach risks may not be sufficient to cover all losses or the types of claims that may arise.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Risks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attract and retain qualified personnel or we may incur increased costs in doing so.</w:t>
      </w:r>
    </w:p>
    <w:p>
      <w:pPr>
        <w:spacing w:after="0" w:line="117"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We must attract and retain qualified non-executive personnel in the markets in which we operate in order to provide our services. We compete for personnel with other providers of social and medical services as well as companies in other service-based industries. As the labor market continues to be tight and unemployment remains at low levels, the competition for employees has increased, which will continue to impact our ability to attract and retain new caregivers. In addition, the competition for skilled healthcare staff has increased significantly, which continues to impact our ability to attract and retain qualified skilled healthcare staff. To the extent that the United States continues to have low unemployment levels and shortages of caregivers and skilled healthcare staff, it may continue to hinder our ability to attract and retain sufficient caregivers and skilled healthcare staff to meet the continuing demand for both our non-clinical and clinical services. Moreover, the increased staffing challenges have resulted in, and may continue to result in, increased labor cost to satisfy our staffing requirements. In addition, labor shortages could be further exacerbated by COVID-19 vaccination requirements.</w:t>
      </w:r>
    </w:p>
    <w:p>
      <w:pPr>
        <w:spacing w:after="0" w:line="57"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We may not be able to offset higher labor costs by increasing the rates we charge for our services. In addition, if we fail to attract and retain qualified and skilled personnel, our ability to conduct our business operations effectively and our results of operations would be harmed.</w:t>
      </w:r>
    </w:p>
    <w:p>
      <w:pPr>
        <w:spacing w:after="0" w:line="38"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Competition may be greater for managers, such as regional and agency directors. Our ability to attract and retain personnel depends on several factors, including our ability to provide employees with attractive assignments and competitive benefits and salaries. The loss of one or more of the members of the executive management team or the inability of a new management team to successfully execute our strategies may adversely affect our business. If we are unable to attract and retain qualified personnel, we may be unable to provide our services, the quality of our services may decline, and we could lose consumers and referral sources.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the services of our executive team members.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success depends upon the continued employment of certain members of our executive team to manage several of our key functional areas, including operations, business development, accounting, finance, human resources, marketing, information systems, contracting and compliance. Moreover, the current competitive labor market may make it more difficult to retain or hire members of our executive team. The departure of any member of our executive team may materially adversely affect our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Indebtedness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adversely affect 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credit facility contains various covenants that limit our ability to take certain actions, including our ability to:</w:t>
      </w:r>
    </w:p>
    <w:p>
      <w:pPr>
        <w:spacing w:after="0" w:line="117" w:lineRule="exact"/>
        <w:rPr>
          <w:sz w:val="20"/>
          <w:szCs w:val="20"/>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create, incur, assume or suffer to exist any lien;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consolidate, sell or otherwise dispose of all or substantially all our assets;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restricted payments, including paying dividends and making certain loans and investments;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create, incur, assume, permit to exist, or otherwise become or remain directly or indirectly liable with respect to any additional indebtedness;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any line of additional line of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 our organization documents;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make a change in accounting treatment or reporting practices, change our name or change our jurisdiction of organization or formation;</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payment or prepayment of certain subordinated indebtedness;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agreements that restrict dividends and certain other payments from subsidiaries;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 in a sale leaseback or similar transaction;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addition, our credit facility contains restrictive covenants and requires us to maintain specified financial ratios and satisfy other financial condition tests. Our ability to meet these restrictive covenants and financial ratios and tests may be affected by events beyond our control, and we cannot assure you that we will meet those tests.</w:t>
      </w:r>
    </w:p>
    <w:p>
      <w:pPr>
        <w:spacing w:after="0" w:line="76"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 breach of any of these covenants could result in a default under our credit facility. Upon the occurrence of an event of default under our credit facility, all amounts outstanding under our credit facility may become immediately due and payable and all commitments under our credit facility to extend further credit may be terminated. The acceleration of any such indebtedness will result in an event of default under all of our other long-term indebtedness.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potential cessation or modification of LIBOR may increase our interest expense or otherwise adversely affect us.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 substantial portion of our indebtedness under the credit facility bears interest at variable interest rates that use the London Inter-Bank Offered Rate (“LIBOR”) as a reference rate. On July 27, 2017, the United Kingdom’s Financial Conduct Authority (the “FCA”), which regulates LIBOR, announced that it intends to phase out LIBOR as a reference rate. The FCA ceased publication of U.S. dollar LIBOR on December 31, 2021 in the case of one week and two month U.S. Dollar LIBOR tenors and intends to phase out LIBOR for all other U.S. Dollar tenors immediately after June 30, 2023. The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b w:val="1"/>
          <w:bCs w:val="1"/>
          <w:i w:val="1"/>
          <w:iCs w:val="1"/>
          <w:color w:val="auto"/>
        </w:rPr>
        <w:t>Factors beyond our control, including inclement weather, natural disasters, acts of terrorism, pandemics, riots, civil insurrection or social unrest, looting, protests, strikes and street demonstrations, may impact our ability to provide services.</w:t>
      </w:r>
    </w:p>
    <w:p>
      <w:pPr>
        <w:spacing w:after="0" w:line="62" w:lineRule="exact"/>
        <w:rPr>
          <w:sz w:val="20"/>
          <w:szCs w:val="20"/>
          <w:color w:val="auto"/>
        </w:rPr>
      </w:pPr>
    </w:p>
    <w:p>
      <w:pPr>
        <w:ind w:right="140" w:firstLine="509"/>
        <w:spacing w:after="0" w:line="286" w:lineRule="auto"/>
        <w:rPr>
          <w:sz w:val="20"/>
          <w:szCs w:val="20"/>
          <w:color w:val="auto"/>
        </w:rPr>
      </w:pPr>
      <w:r>
        <w:rPr>
          <w:rFonts w:ascii="Arial" w:cs="Arial" w:eastAsia="Arial" w:hAnsi="Arial"/>
          <w:sz w:val="16"/>
          <w:szCs w:val="16"/>
          <w:color w:val="auto"/>
        </w:rPr>
        <w:t>Adverse weather conditions, natural disasters, acts of terrorism, military conflict, pandemics, riots, civil insurrection or social unrest, looting, protests, strikes or street demonstrations may prevent our employees from providing authorized services. We are not paid for authorized services that are not delivered due to these events. Furthermore, prolonged disruptions as a result of such events in the markets in which we operate could disrupt our relationships with consumers, patients, caregivers and employees and referral sources located in affected areas and, in the case of our corporate office, our ability to provide administrative support services, including billing and collection services. For example, one of our support centers and a number of our agencies are located in the Midwestern United States, New York and California, increasing our exposure to blizzards and other major snowstorms, ice storms, tornadoes, flooding, wildfires and earthquakes. The impact of disasters and similar events is inherently uncertain. Moreover, adverse weather conditions may become more frequent and/or severe as the result of climate change. Moreover, we could be affected by climate change and other environmental issues to the extent such issues adversely affect the general economy, adversely impact our supply chain or increase the costs of supplies needed for our operations, or otherwise result in disruptions impacting the communities in which our facilities are located. In addition, legal requirements regulating greenhouse gas emissions and energy inputs or otherwise associated with the transition to a lower carbon economy may increase in the future, which could increase our costs associated with compliance and otherwise disrupt and adversely affect our operations. The impact of these or other factors beyond our control could have an adverse effect on our business, financial position and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do not own any real property. We lease administrative offices for our local branches, none of which are individually material. We lease approximately 59,000 and 106,000 square feet of office space in Downers Grove, Illinois and Frisco, Texas, respectively, which serve as our support centers. We sublease approximately 21,000 and 53,000 square feet of our office space in Downers Grove and Frisco, respectively, to third parties. Of that 53,000 square feet of our Frisco office space, we subleased approximately 37,400 square feet in November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Further information with respect to this item may be found in Note 11 to the Consolidated Financial Statements in Part II, Item 8—”Financial Statements and Supplementary Data,”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20" w:right="340" w:hanging="10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“ADUS.”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As of December 31, 2022, 2.0% of our shares of common stock were held by our officers and directors and approximately 98.0% of our common stock was held by 342 institutional investors. An insignificant amount of common stock is held by individual holders. As of February 17, 2023, Addus HomeCare Corporation had approximately 28,340 shareholders of its common stock, including 79 shareholders of record.</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never paid dividends on our common stock, including in the two most recent fiscal years, and we do not intend to pay any dividends on our common stock in the foreseeable future. We currently plan to retain any earnings to support the operation, and to finance the growth, of our business rather than to pay cash dividends. Payments of any cash dividends in the future will depend on our financial condition, capital requirements, credit facility limitations, earnings, as well as other factors deemed relevant by our Board.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$7.5 million per annum.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w:t>
      </w: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i w:val="1"/>
          <w:iCs w:val="1"/>
          <w:color w:val="auto"/>
        </w:rPr>
        <w:t>You should read the following discussion together with our Consolidated Financial Statements and the related notes included elsewhere in this Annual Report on Form 10-K. This discussion contains forward-looking statements about our business and operations. Our actual results may differ materially from those we currently anticipate as a result of the factors we describe under “Risk Factors” and elsewhere in this Annual Report on Form 10-K and other risks as well as other factors that are not currently known to us, that we currently consider immaterial or that are not specific to us, such as general economic conditions. The discussion of our financial condition and results of operations for the year ended December 31, 2021 compared to the year ended December 31, 2020, included in Item 7. Management’s Discussion and Analysis of Financial Condition and Results of Operations (“MD&amp;A”) can be found in the Annual Report on Form 10-K for the year ended December 31,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36.0%, 37.2% and 38.6% of our revenue during the years ended December 31, 2022, 2021, and 2020 respectively.</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certain consolidated financial and statistical data results for 2022, 2021 and 2020 are provided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For the Years Ended December 31,</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1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(Amounts</w:t>
            </w:r>
          </w:p>
        </w:tc>
        <w:tc>
          <w:tcPr>
            <w:tcW w:w="260" w:type="dxa"/>
            <w:vAlign w:val="bottom"/>
          </w:tcPr>
          <w:p>
            <w:pPr>
              <w:ind w:left="100"/>
              <w:spacing w:after="0"/>
              <w:rPr>
                <w:sz w:val="20"/>
                <w:szCs w:val="20"/>
                <w:color w:val="auto"/>
              </w:rPr>
            </w:pPr>
            <w:r>
              <w:rPr>
                <w:rFonts w:ascii="Arial" w:cs="Arial" w:eastAsia="Arial" w:hAnsi="Arial"/>
                <w:sz w:val="14"/>
                <w:szCs w:val="14"/>
                <w:b w:val="1"/>
                <w:bCs w:val="1"/>
                <w:color w:val="auto"/>
              </w:rPr>
              <w:t>in</w:t>
            </w:r>
          </w:p>
        </w:tc>
        <w:tc>
          <w:tcPr>
            <w:tcW w:w="2580" w:type="dxa"/>
            <w:vAlign w:val="bottom"/>
            <w:gridSpan w:val="4"/>
          </w:tcPr>
          <w:p>
            <w:pPr>
              <w:spacing w:after="0"/>
              <w:rPr>
                <w:sz w:val="20"/>
                <w:szCs w:val="20"/>
                <w:color w:val="auto"/>
              </w:rPr>
            </w:pPr>
            <w:r>
              <w:rPr>
                <w:rFonts w:ascii="Arial" w:cs="Arial" w:eastAsia="Arial" w:hAnsi="Arial"/>
                <w:sz w:val="14"/>
                <w:szCs w:val="14"/>
                <w:b w:val="1"/>
                <w:bCs w:val="1"/>
                <w:color w:val="auto"/>
                <w:w w:val="92"/>
              </w:rPr>
              <w:t>Thousands, except States and Locations)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951,120</w:t>
            </w:r>
          </w:p>
        </w:tc>
        <w:tc>
          <w:tcPr>
            <w:tcW w:w="6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864,499</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100" w:type="dxa"/>
            <w:vAlign w:val="bottom"/>
            <w:shd w:val="clear" w:color="auto" w:fill="CFF0FC"/>
          </w:tcPr>
          <w:p>
            <w:pPr>
              <w:spacing w:after="0"/>
              <w:rPr>
                <w:sz w:val="21"/>
                <w:szCs w:val="21"/>
                <w:color w:val="auto"/>
              </w:rPr>
            </w:pPr>
          </w:p>
        </w:tc>
      </w:tr>
      <w:tr>
        <w:trPr>
          <w:trHeight w:val="23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46,025</w:t>
            </w: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45,126</w:t>
            </w: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100" w:type="dxa"/>
            <w:vAlign w:val="bottom"/>
          </w:tcPr>
          <w:p>
            <w:pPr>
              <w:spacing w:after="0"/>
              <w:rPr>
                <w:sz w:val="20"/>
                <w:szCs w:val="20"/>
                <w:color w:val="auto"/>
              </w:rPr>
            </w:pPr>
          </w:p>
        </w:tc>
      </w:tr>
      <w:tr>
        <w:trPr>
          <w:trHeight w:val="20"/>
        </w:trPr>
        <w:tc>
          <w:tcPr>
            <w:tcW w:w="1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auto"/>
            </w:tcBorders>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937,994</w:t>
            </w:r>
          </w:p>
        </w:tc>
        <w:tc>
          <w:tcPr>
            <w:tcW w:w="26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947,585</w:t>
            </w:r>
          </w:p>
        </w:tc>
        <w:tc>
          <w:tcPr>
            <w:tcW w:w="26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100" w:type="dxa"/>
            <w:vAlign w:val="bottom"/>
            <w:shd w:val="clear" w:color="auto" w:fill="CFF0FC"/>
          </w:tcPr>
          <w:p>
            <w:pPr>
              <w:spacing w:after="0"/>
              <w:rPr>
                <w:sz w:val="19"/>
                <w:szCs w:val="19"/>
                <w:color w:val="auto"/>
              </w:rPr>
            </w:pPr>
          </w:p>
        </w:tc>
      </w:tr>
      <w:tr>
        <w:trPr>
          <w:trHeight w:val="243"/>
        </w:trPr>
        <w:tc>
          <w:tcPr>
            <w:tcW w:w="158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36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4"/>
                <w:szCs w:val="24"/>
                <w:color w:val="auto"/>
                <w:vertAlign w:val="superscript"/>
              </w:rPr>
              <w:t>(1)</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101,480</w:t>
            </w:r>
          </w:p>
        </w:tc>
        <w:tc>
          <w:tcPr>
            <w:tcW w:w="6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97,661</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76,907</w:t>
            </w:r>
          </w:p>
        </w:tc>
        <w:tc>
          <w:tcPr>
            <w:tcW w:w="100" w:type="dxa"/>
            <w:vAlign w:val="bottom"/>
            <w:shd w:val="clear" w:color="auto" w:fill="CFF0FC"/>
          </w:tcPr>
          <w:p>
            <w:pPr>
              <w:spacing w:after="0"/>
              <w:rPr>
                <w:sz w:val="21"/>
                <w:szCs w:val="21"/>
                <w:color w:val="auto"/>
              </w:rPr>
            </w:pPr>
          </w:p>
        </w:tc>
      </w:tr>
      <w:tr>
        <w:trPr>
          <w:trHeight w:val="237"/>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States served at period end</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r>
      <w:tr>
        <w:trPr>
          <w:trHeight w:val="249"/>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Locations at period end</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21"/>
                <w:szCs w:val="21"/>
                <w:color w:val="auto"/>
              </w:rPr>
            </w:pPr>
          </w:p>
        </w:tc>
      </w:tr>
      <w:tr>
        <w:trPr>
          <w:trHeight w:val="135"/>
        </w:trPr>
        <w:tc>
          <w:tcPr>
            <w:tcW w:w="1580" w:type="dxa"/>
            <w:vAlign w:val="bottom"/>
            <w:tcBorders>
              <w:bottom w:val="single" w:sz="8" w:color="auto"/>
            </w:tcBorders>
          </w:tcPr>
          <w:p>
            <w:pPr>
              <w:spacing w:after="0"/>
              <w:rPr>
                <w:sz w:val="11"/>
                <w:szCs w:val="11"/>
                <w:color w:val="auto"/>
              </w:rPr>
            </w:pPr>
          </w:p>
        </w:tc>
        <w:tc>
          <w:tcPr>
            <w:tcW w:w="3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71" w:lineRule="exact"/>
        <w:rPr>
          <w:sz w:val="20"/>
          <w:szCs w:val="20"/>
          <w:color w:val="auto"/>
        </w:rPr>
      </w:pPr>
    </w:p>
    <w:p>
      <w:pPr>
        <w:ind w:left="760" w:right="60" w:hanging="378"/>
        <w:spacing w:after="0" w:line="286"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Company defines adjusted EBITDA as earnings before discontinued operations, net interest expense, income tax expense, depreciation and amortization, acquisition and de novo expenses, stock-based compensation expense, restructure expenses and other costs, gain or loss on the sale of assets and secondary offering costs. The Company defined adjusted EBITDA to exclude net COVID expenses arising from the pandemic from the second quarter of 2020 to the first quarter of 2021.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 Management believes that Adjusted EBITDA is useful to investors, management and others in evaluating the Company’s operating performance, to provide investors with insight and consistency in the Company’s financial reporting and to present a basis for comparison of the Company’s business operations among periods, and to facilitate comparison with the results of the Company’s peers. Additionally, we believe that Adjusted EBITDA is a measure widely used by securities analysts, investors and others to evaluate the financial performance of other public companies. The financial results presented in accordance with U.S. GAAP and a reconciliation of this non-GAAP measure included within this Annual Report on Form 10-K should be carefully evaluated.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spacing w:after="0" w:line="1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On August 1, 2021, we completed the acquisition of Armada Skilled Homecare of New Mexico LLC, Armada Hospice of New Mexico LLC and Armada Hospice of Santa Fe LLC (collectively, “Armada”) for approximately $29.8 million, including the amount of acquired excess cash held by Armada at the closing of the acquisition (approximately $0.7 million), with funding provided by our revolving credit facility. With the purchase of Armada, we expanded our home health and hospice services in the state of New Mexico.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80" w:firstLine="509"/>
        <w:spacing w:after="0" w:line="308" w:lineRule="auto"/>
        <w:rPr>
          <w:sz w:val="20"/>
          <w:szCs w:val="20"/>
          <w:color w:val="auto"/>
        </w:rPr>
      </w:pPr>
      <w:r>
        <w:rPr>
          <w:rFonts w:ascii="Arial" w:cs="Arial" w:eastAsia="Arial" w:hAnsi="Arial"/>
          <w:sz w:val="17"/>
          <w:szCs w:val="17"/>
          <w:color w:val="auto"/>
        </w:rPr>
        <w:t>On October 1, 2021, we completed the acquisition of Summit Home Health, LLC (“Summit”) for approximately $8.1 million, with funding provided by available cash. With the purchase of Summit, we added clinical services in Illinois to our home health segment.</w:t>
      </w:r>
    </w:p>
    <w:p>
      <w:pPr>
        <w:spacing w:after="0" w:line="14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On February 1, 2022, we completed the acquisition of the operations of JourneyCare Inc. (“JourneyCare”). The purchase price was approximately $86.6 million, including the amount of acquired excess cash held by JourneyCare at the closing of the acquisition (approximately $0.4 million). The JourneyCare acquisition was funded with a combination of a $35.0 million draw on the Company’s revolving credit facility and available cash. With the JourneyCare acquisition, the Company expanded its hospice services in the state of Illinois.</w:t>
      </w:r>
    </w:p>
    <w:p>
      <w:pPr>
        <w:spacing w:after="0" w:line="171"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On October 1, 2022, we completed the acquisition of Apple Home HealthCare, LTD (“Apple Home”) for $12.7 million, with funding provided by drawing on the Company’s revolving credit facility. With the purchase of Apple Home, the Company expanded clinical services for its home health segment in Illinois.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2022, 2021 and 2020, our revenue by payor and significant states by segment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Personal Care</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6"/>
                <w:szCs w:val="16"/>
                <w:color w:val="auto"/>
              </w:rPr>
            </w:pPr>
          </w:p>
        </w:tc>
        <w:tc>
          <w:tcPr>
            <w:tcW w:w="14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8"/>
                <w:szCs w:val="18"/>
                <w:color w:val="auto"/>
              </w:rPr>
              <w:t>State, local and other governmental</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programs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348,234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338,325</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324,670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Managed care organizations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326,778</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311,801</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287,032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Private pay</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18,301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19,991</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insurance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7,689</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9,820</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personal care segment net</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706,507</w:t>
            </w:r>
          </w:p>
        </w:tc>
        <w:tc>
          <w:tcPr>
            <w:tcW w:w="2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685,854</w:t>
            </w:r>
          </w:p>
        </w:tc>
        <w:tc>
          <w:tcPr>
            <w:tcW w:w="22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20" w:type="dxa"/>
            <w:vAlign w:val="bottom"/>
          </w:tcPr>
          <w:p>
            <w:pPr>
              <w:ind w:left="20"/>
              <w:spacing w:after="0"/>
              <w:rPr>
                <w:sz w:val="20"/>
                <w:szCs w:val="20"/>
                <w:color w:val="auto"/>
              </w:rPr>
            </w:pPr>
            <w:r>
              <w:rPr>
                <w:rFonts w:ascii="Arial" w:cs="Arial" w:eastAsia="Arial" w:hAnsi="Arial"/>
                <w:sz w:val="18"/>
                <w:szCs w:val="18"/>
                <w:color w:val="auto"/>
              </w:rPr>
              <w:t>Illinois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360,778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328,619</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288,326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York</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86,592</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99,732</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115,510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New Mexico</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105,315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97,784</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states</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153,822</w:t>
            </w: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159,719</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156,779</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8"/>
                <w:szCs w:val="18"/>
                <w:color w:val="auto"/>
              </w:rPr>
              <w:t>Total personal care segment net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706,507</w:t>
            </w:r>
          </w:p>
        </w:tc>
        <w:tc>
          <w:tcPr>
            <w:tcW w:w="2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685,854</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0"/>
              <w:spacing w:after="0" w:line="203" w:lineRule="exact"/>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-1439545</wp:posOffset>
            </wp:positionV>
            <wp:extent cx="4328795"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28795" cy="17970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-796290</wp:posOffset>
            </wp:positionV>
            <wp:extent cx="76835"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-796290</wp:posOffset>
            </wp:positionV>
            <wp:extent cx="77470" cy="300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-796290</wp:posOffset>
            </wp:positionV>
            <wp:extent cx="6858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-796290</wp:posOffset>
            </wp:positionV>
            <wp:extent cx="6858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-796290</wp:posOffset>
            </wp:positionV>
            <wp:extent cx="6858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-796290</wp:posOffset>
            </wp:positionV>
            <wp:extent cx="6858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Hospice</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Pr>
          <w:p>
            <w:pPr>
              <w:spacing w:after="0"/>
              <w:rPr>
                <w:sz w:val="16"/>
                <w:szCs w:val="16"/>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6"/>
                <w:szCs w:val="16"/>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183,407</w:t>
            </w:r>
          </w:p>
        </w:tc>
        <w:tc>
          <w:tcPr>
            <w:tcW w:w="2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142,086</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94,068</w:t>
            </w: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Managed care organizations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5,664</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11,012</w:t>
            </w:r>
          </w:p>
        </w:tc>
        <w:tc>
          <w:tcPr>
            <w:tcW w:w="2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w:t>
            </w: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hospice segment net</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201,772</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152,253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101,297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20" w:type="dxa"/>
            <w:vAlign w:val="bottom"/>
          </w:tcPr>
          <w:p>
            <w:pPr>
              <w:ind w:left="20"/>
              <w:spacing w:after="0"/>
              <w:rPr>
                <w:sz w:val="20"/>
                <w:szCs w:val="20"/>
                <w:color w:val="auto"/>
              </w:rPr>
            </w:pPr>
            <w:r>
              <w:rPr>
                <w:rFonts w:ascii="Arial" w:cs="Arial" w:eastAsia="Arial" w:hAnsi="Arial"/>
                <w:sz w:val="18"/>
                <w:szCs w:val="18"/>
                <w:color w:val="auto"/>
              </w:rPr>
              <w:t>Ohio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70,503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61,415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Mexico</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30,722</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36,063</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42,648</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Illinois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47,181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states</w:t>
            </w: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53,366</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54,775</w:t>
            </w:r>
          </w:p>
        </w:tc>
        <w:tc>
          <w:tcPr>
            <w:tcW w:w="2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4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58,649</w:t>
            </w: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8"/>
                <w:szCs w:val="18"/>
                <w:color w:val="auto"/>
              </w:rPr>
              <w:t>Total hospice segment net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201,772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152,253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200" w:type="dxa"/>
            <w:vAlign w:val="bottom"/>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101,297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0"/>
              <w:spacing w:after="0" w:line="203" w:lineRule="exact"/>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0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-942340</wp:posOffset>
            </wp:positionV>
            <wp:extent cx="436308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63085" cy="17970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-299720</wp:posOffset>
            </wp:positionV>
            <wp:extent cx="76835" cy="300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-299720</wp:posOffset>
            </wp:positionV>
            <wp:extent cx="76835"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-299720</wp:posOffset>
            </wp:positionV>
            <wp:extent cx="68580" cy="300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-299720</wp:posOffset>
            </wp:positionV>
            <wp:extent cx="68580"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-299720</wp:posOffset>
            </wp:positionV>
            <wp:extent cx="68580"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-299720</wp:posOffset>
            </wp:positionV>
            <wp:extent cx="68580"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222"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With the acquisition of Queen City Hospice in late 2020, the Company expanded its hospice services in the state of Ohio, and with the JourneyCare acquisition in 2022, the Company also expanded its hospice services in the state of Illinois.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Home Health</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6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6"/>
                <w:szCs w:val="16"/>
                <w:color w:val="auto"/>
              </w:rPr>
            </w:pPr>
          </w:p>
        </w:tc>
        <w:tc>
          <w:tcPr>
            <w:tcW w:w="13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20,700</w:t>
            </w:r>
          </w:p>
        </w:tc>
        <w:tc>
          <w:tcPr>
            <w:tcW w:w="2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12,765</w:t>
            </w:r>
          </w:p>
        </w:tc>
        <w:tc>
          <w:tcPr>
            <w:tcW w:w="2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Managed care organizations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4,457</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home health segment net</w:t>
            </w:r>
          </w:p>
        </w:tc>
        <w:tc>
          <w:tcPr>
            <w:tcW w:w="2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42,841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22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120" w:type="dxa"/>
            <w:vAlign w:val="bottom"/>
          </w:tcPr>
          <w:p>
            <w:pPr>
              <w:ind w:left="20"/>
              <w:spacing w:after="0"/>
              <w:rPr>
                <w:sz w:val="20"/>
                <w:szCs w:val="20"/>
                <w:color w:val="auto"/>
              </w:rPr>
            </w:pPr>
            <w:r>
              <w:rPr>
                <w:rFonts w:ascii="Arial" w:cs="Arial" w:eastAsia="Arial" w:hAnsi="Arial"/>
                <w:sz w:val="18"/>
                <w:szCs w:val="18"/>
                <w:color w:val="auto"/>
              </w:rPr>
              <w:t>New Mexico</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24,735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Illinois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home health segment net</w:t>
            </w:r>
          </w:p>
        </w:tc>
        <w:tc>
          <w:tcPr>
            <w:tcW w:w="2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42,841</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26,392</w:t>
            </w:r>
          </w:p>
        </w:tc>
        <w:tc>
          <w:tcPr>
            <w:tcW w:w="22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Borders>
              <w:top w:val="single" w:sz="8" w:color="CFF0F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0"/>
              <w:spacing w:after="0" w:line="203" w:lineRule="exact"/>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6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4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-633730</wp:posOffset>
            </wp:positionV>
            <wp:extent cx="4337685"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37685" cy="17970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-299720</wp:posOffset>
            </wp:positionV>
            <wp:extent cx="77470"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-299720</wp:posOffset>
            </wp:positionV>
            <wp:extent cx="76835"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-299720</wp:posOffset>
            </wp:positionV>
            <wp:extent cx="68580"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-299720</wp:posOffset>
            </wp:positionV>
            <wp:extent cx="68580"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-299720</wp:posOffset>
            </wp:positionV>
            <wp:extent cx="68580" cy="300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-299720</wp:posOffset>
            </wp:positionV>
            <wp:extent cx="68580" cy="300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With the acquisition of Summit in 2021, the Company expanded its home health services in the state of Illinois.</w:t>
      </w:r>
    </w:p>
    <w:p>
      <w:pPr>
        <w:spacing w:after="0" w:line="22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derive a significant amount of our net service revenues in Illinois, which represented 43.8% and 38.2% of our net service revenues for the years ended December 31, 2022 and 2021, respectively. A significant amount of our revenue is derived from one payor client, the Illinois Department on Aging, the largest payor program for our Illinois personal care operations, which accounted for 20.7% and 21.4% of our net service revenues for the years ended December 31, 2022 and 2021,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Reimbursement Rates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Illinois</w:t>
      </w:r>
    </w:p>
    <w:p>
      <w:pPr>
        <w:spacing w:after="0" w:line="225"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On November 26, 2019, the City of Chicago voted to approve additional increases in the Chicago minimum wage to $14 per hour beginning July 1, 2020 and to $15 per hour beginning July 1, 2021. In each subsequent year, the City is required to raise the wage based on increases in the Consumer Price Index (“CPI”) subject to a cap and other requirements. On July 1, 2022, the rate was adjusted to $15.40 based on the increase in the CPI.</w:t>
      </w:r>
    </w:p>
    <w:p>
      <w:pPr>
        <w:spacing w:after="0" w:line="14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Illinois fiscal year 2022 budget included an increase of hourly rates for in-home care services to $24.96, to be effective January 1, 2022. On July 12, 2021, in connection with the temporary increase in federal funding for Medicaid home and community-based services authorized by the ARPA, the State of Illinois submitted its Initial Spending Plan and Narrative to CMS for approval. That plan included the acceleration by two months of the rate increase to $24.96 from January 1, 2022, to November 1, 2021. The Company recognized $3.6 million related to the rate increase for the year ended December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200" w:firstLine="509"/>
        <w:spacing w:after="0" w:line="301" w:lineRule="auto"/>
        <w:rPr>
          <w:sz w:val="20"/>
          <w:szCs w:val="20"/>
          <w:color w:val="auto"/>
        </w:rPr>
      </w:pPr>
      <w:r>
        <w:rPr>
          <w:rFonts w:ascii="Arial" w:cs="Arial" w:eastAsia="Arial" w:hAnsi="Arial"/>
          <w:sz w:val="16"/>
          <w:szCs w:val="16"/>
          <w:color w:val="auto"/>
        </w:rPr>
        <w:t>The Illinois fiscal year 2023 budget included an increase of hourly rates for in-home care services to $25.66, to be effective January 1, 2023. This increase offsets the $0.40 increase in Chicago minimum wage that occurred on July 1, 2022. The Illinois Department of HealthCare and Family Services announced it will submit a waiver amendment proposal to CMS to further increase in-home care rates to $26.92, effective March 1, 2023. If approved by CMS and implemented, this proposed increase will more than offset the expected Chicago minimum wage increase that is expected on July 1, 2023.</w:t>
      </w:r>
    </w:p>
    <w:p>
      <w:pPr>
        <w:spacing w:after="0" w:line="15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Our business will benefit from the rate increases noted above as planned for 2023, but there is no assurance that there will be additional offsetting rate increases in Illinois for fiscal years beyond fiscal year 2023, and our financial performance will be adversely impacted for any periods in which an additional offsetting reimbursement rate increase is not in effect.</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95"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CMS updates the HHPPS payment rates each calendar year. For calendar year 2023, CMS estimates that Medicare payments to home health agencies will increase by 0.7%. This is based on a home health payment update percentage of 4.0, which reflects a 4.1% market basket update reduced by a productivity adjustment of negative 0.1 percentage points, and an estimated 3.5% decrease associated with the transition to the PDGM that is intended to help achieve budget-neutrality on a prospective basis, among other changes. Home health providers that do not comply with quality data reporting requirements are subject to a 2 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7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CMS began implementing a nationwide expansion of the Home Health Value-Based Purchasing (“HHVBP”) Model in January 2022.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spacing w:after="0" w:line="18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spacing w:after="0" w:line="195"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IMPACT Act requires HHS, together with the Medicare Payment Advisory Commission, to work toward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presenting a prototype for a unified post-acute care payment model in July 2022. CMS noted in its report the need for additional analyses and acknowledged that the universal implementation of a unified post-acute care payment system would require congressional action. The Medicare Payment Advisory Commission is required to submit a report to Congress by June 2023.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2022, CMS increased hospice payment rates by 3.8%. This reflects a 4.1% market basket increase and a negative 0.3 percentage point productivity adjustment. Hospices that do not satisfy quality reporting requirements are subject to a 2 percentage point reduction to the market basket update. Beginning in 2024, the reduction to the market basket update for failure to report quality data will increase to 4 percentage points.</w:t>
      </w:r>
    </w:p>
    <w:p>
      <w:pPr>
        <w:spacing w:after="0" w:line="1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$32,486.92 for federal fiscal year 2023. If a hospice’s Medicare payments exceed its inpatient or aggregate caps, it must repay Medicare the excess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Consumer Directed Personal Assistance Program (“CDPAP”)</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CDPAP is a self-directed care alternative program that allows eligible individuals who need help with activities of daily living or skilled nursing services to choose their caregivers. We provide support services as a CDPAP fiscal intermediary. The Company recognized approximately $39.2 million in revenue from the program for the year ended December 31, 2022.</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2019, New York initiated a new RFO process to competitively procure CDPAP fiscal intermediaries. On February 11, 2021, the NYSDOH announced its initial selection of entities to enter into contracts as a Lead Fiscal Intermediary. The Company was not one of the selected entities in the initial RFO process. The Company submitted a formal protest in response to this selection process, which was filed and accepted on March 19, 2021. In April 2022, the New York legislature passed the fiscal year 2023 state budget, which amended the Fiscal Intermediary RFO process to authorize all fiscal intermediaries that submitted an RFO application and served at least 200 clients in New York City or 50 clients in other counties between January 1, 2020, and March 31, 2020, but that were not initially awarded a contract, to contract with the New York State Department of Health. These fiscal intermediaries are permitted to continue operating in all counties contained in their RFO application, provided they submitted an attestation and supporting information to the NYSDOH no later than November 29, 2022. The Company submitted an attestation on November 22, 2022. For the fiscal intermediaries whose attestation and supporting information meet all requirements, the NYSDOH will issue award letters on the contract award date, which is anticipated to be April 1, 2023. Any fiscal intermediary that does not receive an award letter must cease fiscal intermediary operations. The Company continues to assess the future of its participation in this program. Given the current profitability of the program, the Company has suspended materially all of its new fee-for-service patient admissions through County Social Service Departments in the CDPAP program.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2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COVID-19 pandemic remains on-going and continues to impact the global economy. In response to the COVID-19 pandemic, we have taken a number of actions to protect the health and well-being of our employees and personnel and to prevent the spread of COVID-19 within our operations. Although vaccines and booster shots for the COVID-19 virus are widely available in the United States, COVID-19 has continued to result in a significant number of hospitalizations, and the future course of the pandemic remains uncertain.</w:t>
      </w:r>
    </w:p>
    <w:p>
      <w:pPr>
        <w:spacing w:after="0" w:line="18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For the years ended December 31, 2022 and 2021, COVID-19-related expenses in our personal care segment were approximately $4.5 million and $16.5 million, respectively, which were offset by $0.0 million and $12.3 million, respectively, related to the utilization of the amounts received from the Provider Relief Fund in November 2020 and are included in cost of service revenues on the Consolidated Statements of Income. Additionally, we recognized revenue of $4.3 million and $7.1 million attributable to temporary rate increases from certain payors in our personal care segment for the years ended December 31, 2022 and 2021, respectively.</w:t>
      </w:r>
    </w:p>
    <w:p>
      <w:pPr>
        <w:spacing w:after="0" w:line="188"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For the years ended December 31, 2022 and 2021, COVID-19-related expenses in our hospice segment were approximately $0.2 million and $1.9 million, respectively, which were offset by $0.0 million and 1.9 million, respectively, related to the utilization of a portion of the funds received from the Queen City Hospice Provider Relief Fund and included in cost of service revenues on the Consolidated Statements of Income.</w:t>
      </w:r>
    </w:p>
    <w:p>
      <w:pPr>
        <w:spacing w:after="0" w:line="16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the labor market continues to be tight and unemployment remains at low levels, the competition for new caregivers, including skilled healthcare staff, continues to be significant. To the extent that we continue to experience a shortage of caregivers, it may continue to hinder our ability to attract and retain sufficient caregivers to meet the continuing demand for both our non-clinical and clinical services. The ongoing staffing challenges may also continue to result in increased labor costs to satisfy our staffing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consumers.</w:t>
      </w:r>
    </w:p>
    <w:p>
      <w:pPr>
        <w:spacing w:after="0" w:line="149"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terminated employees, termination of professional services relationships, other contract termination costs and asset write-offs are also included in general and administrative expenses.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Our effective income tax rate was 23.5% and 25.2% for the years ended December 31, 2022 and 2021, respectively. The difference between our federal statutory and effective income tax rates is principally due to the inclusion of state taxes and non-deductible compensation, offset by an excess tax benefit and the use of federal employment tax credits.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2022 Compared to Year Ended December 31,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0"/>
        </w:trPr>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12"/>
              <w:spacing w:after="0" w:line="160" w:lineRule="exact"/>
              <w:rPr>
                <w:sz w:val="20"/>
                <w:szCs w:val="20"/>
                <w:color w:val="auto"/>
              </w:rPr>
            </w:pPr>
            <w:r>
              <w:rPr>
                <w:rFonts w:ascii="Arial" w:cs="Arial" w:eastAsia="Arial" w:hAnsi="Arial"/>
                <w:sz w:val="14"/>
                <w:szCs w:val="14"/>
                <w:b w:val="1"/>
                <w:bCs w:val="1"/>
                <w:color w:val="auto"/>
                <w:w w:val="96"/>
              </w:rPr>
              <w:t>Net Service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92"/>
              <w:spacing w:after="0" w:line="160" w:lineRule="exact"/>
              <w:rPr>
                <w:sz w:val="20"/>
                <w:szCs w:val="20"/>
                <w:color w:val="auto"/>
              </w:rPr>
            </w:pPr>
            <w:r>
              <w:rPr>
                <w:rFonts w:ascii="Arial" w:cs="Arial" w:eastAsia="Arial" w:hAnsi="Arial"/>
                <w:sz w:val="14"/>
                <w:szCs w:val="14"/>
                <w:b w:val="1"/>
                <w:bCs w:val="1"/>
                <w:color w:val="auto"/>
                <w:w w:val="96"/>
              </w:rPr>
              <w:t>Net Service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Revenues</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Revenues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40" w:type="dxa"/>
            <w:vAlign w:val="bottom"/>
          </w:tcPr>
          <w:p>
            <w:pPr>
              <w:jc w:val="right"/>
              <w:ind w:right="3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951,120</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864,499</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86,621</w:t>
            </w: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Cost of service revenues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651,381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56,730</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299,739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269,848</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29,891</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216,942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189,418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27,524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(434 )</w:t>
            </w:r>
          </w:p>
        </w:tc>
        <w:tc>
          <w:tcPr>
            <w:tcW w:w="3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200" w:type="dxa"/>
            <w:vAlign w:val="bottom"/>
            <w:shd w:val="clear" w:color="auto" w:fill="CFF0FC"/>
          </w:tcPr>
          <w:p>
            <w:pPr>
              <w:spacing w:after="0"/>
              <w:rPr>
                <w:sz w:val="21"/>
                <w:szCs w:val="21"/>
                <w:color w:val="auto"/>
              </w:rPr>
            </w:pPr>
          </w:p>
        </w:tc>
      </w:tr>
      <w:tr>
        <w:trPr>
          <w:trHeight w:val="237"/>
        </w:trPr>
        <w:tc>
          <w:tcPr>
            <w:tcW w:w="3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231,002</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4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203,912</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27,090</w:t>
            </w: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r>
      <w:tr>
        <w:trPr>
          <w:trHeight w:val="236"/>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4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(341 )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(268 )</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(73 )</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60,398</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(1,126 )</w:t>
            </w:r>
          </w:p>
        </w:tc>
        <w:tc>
          <w:tcPr>
            <w:tcW w:w="3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200" w:type="dxa"/>
            <w:vAlign w:val="bottom"/>
          </w:tcPr>
          <w:p>
            <w:pPr>
              <w:spacing w:after="0"/>
              <w:rPr>
                <w:sz w:val="20"/>
                <w:szCs w:val="20"/>
                <w:color w:val="auto"/>
              </w:rPr>
            </w:pPr>
          </w:p>
        </w:tc>
      </w:tr>
      <w:tr>
        <w:trPr>
          <w:trHeight w:val="283"/>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4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-1310640</wp:posOffset>
            </wp:positionV>
            <wp:extent cx="7683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-1310640</wp:posOffset>
            </wp:positionV>
            <wp:extent cx="7747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-1310640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-1310640</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-1310640</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-1310640</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-985520</wp:posOffset>
            </wp:positionV>
            <wp:extent cx="76835"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-985520</wp:posOffset>
            </wp:positionV>
            <wp:extent cx="7747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-985520</wp:posOffset>
            </wp:positionV>
            <wp:extent cx="6858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-985520</wp:posOffset>
            </wp:positionV>
            <wp:extent cx="6858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-985520</wp:posOffset>
            </wp:positionV>
            <wp:extent cx="685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-985520</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-668020</wp:posOffset>
            </wp:positionV>
            <wp:extent cx="7683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-668020</wp:posOffset>
            </wp:positionV>
            <wp:extent cx="7747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-668020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-668020</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-668020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-668020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Net service revenues increased by 10.0% to $951.1 million for the year ended December 31, 2022 compared to $864.5 million in 2021. Net service revenue increased by $20.7 million, $49.5 million and $16.4 million in our personal care, hospice and home health segments, respectively, for the year ended December 31, 2022, compared to 2021. Net service revenue increased due to a 5.3% increase in revenues per billable hour for the year ended December 31, 2022 in our personal care segment compared to 2021. The increase in our hospice segment revenue was primarily due to an increase in average daily census and revenue per patient day, mainly attributed to the acquisition of JourneyCare on February 1, 2022. The increase in our home health segment is mainly attributed to organic growth and the full-year effect in 2022 of the acquisitions of Armada on August 1, 2021 and Summit on October 1, 2021.</w:t>
      </w:r>
    </w:p>
    <w:p>
      <w:pPr>
        <w:spacing w:after="0" w:line="195"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Gross profit, expressed as a percentage of net service revenues, slightly increased to 31.5% for the year ended December 31, 2022, from 31.2% in 2021. The increase was mainly attributed to the full-year effect in 2022 of the acquisition of our relatively higher margin hospice segment businesses in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General and administrative expenses increased to $216.9 million for the year ended December 31, 2022 compared to $189.4 million in 2021. The increase in general and administrative expenses was primarily due to acquisitions that resulted in an increase in administrative employee wages, taxes and benefit costs of $18.0 million. In addition, stock-based compensation increased by $1.2 million and rent expenses increased by $2.2 million primarily due to the acquisition of JourneyCare for the year ended December 31, 2022 compared to 2021. General and administrative expenses, expressed as a percentage of net service revenues, increased to 22.8% for 2022, from 21.9% in 2021.</w:t>
      </w:r>
    </w:p>
    <w:p>
      <w:pPr>
        <w:spacing w:after="0" w:line="176" w:lineRule="exact"/>
        <w:rPr>
          <w:sz w:val="20"/>
          <w:szCs w:val="20"/>
          <w:color w:val="auto"/>
        </w:rPr>
      </w:pPr>
    </w:p>
    <w:p>
      <w:pPr>
        <w:jc w:val="both"/>
        <w:ind w:right="240" w:firstLine="509"/>
        <w:spacing w:after="0" w:line="286" w:lineRule="auto"/>
        <w:rPr>
          <w:sz w:val="20"/>
          <w:szCs w:val="20"/>
          <w:color w:val="auto"/>
        </w:rPr>
      </w:pPr>
      <w:r>
        <w:rPr>
          <w:rFonts w:ascii="Arial" w:cs="Arial" w:eastAsia="Arial" w:hAnsi="Arial"/>
          <w:sz w:val="17"/>
          <w:szCs w:val="17"/>
          <w:color w:val="auto"/>
        </w:rPr>
        <w:t>Depreciation and amortization decreased to $14.1 million for the year ended December 31, 2022 from $14.5 million in 2021, primarily due to the decrease of intangible asset amortization related to accelerated amortization and the reduction in amortization expense of tradenames, which were fully amortized, partially offset by the full-year effect in 2022 of our fiscal year 2021 acquisitions and fiscal year 2022 acquisitions.</w:t>
      </w:r>
    </w:p>
    <w:p>
      <w:pPr>
        <w:spacing w:after="0" w:line="165"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Interest expense increased to $8.6 million from $5.5 million for the year ended December 31, 2022 compared to 2021. The increase in interest expense was primarily due to higher average outstanding borrowings due to additional borrowings used to fund acquisitions and increased interest rates under our credit facility for the year ended December 31, 2022 compared to 2021.</w:t>
      </w:r>
    </w:p>
    <w:p>
      <w:pPr>
        <w:spacing w:after="0" w:line="184"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23.5% and 25.2% for the years ended December 31, 2022 and 2021, respectively, compared to our federal statutory rate of 21.0%. Our lower effective income tax rate in 2022 was principally lower due to the increase in federal employment tax credits and return to provision items. For the years ended December 31, 2022 and 2021, the federal employment tax rates were 5.1% and 4.1%, while the return to provision items were 1.0% and 0%, respectively.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w w:val="83"/>
              </w:rPr>
              <w:t>2021</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1"/>
              </w:rPr>
              <w:t>Segment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6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71"/>
              </w:rPr>
              <w:t>(Amounts</w:t>
            </w:r>
          </w:p>
        </w:tc>
        <w:tc>
          <w:tcPr>
            <w:tcW w:w="2320" w:type="dxa"/>
            <w:vAlign w:val="bottom"/>
            <w:gridSpan w:val="6"/>
          </w:tcPr>
          <w:p>
            <w:pPr>
              <w:ind w:left="120"/>
              <w:spacing w:after="0"/>
              <w:rPr>
                <w:sz w:val="20"/>
                <w:szCs w:val="20"/>
                <w:color w:val="auto"/>
              </w:rPr>
            </w:pPr>
            <w:r>
              <w:rPr>
                <w:rFonts w:ascii="Arial" w:cs="Arial" w:eastAsia="Arial" w:hAnsi="Arial"/>
                <w:sz w:val="14"/>
                <w:szCs w:val="14"/>
                <w:b w:val="1"/>
                <w:bCs w:val="1"/>
                <w:color w:val="auto"/>
                <w:w w:val="92"/>
              </w:rPr>
              <w:t>in Thousands, Except Percentages)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706,507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685,854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services revenues</w:t>
            </w: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520,617</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4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502,024</w:t>
            </w: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4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185,890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183,830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61,565</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(1,033 )</w:t>
            </w:r>
          </w:p>
        </w:tc>
        <w:tc>
          <w:tcPr>
            <w:tcW w:w="2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(1.7 )</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125,358</w:t>
            </w:r>
          </w:p>
        </w:tc>
        <w:tc>
          <w:tcPr>
            <w:tcW w:w="26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00" w:type="dxa"/>
            <w:vAlign w:val="bottom"/>
            <w:tcBorders>
              <w:top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122,265</w:t>
            </w:r>
          </w:p>
        </w:tc>
        <w:tc>
          <w:tcPr>
            <w:tcW w:w="220" w:type="dxa"/>
            <w:vAlign w:val="bottom"/>
            <w:tcBorders>
              <w:top w:val="single" w:sz="8" w:color="CFF0FC"/>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40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2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Business Metrics (Actual Numbers, Except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Billable Hours in Thousands)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Locations at period end</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Average billable census *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37,482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38,051</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(569 )</w:t>
            </w:r>
          </w:p>
        </w:tc>
        <w:tc>
          <w:tcPr>
            <w:tcW w:w="26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(1.5 ) %</w:t>
            </w: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Billable hours * </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30,151</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(739 )</w:t>
            </w:r>
          </w:p>
        </w:tc>
        <w:tc>
          <w:tcPr>
            <w:tcW w:w="2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(2.5 )</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Average billable hours per census per month * </w:t>
            </w:r>
            <w:r>
              <w:rPr>
                <w:rFonts w:ascii="Arial" w:cs="Arial" w:eastAsia="Arial" w:hAnsi="Arial"/>
                <w:sz w:val="24"/>
                <w:szCs w:val="24"/>
                <w:color w:val="auto"/>
                <w:vertAlign w:val="superscript"/>
              </w:rPr>
              <w:t>(2)</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(0.6 )</w:t>
            </w:r>
          </w:p>
        </w:tc>
        <w:tc>
          <w:tcPr>
            <w:tcW w:w="2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(0.9 )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Billable hours per business day * </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113,122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115,521</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(2,399 )</w:t>
            </w:r>
          </w:p>
        </w:tc>
        <w:tc>
          <w:tcPr>
            <w:tcW w:w="2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(2.1 )</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Revenues per billable hour * </w:t>
            </w:r>
            <w:r>
              <w:rPr>
                <w:rFonts w:ascii="Arial" w:cs="Arial" w:eastAsia="Arial" w:hAnsi="Arial"/>
                <w:sz w:val="24"/>
                <w:szCs w:val="24"/>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22.71</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Same store growth revenue % * </w:t>
            </w:r>
            <w:r>
              <w:rPr>
                <w:rFonts w:ascii="Arial" w:cs="Arial" w:eastAsia="Arial" w:hAnsi="Arial"/>
                <w:sz w:val="24"/>
                <w:szCs w:val="24"/>
                <w:color w:val="auto"/>
                <w:vertAlign w:val="superscript"/>
              </w:rPr>
              <w:t>(3)</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-2030730</wp:posOffset>
            </wp:positionV>
            <wp:extent cx="7747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-2030730</wp:posOffset>
            </wp:positionV>
            <wp:extent cx="6858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-2030730</wp:posOffset>
            </wp:positionV>
            <wp:extent cx="6858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-2030730</wp:posOffset>
            </wp:positionV>
            <wp:extent cx="685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-2030730</wp:posOffset>
            </wp:positionV>
            <wp:extent cx="685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-2030730</wp:posOffset>
            </wp:positionV>
            <wp:extent cx="6858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-1713865</wp:posOffset>
            </wp:positionV>
            <wp:extent cx="7747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-1713865</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-1713865</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-1713865</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-1713865</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-1713865</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944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59" w:lineRule="exact"/>
        <w:rPr>
          <w:sz w:val="20"/>
          <w:szCs w:val="20"/>
          <w:color w:val="auto"/>
        </w:rPr>
      </w:pPr>
    </w:p>
    <w:p>
      <w:pPr>
        <w:ind w:left="520" w:right="120" w:hanging="512"/>
        <w:spacing w:after="0" w:line="290"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ind w:left="520" w:right="160" w:hanging="512"/>
        <w:spacing w:after="0" w:line="275"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2" w:lineRule="exact"/>
        <w:rPr>
          <w:rFonts w:ascii="Arial" w:cs="Arial" w:eastAsia="Arial" w:hAnsi="Arial"/>
          <w:sz w:val="16"/>
          <w:szCs w:val="16"/>
          <w:color w:val="auto"/>
        </w:rPr>
      </w:pPr>
    </w:p>
    <w:p>
      <w:pPr>
        <w:jc w:val="both"/>
        <w:ind w:left="520" w:right="180" w:hanging="512"/>
        <w:spacing w:after="0" w:line="278"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the New York CDPAP program and ARPA associated revenue from this calculation.</w:t>
      </w:r>
    </w:p>
    <w:p>
      <w:pPr>
        <w:spacing w:after="0" w:line="252" w:lineRule="exact"/>
        <w:rPr>
          <w:sz w:val="20"/>
          <w:szCs w:val="20"/>
          <w:color w:val="auto"/>
        </w:rPr>
      </w:pPr>
    </w:p>
    <w:p>
      <w:pPr>
        <w:ind w:right="80" w:firstLine="8"/>
        <w:spacing w:after="0" w:line="313" w:lineRule="auto"/>
        <w:tabs>
          <w:tab w:leader="none" w:pos="121"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59"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personal care segment derives a significant amount of net service revenues from operations in Illinois, which represented 51.1% and 47.9% of our net service revenues for the years ended December 31, 2022 and 2021, respectively. One payor client, the Illinois Department on Aging, accounted for 20.7% and 21.4% of net service revenues for the years ended December 31, 2022 and 2021, respectively. Net service revenues from state, local and other governmental programs accounted for 49.3% and 49.3% of net service revenues for the years ended December 31, 2022 and 2021, respectively. Managed care organizations accounted for 46.3% and 45.5% of net service revenues for the years ended December 31, 2022 and 2021, respectively, with commercial insurance, private pay and other payors accounting for the remainder of net service revenues.</w:t>
      </w:r>
    </w:p>
    <w:p>
      <w:pPr>
        <w:spacing w:after="0" w:line="16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Net service revenues increased by 3.0% for the year ended December 31, 2022 compared to the year ended December 31, 2021 primarily as a result of an increase in revenues per billable hour of 5.3%, mainly attributed to rate increases discussed above. The Company experienced a decrease in New York net service revenues of $13.1 million for the year ended December 31, 2022, primarily driven by a decrease in the New York CDPAP program as discussed above, compared to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Gross profit, expressed as a percentage of net service revenues, decreased from 26.8% for the year ended December 31, 2021 to 26.3% for the year ended December 31, 2022 due to higher direct service employee wages, taxes and benefit costs.</w:t>
      </w:r>
    </w:p>
    <w:p>
      <w:pPr>
        <w:spacing w:after="0" w:line="170"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The personal care segment’s general and administrative expenses primarily consist of administrative employee wages, taxes and benefit costs, rent, information technology and office expenses. General and administrative expenses decreased by approximately $1.0 million for the year ended December 31, 2022. General and administrative expenses, expressed as a percentage of net service revenues, was 8.6% and 9.0% for the years ended December 31, 2022 and 2021, respectively. The decrease for the year ended December 31, 2022 compared to 2021 is primarily due to synergies from acquisitions.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Hospice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2022</w:t>
            </w:r>
          </w:p>
        </w:tc>
        <w:tc>
          <w:tcPr>
            <w:tcW w:w="9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2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6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77"/>
              </w:rPr>
              <w:t>(Amounts in Thousands,</w:t>
            </w: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Except Percentages)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Net 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201,772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152,253</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49,519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Cost of services revenues</w:t>
            </w: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100,956</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75,186</w:t>
            </w:r>
          </w:p>
        </w:tc>
        <w:tc>
          <w:tcPr>
            <w:tcW w:w="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25,770</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100,816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77,067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23,749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49,742</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34,632</w:t>
            </w:r>
          </w:p>
        </w:tc>
        <w:tc>
          <w:tcPr>
            <w:tcW w:w="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15,110</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51,074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42,435</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Business Metrics (Actual Numbers)</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Locations at period end</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Admissions * </w:t>
            </w:r>
            <w:r>
              <w:rPr>
                <w:rFonts w:ascii="Arial" w:cs="Arial" w:eastAsia="Arial" w:hAnsi="Arial"/>
                <w:sz w:val="24"/>
                <w:szCs w:val="24"/>
                <w:color w:val="auto"/>
                <w:vertAlign w:val="superscript"/>
              </w:rPr>
              <w:t>(1)</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13,171</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9,592</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Average daily census * </w:t>
            </w:r>
            <w:r>
              <w:rPr>
                <w:rFonts w:ascii="Arial" w:cs="Arial" w:eastAsia="Arial" w:hAnsi="Arial"/>
                <w:sz w:val="24"/>
                <w:szCs w:val="24"/>
                <w:color w:val="auto"/>
                <w:vertAlign w:val="superscript"/>
              </w:rPr>
              <w:t>(2)</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Average length of stay * </w:t>
            </w:r>
            <w:r>
              <w:rPr>
                <w:rFonts w:ascii="Arial" w:cs="Arial" w:eastAsia="Arial" w:hAnsi="Arial"/>
                <w:sz w:val="24"/>
                <w:szCs w:val="24"/>
                <w:color w:val="auto"/>
                <w:vertAlign w:val="superscript"/>
              </w:rPr>
              <w:t>(3)</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87.7</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(8.8 )</w:t>
            </w:r>
          </w:p>
        </w:tc>
        <w:tc>
          <w:tcPr>
            <w:tcW w:w="2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(9.1 )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Patient days * </w:t>
            </w:r>
            <w:r>
              <w:rPr>
                <w:rFonts w:ascii="Arial" w:cs="Arial" w:eastAsia="Arial" w:hAnsi="Arial"/>
                <w:sz w:val="24"/>
                <w:szCs w:val="24"/>
                <w:color w:val="auto"/>
                <w:vertAlign w:val="superscript"/>
              </w:rPr>
              <w:t>(4)</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1,176,193</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923,014</w:t>
            </w: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253,179</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Revenue per patient day * </w:t>
            </w:r>
            <w:r>
              <w:rPr>
                <w:rFonts w:ascii="Arial" w:cs="Arial" w:eastAsia="Arial" w:hAnsi="Arial"/>
                <w:sz w:val="24"/>
                <w:szCs w:val="24"/>
                <w:color w:val="auto"/>
                <w:vertAlign w:val="superscript"/>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171.55</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164.95</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Organic growth</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60"/>
              <w:spacing w:after="0" w:line="243" w:lineRule="exact"/>
              <w:rPr>
                <w:sz w:val="20"/>
                <w:szCs w:val="20"/>
                <w:color w:val="auto"/>
              </w:rPr>
            </w:pPr>
            <w:r>
              <w:rPr>
                <w:rFonts w:ascii="Arial" w:cs="Arial" w:eastAsia="Arial" w:hAnsi="Arial"/>
                <w:sz w:val="18"/>
                <w:szCs w:val="18"/>
                <w:color w:val="auto"/>
              </w:rPr>
              <w:t xml:space="preserve">- Revenue * </w:t>
            </w:r>
            <w:r>
              <w:rPr>
                <w:rFonts w:ascii="Arial" w:cs="Arial" w:eastAsia="Arial" w:hAnsi="Arial"/>
                <w:sz w:val="24"/>
                <w:szCs w:val="24"/>
                <w:color w:val="auto"/>
                <w:vertAlign w:val="superscript"/>
              </w:rPr>
              <w:t>(6)</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(6.2 ) %</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160"/>
              <w:spacing w:after="0" w:line="243" w:lineRule="exact"/>
              <w:rPr>
                <w:sz w:val="20"/>
                <w:szCs w:val="20"/>
                <w:color w:val="auto"/>
              </w:rPr>
            </w:pPr>
            <w:r>
              <w:rPr>
                <w:rFonts w:ascii="Arial" w:cs="Arial" w:eastAsia="Arial" w:hAnsi="Arial"/>
                <w:sz w:val="18"/>
                <w:szCs w:val="18"/>
                <w:color w:val="auto"/>
              </w:rPr>
              <w:t xml:space="preserve">- Average daily census * </w:t>
            </w:r>
            <w:r>
              <w:rPr>
                <w:rFonts w:ascii="Arial" w:cs="Arial" w:eastAsia="Arial" w:hAnsi="Arial"/>
                <w:sz w:val="24"/>
                <w:szCs w:val="24"/>
                <w:color w:val="auto"/>
                <w:vertAlign w:val="superscript"/>
              </w:rPr>
              <w:t>(6)</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(11.2 ) %</w:t>
            </w: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580" w:type="dxa"/>
            <w:vAlign w:val="bottom"/>
            <w:tcBorders>
              <w:bottom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-2288540</wp:posOffset>
            </wp:positionV>
            <wp:extent cx="7747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-2288540</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-2288540</wp:posOffset>
            </wp:positionV>
            <wp:extent cx="6858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-2288540</wp:posOffset>
            </wp:positionV>
            <wp:extent cx="6858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-2288540</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-2288540</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-1971040</wp:posOffset>
            </wp:positionV>
            <wp:extent cx="7747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-1971040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-1971040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-1971040</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-1971040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-1971040</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45"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Average daily census is total patient days divided by the number of days in the period, adjusted for patient days for acquisitions beginning on date of acquisition.</w:t>
      </w:r>
    </w:p>
    <w:p>
      <w:pPr>
        <w:spacing w:after="0" w:line="70" w:lineRule="exact"/>
        <w:rPr>
          <w:rFonts w:ascii="Arial" w:cs="Arial" w:eastAsia="Arial" w:hAnsi="Arial"/>
          <w:sz w:val="15"/>
          <w:szCs w:val="15"/>
          <w:color w:val="auto"/>
        </w:rPr>
      </w:pPr>
    </w:p>
    <w:p>
      <w:pPr>
        <w:ind w:left="520" w:right="280" w:hanging="512"/>
        <w:spacing w:after="0" w:line="290"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45"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59" w:lineRule="exact"/>
        <w:rPr>
          <w:rFonts w:ascii="Arial" w:cs="Arial" w:eastAsia="Arial" w:hAnsi="Arial"/>
          <w:sz w:val="16"/>
          <w:szCs w:val="16"/>
          <w:color w:val="auto"/>
        </w:rPr>
      </w:pPr>
    </w:p>
    <w:p>
      <w:pPr>
        <w:ind w:left="520" w:right="80" w:hanging="512"/>
        <w:spacing w:after="0" w:line="278"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9" w:lineRule="exact"/>
        <w:rPr>
          <w:sz w:val="20"/>
          <w:szCs w:val="20"/>
          <w:color w:val="auto"/>
        </w:rPr>
      </w:pPr>
    </w:p>
    <w:p>
      <w:pPr>
        <w:ind w:right="80" w:firstLine="8"/>
        <w:spacing w:after="0" w:line="313" w:lineRule="auto"/>
        <w:tabs>
          <w:tab w:leader="none" w:pos="121"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86"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Hospice generates revenue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care, continuous care, general inpatient care and respite care. Our hospice segment principally provides routine care, but with the acquisition of Queen City Hospice, the Company expanded continuous care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220" w:firstLine="509"/>
        <w:spacing w:after="0" w:line="279" w:lineRule="auto"/>
        <w:rPr>
          <w:sz w:val="20"/>
          <w:szCs w:val="20"/>
          <w:color w:val="auto"/>
        </w:rPr>
      </w:pPr>
      <w:r>
        <w:rPr>
          <w:rFonts w:ascii="Arial" w:cs="Arial" w:eastAsia="Arial" w:hAnsi="Arial"/>
          <w:sz w:val="17"/>
          <w:szCs w:val="17"/>
          <w:color w:val="auto"/>
        </w:rPr>
        <w:t>Net service revenues from Medicare accounted for 90.9% and 93.3% and Medicare Advantage accounted for 3.6% and 3.7% for the years ended December 31, 2022 and 2021, respectively. Net service revenues increased by $49.5 million for the year ended December 31, 2022 compared to the year ended December 31, 2021 primarily due to increases in average daily census and revenue per patient day, mainly attributed to the organic growth and the acquisitions of the operations of JourneyCare on February 1, 2022 and Armada on August 1, 2021.</w:t>
      </w:r>
    </w:p>
    <w:p>
      <w:pPr>
        <w:spacing w:after="0" w:line="17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Gross profit, expressed as a percentage of net service revenues, was 50.0% and 50.6% for the years ended December 31, 2022 and 2021, respectively. The decrease in gross profit as a percentage of net service revenues was mainly attributed to higher direct employee wages, taxes and benefit costs.</w:t>
      </w:r>
    </w:p>
    <w:p>
      <w:pPr>
        <w:spacing w:after="0" w:line="1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24.7% and 22.7% for the years ended December 31, 2022 and 2021, respectively. The increase in general and administrative expenses was primarily due to acquisitions that resulted in a $11.2 million increase in administrative employee wages, taxes and benefit costs and a $2.4 million increase in rent expenses for the year ended December 31, 2022.</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For the Years Ended December 31,</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86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821"/>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6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80" w:type="dxa"/>
            <w:vAlign w:val="bottom"/>
            <w:gridSpan w:val="7"/>
          </w:tcPr>
          <w:p>
            <w:pPr>
              <w:jc w:val="right"/>
              <w:ind w:right="10"/>
              <w:spacing w:after="0"/>
              <w:rPr>
                <w:sz w:val="20"/>
                <w:szCs w:val="20"/>
                <w:color w:val="auto"/>
              </w:rPr>
            </w:pPr>
            <w:r>
              <w:rPr>
                <w:rFonts w:ascii="Arial" w:cs="Arial" w:eastAsia="Arial" w:hAnsi="Arial"/>
                <w:sz w:val="14"/>
                <w:szCs w:val="14"/>
                <w:b w:val="1"/>
                <w:bCs w:val="1"/>
                <w:color w:val="auto"/>
                <w:w w:val="90"/>
              </w:rPr>
              <w:t>(Amounts in Thousands, Except Percentages)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Results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Net service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42,841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26,392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16,449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Cost of services revenues</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29,808</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17,441</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12,367</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10,251</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(456 )</w:t>
            </w:r>
          </w:p>
        </w:tc>
        <w:tc>
          <w:tcPr>
            <w:tcW w:w="280" w:type="dxa"/>
            <w:vAlign w:val="bottom"/>
          </w:tcPr>
          <w:p>
            <w:pPr>
              <w:spacing w:after="0"/>
              <w:rPr>
                <w:sz w:val="21"/>
                <w:szCs w:val="21"/>
                <w:color w:val="auto"/>
              </w:rPr>
            </w:pPr>
          </w:p>
        </w:tc>
        <w:tc>
          <w:tcPr>
            <w:tcW w:w="960" w:type="dxa"/>
            <w:vAlign w:val="bottom"/>
            <w:gridSpan w:val="2"/>
          </w:tcPr>
          <w:p>
            <w:pPr>
              <w:jc w:val="right"/>
              <w:spacing w:after="0" w:line="242" w:lineRule="exact"/>
              <w:rPr>
                <w:sz w:val="20"/>
                <w:szCs w:val="20"/>
                <w:color w:val="auto"/>
              </w:rPr>
            </w:pPr>
            <w:r>
              <w:rPr>
                <w:rFonts w:ascii="Arial" w:cs="Arial" w:eastAsia="Arial" w:hAnsi="Arial"/>
                <w:sz w:val="15"/>
                <w:szCs w:val="15"/>
                <w:color w:val="auto"/>
              </w:rPr>
              <w:t xml:space="preserve">(14.1 )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8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Business Metrics (Actual Numbers)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Locations at period end</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New admissions *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14,452</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8,781</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Recertifications * </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Total volume * </w:t>
            </w:r>
            <w:r>
              <w:rPr>
                <w:rFonts w:ascii="Arial" w:cs="Arial" w:eastAsia="Arial" w:hAnsi="Arial"/>
                <w:sz w:val="24"/>
                <w:szCs w:val="24"/>
                <w:color w:val="auto"/>
                <w:vertAlign w:val="superscript"/>
              </w:rPr>
              <w:t>(3)</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20,290</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12,328</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Visits * </w:t>
            </w:r>
            <w:r>
              <w:rPr>
                <w:rFonts w:ascii="Arial" w:cs="Arial" w:eastAsia="Arial" w:hAnsi="Arial"/>
                <w:sz w:val="24"/>
                <w:szCs w:val="24"/>
                <w:color w:val="auto"/>
                <w:vertAlign w:val="superscript"/>
              </w:rPr>
              <w:t>(4)</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293,381</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183,951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109,430</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Organic growth</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60" w:type="dxa"/>
            <w:vAlign w:val="bottom"/>
            <w:gridSpan w:val="2"/>
            <w:shd w:val="clear" w:color="auto" w:fill="CFF0FC"/>
          </w:tcPr>
          <w:p>
            <w:pPr>
              <w:ind w:left="160"/>
              <w:spacing w:after="0" w:line="249" w:lineRule="exact"/>
              <w:rPr>
                <w:sz w:val="20"/>
                <w:szCs w:val="20"/>
                <w:color w:val="auto"/>
              </w:rPr>
            </w:pPr>
            <w:r>
              <w:rPr>
                <w:rFonts w:ascii="Arial" w:cs="Arial" w:eastAsia="Arial" w:hAnsi="Arial"/>
                <w:sz w:val="18"/>
                <w:szCs w:val="18"/>
                <w:color w:val="auto"/>
              </w:rPr>
              <w:t xml:space="preserve">- Revenue * </w:t>
            </w:r>
            <w:r>
              <w:rPr>
                <w:rFonts w:ascii="Arial" w:cs="Arial" w:eastAsia="Arial" w:hAnsi="Arial"/>
                <w:sz w:val="24"/>
                <w:szCs w:val="24"/>
                <w:color w:val="auto"/>
                <w:vertAlign w:val="superscript"/>
              </w:rPr>
              <w:t>(5)</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580" w:type="dxa"/>
            <w:vAlign w:val="bottom"/>
            <w:tcBorders>
              <w:bottom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-1979930</wp:posOffset>
            </wp:positionV>
            <wp:extent cx="76835" cy="1631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-1979930</wp:posOffset>
            </wp:positionV>
            <wp:extent cx="7747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-1979930</wp:posOffset>
            </wp:positionV>
            <wp:extent cx="6858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-1979930</wp:posOffset>
            </wp:positionV>
            <wp:extent cx="6858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-1979930</wp:posOffset>
            </wp:positionV>
            <wp:extent cx="6858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-1979930</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-1662430</wp:posOffset>
            </wp:positionV>
            <wp:extent cx="7683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-1662430</wp:posOffset>
            </wp:positionV>
            <wp:extent cx="7747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-1662430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-1662430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-1662430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-1662430</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45" w:lineRule="exact"/>
        <w:rPr>
          <w:rFonts w:ascii="Arial" w:cs="Arial" w:eastAsia="Arial" w:hAnsi="Arial"/>
          <w:sz w:val="16"/>
          <w:szCs w:val="16"/>
          <w:color w:val="auto"/>
        </w:rPr>
      </w:pPr>
    </w:p>
    <w:p>
      <w:pPr>
        <w:ind w:left="520" w:right="160" w:hanging="512"/>
        <w:spacing w:after="0" w:line="290"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home health certification period begins with a start of care visit and continues for 60 days. If at the end of the initial certification, the patient continues to require home health services, a recertification is required. This represents the number of recertifications during the period.</w:t>
      </w: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59" w:lineRule="exact"/>
        <w:rPr>
          <w:rFonts w:ascii="Arial" w:cs="Arial" w:eastAsia="Arial" w:hAnsi="Arial"/>
          <w:sz w:val="16"/>
          <w:szCs w:val="16"/>
          <w:color w:val="auto"/>
        </w:rPr>
      </w:pPr>
    </w:p>
    <w:p>
      <w:pPr>
        <w:ind w:left="520" w:hanging="512"/>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45" w:lineRule="exact"/>
        <w:rPr>
          <w:rFonts w:ascii="Arial" w:cs="Arial" w:eastAsia="Arial" w:hAnsi="Arial"/>
          <w:sz w:val="16"/>
          <w:szCs w:val="16"/>
          <w:color w:val="auto"/>
        </w:rPr>
      </w:pPr>
    </w:p>
    <w:p>
      <w:pPr>
        <w:ind w:left="520" w:right="20" w:hanging="512"/>
        <w:spacing w:after="0" w:line="278"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Revenue organic growth and new admissions organic growth reflect the change in year-over-year revenue and new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9" w:lineRule="exact"/>
        <w:rPr>
          <w:sz w:val="20"/>
          <w:szCs w:val="20"/>
          <w:color w:val="auto"/>
        </w:rPr>
      </w:pPr>
    </w:p>
    <w:p>
      <w:pPr>
        <w:ind w:right="80" w:firstLine="8"/>
        <w:spacing w:after="0" w:line="313" w:lineRule="auto"/>
        <w:tabs>
          <w:tab w:leader="none" w:pos="121"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7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Home health generates revenue by providing home health services on a short-term, intermittent or episodic basis to individuals, generally to treat an illness or injury. Net service revenues from Medicare accounted for 73.5% and 78.4% and managed care organizations accounted for 20.3% and 16.9% for the years ended December 31, 2022 and 2021,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78"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Net service revenues increased by $16.4 million for the year ended December 31, 2022 compared to 2021. Total visits increased for the year ended December 31, 2022, mainly attributed to organic growth and the full-year effect in 2022 of the acquisitions of Armada on August 1, 2021 and Summit on October 1, 2021.</w:t>
      </w:r>
    </w:p>
    <w:p>
      <w:pPr>
        <w:spacing w:after="0" w:line="184" w:lineRule="exact"/>
        <w:rPr>
          <w:sz w:val="20"/>
          <w:szCs w:val="20"/>
          <w:color w:val="auto"/>
        </w:rPr>
      </w:pPr>
    </w:p>
    <w:p>
      <w:pPr>
        <w:ind w:right="680" w:firstLine="509"/>
        <w:spacing w:after="0" w:line="381" w:lineRule="auto"/>
        <w:rPr>
          <w:sz w:val="20"/>
          <w:szCs w:val="20"/>
          <w:color w:val="auto"/>
        </w:rPr>
      </w:pPr>
      <w:r>
        <w:rPr>
          <w:rFonts w:ascii="Arial" w:cs="Arial" w:eastAsia="Arial" w:hAnsi="Arial"/>
          <w:sz w:val="15"/>
          <w:szCs w:val="15"/>
          <w:color w:val="auto"/>
        </w:rPr>
        <w:t>Gross profit, expressed as a percentage of net service revenues, was 30.4% and 33.9% for the years ended December 31, 2022 and 2021, respectively. The decrease in gross profit as a percentage of net service revenues was due to higher direct employee wages, taxes and benefit costs.</w:t>
      </w:r>
    </w:p>
    <w:p>
      <w:pPr>
        <w:spacing w:after="0" w:line="208"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23.9% and 21.6% for the years ended December 31, 2022 and 2021, respectively. The increase in general and administrative expenses was primarily due to acquisitions that resulted in a $3.8 million increase in administrative employee wages, taxes and benefit costs for the year ended December 31, 2022.</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Adjusted EBITDA is a non-GAAP measure that has limitations as an analytical tool, and should not be considered in isolation or as a substitute for analysis of our results of operations as reported under generally accepted accounting principles in the United States (“GAAP”). The financial results presented in accordance with U.S. GAAP and a reconciliation of this non-GAAP measure included within this Annual Report on Form 10-K should be carefully evaluated.</w:t>
      </w:r>
    </w:p>
    <w:p>
      <w:pPr>
        <w:spacing w:after="0" w:line="187"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We define Adjusted EBITDA as net income before discontinued operations, net interest expense, income tax expense, depreciation and amortization, acquisition and de novo expenses, stock-based compensation expense, restructure and other costs, gain or loss on the sale of assets, and secondary offering costs. The Company defined adjusted EBITDA to exclude net COVID expenses arising from the pandemic from the second quarter of 2020 to the first quarter of 2021. Adjusted EBITDA is a performance measure used by management that is not calculated in accordance with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w:t>
      </w:r>
    </w:p>
    <w:p>
      <w:pPr>
        <w:spacing w:after="0" w:line="195"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Management believes that Adjusted EBITDA is useful to investors, management and others in evaluating our operating performance for the following reasons:</w:t>
      </w:r>
    </w:p>
    <w:p>
      <w:pPr>
        <w:spacing w:after="0" w:line="62" w:lineRule="exact"/>
        <w:rPr>
          <w:sz w:val="20"/>
          <w:szCs w:val="20"/>
          <w:color w:val="auto"/>
        </w:rPr>
      </w:pPr>
    </w:p>
    <w:p>
      <w:pPr>
        <w:ind w:left="1260" w:hanging="503"/>
        <w:spacing w:after="0" w:line="275" w:lineRule="auto"/>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By reporting Adjusted EBITDA, we believe that we provide investors with insight and consistency in our financial reporting and present a basis for comparison of our business operations between current, past and future periods. We believe that Adjusted EBITDA allows management, investors and others to evaluate and compare our core operating results, including return on capital and operating efficiencies, from period to period, by removing the impact of our capital structure (interest expense), asset base (amortization and depreciation), tax consequences, stock-based compensation expense and other identified adjustments.</w:t>
      </w:r>
    </w:p>
    <w:p>
      <w:pPr>
        <w:spacing w:after="0" w:line="68" w:lineRule="exact"/>
        <w:rPr>
          <w:rFonts w:ascii="Arial" w:cs="Arial" w:eastAsia="Arial" w:hAnsi="Arial"/>
          <w:sz w:val="17"/>
          <w:szCs w:val="17"/>
          <w:color w:val="auto"/>
        </w:rPr>
      </w:pPr>
    </w:p>
    <w:p>
      <w:pPr>
        <w:ind w:left="1260" w:right="740" w:hanging="503"/>
        <w:spacing w:after="0" w:line="277"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believe that Adjusted EBITDA is a measure widely used by securities analysts, investors and others to evaluate the financial performance of other public companies.</w:t>
      </w:r>
    </w:p>
    <w:p>
      <w:pPr>
        <w:spacing w:after="0" w:line="62" w:lineRule="exact"/>
        <w:rPr>
          <w:rFonts w:ascii="Arial" w:cs="Arial" w:eastAsia="Arial" w:hAnsi="Arial"/>
          <w:sz w:val="18"/>
          <w:szCs w:val="18"/>
          <w:color w:val="auto"/>
        </w:rPr>
      </w:pPr>
    </w:p>
    <w:p>
      <w:pPr>
        <w:ind w:left="1260" w:right="160" w:hanging="503"/>
        <w:spacing w:after="0" w:line="311"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recorded stock-based compensation expense of $10.6 million, $9.4 million and $6.0 million for the years ended December 31, 2022, 2021 and 2020, respectively. By comparing our Adjusted EBITDA in different periods, our investors can evaluate our operating results without stock-based compensation expense, which is a non-cash expense which we believe is not a key measure of our operations.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In addition, management has chosen to use Adjusted EBITDA as a performance measure because we believe that the amount of non-cash expenses, such as depreciation, amortization and stock-based compensation expense, may not directly correlate to the underlying performance of our business operations, and because such expenses can vary significantly from period to period as a result of new acquisitions, full amortization of previously acquired tangible and intangible assets or the timing of new stock-based awards, as the case may be. This facilitates internal comparisons to historical operating results, as well as external comparisons to the operating results of our competitors and other companies in the personal care services industry. Because management believes Adjusted EBITDA is useful as a performance measure, management uses Adjusted EBITDA:</w:t>
      </w:r>
    </w:p>
    <w:p>
      <w:pPr>
        <w:spacing w:after="0" w:line="56" w:lineRule="exact"/>
        <w:rPr>
          <w:sz w:val="20"/>
          <w:szCs w:val="20"/>
          <w:color w:val="auto"/>
        </w:rPr>
      </w:pPr>
    </w:p>
    <w:p>
      <w:pPr>
        <w:ind w:left="1260" w:right="80" w:hanging="503"/>
        <w:spacing w:after="0" w:line="263"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one of our primary financial measures in the day-to-day oversight of our business to allocate financial and human resources across our organization, to assess appropriate levels of marketing and other initiatives and to generally enhance the financial performance of our business;</w:t>
      </w:r>
    </w:p>
    <w:p>
      <w:pPr>
        <w:spacing w:after="0" w:line="75" w:lineRule="exact"/>
        <w:rPr>
          <w:rFonts w:ascii="Arial" w:cs="Arial" w:eastAsia="Arial" w:hAnsi="Arial"/>
          <w:sz w:val="18"/>
          <w:szCs w:val="18"/>
          <w:color w:val="auto"/>
        </w:rPr>
      </w:pPr>
    </w:p>
    <w:p>
      <w:pPr>
        <w:ind w:left="1260" w:right="240" w:hanging="503"/>
        <w:spacing w:after="0" w:line="263"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preparation of our annual operating budget, as well as for other planning purposes on a quarterly and annual basis, including allocations in order to implement our growth strategy, to determine appropriate levels of investments in acquisitions and to endeavor to achieve strong core operating results;</w:t>
      </w:r>
    </w:p>
    <w:p>
      <w:pPr>
        <w:spacing w:after="0" w:line="75" w:lineRule="exact"/>
        <w:rPr>
          <w:rFonts w:ascii="Arial" w:cs="Arial" w:eastAsia="Arial" w:hAnsi="Arial"/>
          <w:sz w:val="18"/>
          <w:szCs w:val="18"/>
          <w:color w:val="auto"/>
        </w:rPr>
      </w:pPr>
    </w:p>
    <w:p>
      <w:pPr>
        <w:ind w:left="1260" w:right="140" w:hanging="503"/>
        <w:spacing w:after="0" w:line="277"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evaluate the effectiveness of business strategies, such as the allocation of resources, the mix of organic growth and acquisitive growth and adjustments to our payor mix;</w:t>
      </w:r>
    </w:p>
    <w:p>
      <w:pPr>
        <w:spacing w:after="0" w:line="62" w:lineRule="exact"/>
        <w:rPr>
          <w:rFonts w:ascii="Arial" w:cs="Arial" w:eastAsia="Arial" w:hAnsi="Arial"/>
          <w:sz w:val="18"/>
          <w:szCs w:val="18"/>
          <w:color w:val="auto"/>
        </w:rPr>
      </w:pPr>
    </w:p>
    <w:p>
      <w:pPr>
        <w:ind w:left="1260" w:right="100" w:hanging="503"/>
        <w:spacing w:after="0" w:line="263"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means of evaluating the effectiveness of management in directing our core operating performance, which we consider to be performance that can be affected by our management in any particular period through their allocation and use of resources that affect our underlying revenue and profit-generating operations during that period;</w:t>
      </w:r>
    </w:p>
    <w:p>
      <w:pPr>
        <w:spacing w:after="0" w:line="75" w:lineRule="exact"/>
        <w:rPr>
          <w:rFonts w:ascii="Arial" w:cs="Arial" w:eastAsia="Arial" w:hAnsi="Arial"/>
          <w:sz w:val="18"/>
          <w:szCs w:val="18"/>
          <w:color w:val="auto"/>
        </w:rPr>
      </w:pPr>
    </w:p>
    <w:p>
      <w:pPr>
        <w:ind w:left="1260" w:hanging="503"/>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the valuation of prospective acquisitions, and to evaluate the effectiveness of integration of past acquisitions into our Company; and</w:t>
      </w:r>
    </w:p>
    <w:p>
      <w:pPr>
        <w:spacing w:after="0" w:line="140" w:lineRule="exact"/>
        <w:rPr>
          <w:rFonts w:ascii="Arial" w:cs="Arial" w:eastAsia="Arial" w:hAnsi="Arial"/>
          <w:sz w:val="16"/>
          <w:szCs w:val="16"/>
          <w:color w:val="auto"/>
        </w:rPr>
      </w:pPr>
    </w:p>
    <w:p>
      <w:pPr>
        <w:ind w:left="1260" w:hanging="50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communications with our Board concerning our financial performance.</w:t>
      </w:r>
    </w:p>
    <w:p>
      <w:pPr>
        <w:spacing w:after="0" w:line="225"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you should not consider it in isolation or as a substitute for analysis of our results of operations as reported under GAAP. Some of these limitations include:</w:t>
      </w:r>
    </w:p>
    <w:p>
      <w:pPr>
        <w:spacing w:after="0" w:line="76" w:lineRule="exact"/>
        <w:rPr>
          <w:sz w:val="20"/>
          <w:szCs w:val="20"/>
          <w:color w:val="auto"/>
        </w:rPr>
      </w:pPr>
    </w:p>
    <w:p>
      <w:pPr>
        <w:ind w:left="1260" w:right="980" w:hanging="503"/>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other contractual commitments;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interest income;</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w:t>
      </w:r>
    </w:p>
    <w:p>
      <w:pPr>
        <w:spacing w:after="0" w:line="117" w:lineRule="exact"/>
        <w:rPr>
          <w:rFonts w:ascii="Arial" w:cs="Arial" w:eastAsia="Arial" w:hAnsi="Arial"/>
          <w:sz w:val="18"/>
          <w:szCs w:val="18"/>
          <w:color w:val="auto"/>
        </w:rPr>
      </w:pPr>
    </w:p>
    <w:p>
      <w:pPr>
        <w:ind w:left="1260" w:right="160" w:hanging="503"/>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will often have to be replaced in the future, and Adjusted EBITDA does not reflect any cash requirements for these replacements;</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any acquisition and de novo expenses;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any stock-based compensation;</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any restructure expense and other related costs;</w:t>
      </w:r>
    </w:p>
    <w:p>
      <w:pPr>
        <w:spacing w:after="0" w:line="117" w:lineRule="exact"/>
        <w:rPr>
          <w:rFonts w:ascii="Arial" w:cs="Arial" w:eastAsia="Arial" w:hAnsi="Arial"/>
          <w:sz w:val="18"/>
          <w:szCs w:val="18"/>
          <w:color w:val="auto"/>
        </w:rPr>
      </w:pPr>
    </w:p>
    <w:p>
      <w:pPr>
        <w:ind w:left="1260" w:right="320" w:hanging="503"/>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any net COVID-19 expense arising from the pandemic from the second quarter of 2020 to the first quarter of 2021;</w:t>
      </w:r>
    </w:p>
    <w:p>
      <w:pPr>
        <w:spacing w:after="0" w:line="62"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any gains or losses on the sale of assets;</w:t>
      </w:r>
    </w:p>
    <w:p>
      <w:pPr>
        <w:spacing w:after="0" w:line="117" w:lineRule="exact"/>
        <w:rPr>
          <w:rFonts w:ascii="Arial" w:cs="Arial" w:eastAsia="Arial" w:hAnsi="Arial"/>
          <w:sz w:val="18"/>
          <w:szCs w:val="18"/>
          <w:color w:val="auto"/>
        </w:rPr>
      </w:pPr>
    </w:p>
    <w:p>
      <w:pPr>
        <w:ind w:left="1260" w:hanging="503"/>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any secondary offering costs; and</w:t>
      </w:r>
    </w:p>
    <w:p>
      <w:pPr>
        <w:spacing w:after="0" w:line="117" w:lineRule="exact"/>
        <w:rPr>
          <w:rFonts w:ascii="Arial" w:cs="Arial" w:eastAsia="Arial" w:hAnsi="Arial"/>
          <w:sz w:val="18"/>
          <w:szCs w:val="18"/>
          <w:color w:val="auto"/>
        </w:rPr>
      </w:pPr>
    </w:p>
    <w:p>
      <w:pPr>
        <w:ind w:left="1260" w:right="660" w:hanging="503"/>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limiting its usefulness as a comparative measure.</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Management compensates for these limitations by using GAAP financial measures in addition to Adjusted EBITDA in managing the day-to-day and long-term operations of our business. We believe that consideration of Adjusted EBITDA, together with a careful review of our GAAP financial measures, is the most informed method of analyzing our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reconciliation of net income, the most directly comparable GAAP measure, to Adjusted EBITDA: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78"/>
              </w:rPr>
              <w:t>(Amounts In Thousands)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Reconciliation of net income to Adjusted EBITDA </w:t>
            </w:r>
            <w:r>
              <w:rPr>
                <w:rFonts w:ascii="Arial" w:cs="Arial" w:eastAsia="Arial" w:hAnsi="Arial"/>
                <w:sz w:val="24"/>
                <w:szCs w:val="24"/>
                <w:color w:val="auto"/>
                <w:vertAlign w:val="superscript"/>
              </w:rPr>
              <w:t>(a):</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46,025</w:t>
            </w:r>
          </w:p>
        </w:tc>
        <w:tc>
          <w:tcPr>
            <w:tcW w:w="120" w:type="dxa"/>
            <w:vAlign w:val="bottom"/>
          </w:tcPr>
          <w:p>
            <w:pPr>
              <w:spacing w:after="0"/>
              <w:rPr>
                <w:sz w:val="20"/>
                <w:szCs w:val="20"/>
                <w:color w:val="auto"/>
              </w:rPr>
            </w:pP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45,126</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33,133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Acquisition and de novo expenses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Restructure expense and other related costs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COVID-19 expense, net </w:t>
            </w:r>
            <w:r>
              <w:rPr>
                <w:rFonts w:ascii="Arial" w:cs="Arial" w:eastAsia="Arial" w:hAnsi="Arial"/>
                <w:sz w:val="24"/>
                <w:szCs w:val="24"/>
                <w:color w:val="auto"/>
                <w:vertAlign w:val="superscript"/>
              </w:rPr>
              <w:t>(b)</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(591 )</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0"/>
              <w:spacing w:after="0"/>
              <w:rPr>
                <w:sz w:val="20"/>
                <w:szCs w:val="20"/>
                <w:color w:val="auto"/>
              </w:rPr>
            </w:pPr>
            <w:r>
              <w:rPr>
                <w:rFonts w:ascii="Arial" w:cs="Arial" w:eastAsia="Arial" w:hAnsi="Arial"/>
                <w:sz w:val="18"/>
                <w:szCs w:val="18"/>
                <w:color w:val="auto"/>
              </w:rPr>
              <w:t>(Gain) loss on sale of assets</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r>
      <w:tr>
        <w:trPr>
          <w:trHeight w:val="28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101,480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97,661</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7" w:lineRule="exact"/>
        <w:rPr>
          <w:sz w:val="20"/>
          <w:szCs w:val="20"/>
          <w:color w:val="auto"/>
        </w:rPr>
      </w:pPr>
    </w:p>
    <w:p>
      <w:pPr>
        <w:ind w:left="1520" w:right="60" w:hanging="805"/>
        <w:spacing w:after="0" w:line="293" w:lineRule="auto"/>
        <w:tabs>
          <w:tab w:leader="none" w:pos="1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selected historical Consolidated Statements of Income data for the fiscal years ended December 31, 2022, 2021 and 2020, were derived from our audited Consolidated Financial Statements.</w:t>
      </w:r>
    </w:p>
    <w:p>
      <w:pPr>
        <w:spacing w:after="0" w:line="63" w:lineRule="exact"/>
        <w:rPr>
          <w:rFonts w:ascii="Arial" w:cs="Arial" w:eastAsia="Arial" w:hAnsi="Arial"/>
          <w:sz w:val="16"/>
          <w:szCs w:val="16"/>
          <w:color w:val="auto"/>
        </w:rPr>
      </w:pPr>
    </w:p>
    <w:p>
      <w:pPr>
        <w:ind w:left="1520" w:hanging="805"/>
        <w:spacing w:after="0"/>
        <w:tabs>
          <w:tab w:leader="none" w:pos="1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Excludes net COVID expenses arising from the pandemic from the second quarter of 2020 to the first quarter of 2021.</w:t>
      </w:r>
    </w:p>
    <w:p>
      <w:pPr>
        <w:spacing w:after="0" w:line="126" w:lineRule="exact"/>
        <w:rPr>
          <w:rFonts w:ascii="Arial" w:cs="Arial" w:eastAsia="Arial" w:hAnsi="Arial"/>
          <w:sz w:val="16"/>
          <w:szCs w:val="16"/>
          <w:color w:val="auto"/>
        </w:rPr>
      </w:pPr>
    </w:p>
    <w:p>
      <w:pPr>
        <w:ind w:left="720" w:right="60"/>
        <w:spacing w:after="0" w:line="288" w:lineRule="auto"/>
        <w:rPr>
          <w:rFonts w:ascii="Arial" w:cs="Arial" w:eastAsia="Arial" w:hAnsi="Arial"/>
          <w:sz w:val="16"/>
          <w:szCs w:val="16"/>
          <w:color w:val="auto"/>
        </w:rPr>
      </w:pPr>
      <w:r>
        <w:rPr>
          <w:rFonts w:ascii="Arial" w:cs="Arial" w:eastAsia="Arial" w:hAnsi="Arial"/>
          <w:sz w:val="15"/>
          <w:szCs w:val="15"/>
          <w:color w:val="auto"/>
        </w:rPr>
        <w:t>* Management deems Adjusted EBITDA to be a key performance indicator. Management uses key performance indicators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Our primary sources of liquidity are cash on hand and cash from operations and borrowings under our credit facility. At December 31, 2022 and 2021, we had cash balances of $80.0 million and $168.9 million, respectively. Cash flows from operating activities represent the inflow of cash from our payor clients and the outflow of cash for payroll and payroll taxes, operating expenses, interest and taxes.</w:t>
      </w:r>
    </w:p>
    <w:p>
      <w:pPr>
        <w:spacing w:after="0" w:line="184"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We drew approximately $47.0 million on the revolver portion of our credit facility to fund, in part, the JourneyCare and Apple Home acquisitions, and repaid $105.0 million under our revolving credit facility in 2022. At December 31, 2022, we had a total of $134.9 million in revolving loans, with an interest rate of 6.13% outstanding on our credit facility. After giving effect to the amounts drawn on our credit facility, approximately $8.2 million of outstanding letters of credit and borrowing limits based on an advance multiple of Adjusted EBITDA (as defined in the Credit Agreement), we had $380.2 million of capacity and $237.2 million available for borrowing under our credit facility. At December 31, 2021, we had a total of $224.9 million of revolving loans, with an interest rate of 2.10%. During the year ended December 31, 2021, the Company drew approximately $29.0 million on the revolver portion of its credit facility to fund, in part, the acquisition of Armada on August 1, 2021.</w:t>
      </w:r>
    </w:p>
    <w:p>
      <w:pPr>
        <w:spacing w:after="0" w:line="17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Our credit facility requires us to maintain a total net leverage ratio not exceeding 3.75:1.00. At December 31, 2022,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Borrowing Capacity</w:t>
      </w:r>
    </w:p>
    <w:p>
      <w:pPr>
        <w:spacing w:after="0" w:line="11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The Company’s Credit Agreement provides for a $600.0 million revolving credit facility and a $125.0 million incremental loan facility, which incremental loan facility may be for term loans or an increase to the revolving loan commitments. The maturity of the credit facility is July 30, 2026. The Credit Agreement contains hardwired fallback language that contemplates a transition from LIBOR, specifically identifies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See Note 7, Long-Term Debt, to the Notes to Consolidated Financial Statements for additional details of our long-term debt.</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Current Macroeconomic Conditions and the COVID-19 Pandemic</w:t>
      </w:r>
    </w:p>
    <w:p>
      <w:pPr>
        <w:spacing w:after="0" w:line="117"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Economic conditions in the United States continue to be challenging in various respects, including as a result of the COVID-19 pandemic. For example, the United States economy continues to experience significant inflationary pressures, elevated interest rates, challenging labor market conditions, and disruptions to supply networks. Any resulting economic downturn would pose a risk to states’ revenues, which in turn could affect our reimbursements and collections received for services rendered. Depending on the severity and length of any potential economic downturn, states could face significant fiscal challenges and revise their revenue forecasts and adjust their budgets, and sales tax collections and income tax withholdings could be depressed in fiscal year 2021 (which began July 1 in most states), and, potentially, future fiscal years. In this regard, Illinois, New Mexico and New York, our top three personal care markets, previously revised revenue estimates downward for the 2022 fiscal year as the result of earlier negative economic conditions arising from the pandemic. Also in response to reduced revenues, the state of New York authorized the issuance of short-term bonds and implemented uniform reductions to Medicaid payments, applicable to home health and personal care services (hospice services were exempt). These reductions took effect for dates of service on or after April 2, 2020, and were eliminated effective April 1, 2022.</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Government Stimulus and Relief Measures</w:t>
      </w:r>
    </w:p>
    <w:p>
      <w:pPr>
        <w:spacing w:after="0" w:line="117"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In response to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and limited waivers of fraud and abuse laws for activities related to COVID-19 during the emergency period. The current federal public health emergency declaration expires May 11, 2023. The presidential administration has indicated that the public health emergency will not be extended.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Provider Relief Fund</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One of the primary sources of relief for healthcare providers is the Provider Relief Fund, which has been funded through the CARES Act and related legislation. Provider Relief Fund payments are intended to compensate healthcare providers for lost revenues and healthcare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w:t>
      </w:r>
    </w:p>
    <w:p>
      <w:pPr>
        <w:spacing w:after="0" w:line="18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November 2020, the Company received grants in an aggregate principal amount of $13.7 million from the Provider Relief Fund, for which we had previously applied. The Company utilized the remaining $12.3 million of these funds during the year ended December 31, 2021, for healthcare related expenses, including retention payments attributable to COVID-19 that were unreimbursed by other sources. We were required to properly and fully document the use of such funds in reports to HHS. The Company documented the use of such funds in reports to HHS, as required, and submitted the reports to HHS prior to the deadline of March 31, 2022. During the year ended December 31, 2022, we submitted an unmodified audit report to HHS in accordance with Generally Accepted Government Auditing Standards, as required for commercial organizations that received and expended total awards of $750,000 or more.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CARES Act also provides for certain federal income and other tax changes, including allowing for the deferral of the employer portion of Social Security payroll taxes through December 31, 2020. The payroll tax deferral requires that the deferred payroll taxes be paid over two years, with half of the eligible deferred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repaid $4.1 million and $3.0 million as of December 31, 2022 and 2021, respectively.</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ARPA Spending Plans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American Rescue Plan Act of 2021 (“ARPA”), which became law on March 11, 2021, provides for $350 billion in relief funding for eligible state, local, territorial, and Tribal governments to mitigate the fiscal effects of the COVID-19 public health emergency. Additionally, the law provides for a 10 percentage point increase in federal matching funds for Medicaid HCBS from April 1, 2021, through March 30, 2022, provided the state satisfies certain conditions. States must use the monies attributable to this matching fund increase to supplement, not supplant, their level of spending for the implementation of activities enhanced under the Medicaid HCBS in effect as of April 1, 2021. States will be permitted to use the state funds equivalent to the additional federal funds through March 31, 2025.</w:t>
      </w:r>
    </w:p>
    <w:p>
      <w:pPr>
        <w:spacing w:after="0" w:line="19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twelve months ended December 31, 2022, the Company received state funding provided by the ARPA in an aggregate amount of $23.4 million. The Company recorded revenue of $1.9 million and related cost of service revenues of $1.5 million for certain states that met the revenue recognition criteria. The Company deferred the remaining $21.5 million, which was received from states with specific spending plans and reporting requirements. The Company utilized $8.6 million of these funds during the twelve months ended December 31, 2022, respectively, primarily for caregivers and adding support to recruiting and retention efforts, included as a reduction of cost of service revenues in the Company’s Consolidated Statements of Income. As of December 31, 2022, the deferred portion of ARPA funding was $12.9 million, which is included within Government stimulus advances on the Company’s Consolidated Balance Sheets.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Medicare sequester</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CARES Act and related legislation also include other provisions offering financial relief, for example temporarily suspending the Medicare sequester, which would have otherwise reduced payments to Medicare providers by 2% as required by the Budget Control Act of 2011. The sequestration adjustment resumed with a 1% reduction beginning April 1, 2022, and a 2% reduction beginning July 1, 2022. These sequestration cuts have been extended through 2032.</w:t>
      </w:r>
    </w:p>
    <w:p>
      <w:pPr>
        <w:spacing w:after="0" w:line="18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our hospice segment, Medicare sequester relief resulted in an increase in net service revenues of $1.4 million and $2.9 million for the years ended December 31, 2022 and 2021, respectively. In our home health segment, Medicare sequester relief resulted in an increase in net service revenues of $0.3 million and $0.5 million, for the years ended December 31, 2022 and 2021, respectively.</w:t>
      </w:r>
    </w:p>
    <w:p>
      <w:pPr>
        <w:spacing w:after="0" w:line="18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However, 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 Further, we anticipate that the federal deficit will continue to place pressure on government healthcare programs, and it is possible that future deficit reduction legislation will impose additional Medicare spending reductions.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historical changes in our cash flows for the years ended December 31, 2022,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78"/>
              </w:rPr>
              <w:t>(Amounts in Thousands)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105,110</w:t>
            </w:r>
          </w:p>
        </w:tc>
        <w:tc>
          <w:tcPr>
            <w:tcW w:w="120" w:type="dxa"/>
            <w:vAlign w:val="bottom"/>
            <w:shd w:val="clear" w:color="auto" w:fill="CFF0FC"/>
          </w:tcPr>
          <w:p>
            <w:pPr>
              <w:spacing w:after="0"/>
              <w:rPr>
                <w:sz w:val="21"/>
                <w:szCs w:val="21"/>
                <w:color w:val="auto"/>
              </w:rPr>
            </w:pP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109,411</w:t>
            </w:r>
          </w:p>
        </w:tc>
        <w:tc>
          <w:tcPr>
            <w:tcW w:w="100" w:type="dxa"/>
            <w:vAlign w:val="bottom"/>
            <w:shd w:val="clear" w:color="auto" w:fill="CFF0FC"/>
          </w:tcPr>
          <w:p>
            <w:pPr>
              <w:spacing w:after="0"/>
              <w:rPr>
                <w:sz w:val="21"/>
                <w:szCs w:val="21"/>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(106,590 )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(42,015 )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(214,236 )</w:t>
            </w: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(87,454 )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138,189</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Net cash provided by operating activities was $105.1 million for the year ended December 31, 2022, compared to $39.5 million in 2021 primarily due to the timing of receipts on accounts receivable and the timing of government stimulus funds. The changes in accounts receivable were primarily related to the growth in revenue and a decrease in days sales outstanding (“DSO”) during the year ended December 31, 2022 compared to 2021, as described below. The related receivables due from the Illinois Department on Aging represented 18.0% and 16.1% of net accounts receivable at December 31, 2022 and 2021, respectively.</w:t>
      </w:r>
    </w:p>
    <w:p>
      <w:pPr>
        <w:spacing w:after="0" w:line="188"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Net cash used in investing activities was $106.6 million for the year ended December 31, 2022, compared to $42.0 million for the year ended December 31, 2021. Our investing activities for the year ended December 31, 2022 consisted of $86.6 million primarily for the acquisition of JourneyCare, $12.7 million for the acquisition of Apple Home and $8.3 million in purchases of property and equipment primarily related to technology infrastructure. Our investing activities for the year ended December 31, 2021 primarily consisted of $29.1 million primarily for the acquisition of Armada, $8.2 million for the acquisition of Summit and $4.6 million in purchases of property and equipment primarily related to technology infrastructure.</w:t>
      </w:r>
    </w:p>
    <w:p>
      <w:pPr>
        <w:spacing w:after="0" w:line="16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Net cash used in financing activities was $87.4 million for the year ended December 31, 2022 compared to net cash provided of $26.3 million for the year ended December 31, 2021. Our financing activities for the year ended December 31, 2022 included borrowings of $47.0 million on the revolver portion of our credit facility to fund two acquisitions and the payment of $137.0 million of our revolving loans. Our financing activities for the year ended December 31, 2021 primarily related to borrowings of approximately $29.0 million on the revolver portion of our credit facility to fund the Armada acquisition, the reallocation and refinancing of $17.4 million of our outstanding initial term loans as revolving loans and cash paid for debt issuance costs of $3.0 million.</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Outstanding Accounts Receivable</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Gross accounts receivable as of December 31, 2022 and 2021 were $127.1 million and $138.4 million, respectively. Outstanding accounts receivable, net of the allowance for doubtful accounts, decreased by $11.5 million as of December 31, 2022 compared to December 31, 2021. The open receivable balance from the Illinois Department on Aging, the largest payor program for the Company’s Illinois personal care operation, increased by $0.5 million from $22.0 million as of December 31, 2021 to $22.5 million as of December 31, 2022.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92"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We calculate our DSO by taking the accounts receivable outstanding, net of the allowance for doubtful accounts, divided by the net service revenues for the last quarter, multiplied by the number of days in that quarter. Our DSOs were 45 days and 54 days at December 31, 2022 and 2021, respectively. The DSOs for our largest payor, the Illinois Department on Aging, at December 31, 2022 and 2021 were 42 days and 43 days, respectively.</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we did not have any off-balance sheet guarantees or arrangements with unconsolidated entities.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w:t>
      </w:r>
    </w:p>
    <w:p>
      <w:pPr>
        <w:spacing w:after="0" w:line="184"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Our significant accounting policies are described in Note 1 to the Notes to Consolidated Financial Statements. An accounting policy is deemed to be critical if it involves a significant level of estimation uncertainty and has had or is reasonably likely to have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material impact on our financial condition or results of operations. We base our estimates and judgments on historical experience and other sources and factors that we believe to be reasonable under the circumstances, however, actual results may differ from these estimates. Our critical accounting policies requiring estimates, assumptions and judgments that we believe have the most significant impact on our consolidated financial statements are described below.</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Accounts Receivable and Allowances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we participate are complex and subject to interpretation. Net service revenues related to uninsured accounts, or self-pay, is recorded net of implicit price concessions estimated based on historical collection experience to reduce revenue to the estimated amount we expect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We monitor our net service revenues and collections from these sources and record any necessary adjustment to net service revenues based upon management’s assessment of historical write offs and expected net collections, business and economic conditions, trends in federal, state and private employer healthcare coverage and other collection indicators.</w:t>
      </w:r>
    </w:p>
    <w:p>
      <w:pPr>
        <w:spacing w:after="0" w:line="18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we expect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we compare our cash collections to recorded net service revenues and evaluate our historical allowances, including implicit price concessions, based upon the ultimate resolution of the accounts receivable balance.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firstLine="469"/>
        <w:spacing w:after="0" w:line="284" w:lineRule="auto"/>
        <w:rPr>
          <w:sz w:val="20"/>
          <w:szCs w:val="20"/>
          <w:color w:val="auto"/>
        </w:rPr>
      </w:pPr>
      <w:r>
        <w:rPr>
          <w:rFonts w:ascii="Arial" w:cs="Arial" w:eastAsia="Arial" w:hAnsi="Arial"/>
          <w:sz w:val="16"/>
          <w:szCs w:val="16"/>
          <w:color w:val="auto"/>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As of December 31, 2022 and 2021, goodwill was $582.8 million and $504.4 million, respectively, included in our Consolidated Balance Sheets. The carrying value of our goodwill is the excess of the purchase price over the fair value of the net assets acquired from various acquisitions.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We may also bypass the qualitative assessment and perform a quantitative test. Additionally, it is our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w:t>
      </w:r>
    </w:p>
    <w:p>
      <w:pPr>
        <w:spacing w:after="0" w:line="179" w:lineRule="exact"/>
        <w:rPr>
          <w:sz w:val="20"/>
          <w:szCs w:val="20"/>
          <w:color w:val="auto"/>
        </w:rPr>
      </w:pPr>
    </w:p>
    <w:p>
      <w:pPr>
        <w:ind w:right="100" w:firstLine="478"/>
        <w:spacing w:after="0" w:line="270" w:lineRule="auto"/>
        <w:rPr>
          <w:sz w:val="20"/>
          <w:szCs w:val="20"/>
          <w:color w:val="auto"/>
        </w:rPr>
      </w:pPr>
      <w:r>
        <w:rPr>
          <w:rFonts w:ascii="Arial" w:cs="Arial" w:eastAsia="Arial" w:hAnsi="Arial"/>
          <w:sz w:val="17"/>
          <w:szCs w:val="17"/>
          <w:color w:val="auto"/>
        </w:rPr>
        <w:t>For the years ended December 31, 2022, 2021 and 2020, we performed the quantitative analysis to evaluate whether an impairment occurred. Since quoted market prices for our reporting units are not available, we rely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and the weighted-average cost of capital.</w:t>
      </w:r>
    </w:p>
    <w:p>
      <w:pPr>
        <w:spacing w:after="0" w:line="18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Based on the totality of the information available, we concluded that it was more likely than not that the estimated fair values of our reporting units were greater than their carrying values. Consequently, we concluded that there were no impairments for the years ended December 31, 2022, 2021 or 2020. For the fiscal year 2022 impairment tests, the fair value of the reporting units exceeded their respective carrying values (commonly referred to as “headroom”) by at least 100% in the personal care reporting unit, 75% in the home health reporting unit, and 67% in the hospice reporting unit. We performed a sensitivity analysis on this reporting unit and determined that a more than 3.1% increase to the weighted- average cost of capital, the most sensitive assumption used in the estimate, would result in the fair value being lower than the carrying value. The Company bases its fair value estimates on assumptions management believes to be reasonable but which are unpredictable and inherently uncertain. Actual future results may differ from those estimates.</w:t>
      </w:r>
    </w:p>
    <w:p>
      <w:pPr>
        <w:spacing w:after="0" w:line="19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 xml:space="preserve">As of December 31, 2022 and 2021, intangibles, net of accumulated amortization, was $72.2 million and $64.3 million, respectively, included in our Consolidated Balance Sheets. Our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We would recognize an impairment loss when the estimated future non-discounted cash flows associated with the intangible asset are less than the carrying value. An impairment charge would then be recorded for the excess of the carrying value over the fair value. We estimate the fair value of these intangible assets using the income approach. In accordance with ASC Topic 350,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intangible assets with indefinite useful lives are not amortized. We test intangible assets with indefinite useful lives for impairment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2022, 2021 or 2020. Amortization of intangible assets is reported in the statement of income caption, “Depreciation and amortization” and not included in the income statement caption cost of service revenues.</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to the Notes to Consolidated Financial Statements for further discussion.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17" w:lineRule="exact"/>
        <w:rPr>
          <w:sz w:val="20"/>
          <w:szCs w:val="20"/>
          <w:color w:val="auto"/>
        </w:rPr>
      </w:pPr>
    </w:p>
    <w:p>
      <w:pPr>
        <w:ind w:right="20" w:firstLine="469"/>
        <w:spacing w:after="0" w:line="342" w:lineRule="auto"/>
        <w:rPr>
          <w:sz w:val="20"/>
          <w:szCs w:val="20"/>
          <w:color w:val="auto"/>
        </w:rPr>
      </w:pPr>
      <w:r>
        <w:rPr>
          <w:rFonts w:ascii="Arial" w:cs="Arial" w:eastAsia="Arial" w:hAnsi="Arial"/>
          <w:sz w:val="16"/>
          <w:szCs w:val="16"/>
          <w:color w:val="auto"/>
        </w:rPr>
        <w:t>We had outstanding letters of credit of $8.2 million at December 31, 2022. These standby letters of credit benefit our third-party insurer for our high deductible workers’ compensation insurance program. The amount of the letters of credit is negotiated annually in conjunction with the insurance renewals.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40" w:firstLine="469"/>
        <w:spacing w:after="0" w:line="311" w:lineRule="auto"/>
        <w:rPr>
          <w:sz w:val="20"/>
          <w:szCs w:val="20"/>
          <w:color w:val="auto"/>
        </w:rPr>
      </w:pPr>
      <w:r>
        <w:rPr>
          <w:rFonts w:ascii="Arial" w:cs="Arial" w:eastAsia="Arial" w:hAnsi="Arial"/>
          <w:sz w:val="16"/>
          <w:szCs w:val="16"/>
          <w:color w:val="auto"/>
        </w:rPr>
        <w:t>We believe that our existing cash on hand, our anticipated cash flows from operations and amounts available under our Credit Agreement will be sufficient to fund our anticipated operating and investing needs for the next 12 months and for the foreseeable future thereafter. Cash from operations could also be affected by various risks and uncertainties, including, but not limited to the effects of risks detailed in Part I, Item 1A—”Risk Factors”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31, 2022, the Company had outstanding debt on our revolving loan under our credit facility of $134.9 million, payable on July 30,</w:t>
      </w:r>
    </w:p>
    <w:p>
      <w:pPr>
        <w:spacing w:after="0" w:line="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2026. Interest payments associated with the debt aggregate to $34.4 million, with $9.9 million payable within 12 months. As described in Note 7 to the Notes to Consolidated Financial Statements, interest on borrowings under the revolving loan are variable. The calculated interest payable amounts use actual rates available through January 2023 and assumes the January rates of 6.13%, respectively, for all future interest payable on the revolving loans. See Note 7, Long-Term Debt, to the Notes to Consolidated Financial Statements for additional details of our long-term debt.</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469"/>
        <w:spacing w:after="0" w:line="263" w:lineRule="auto"/>
        <w:rPr>
          <w:sz w:val="20"/>
          <w:szCs w:val="20"/>
          <w:color w:val="auto"/>
        </w:rPr>
      </w:pPr>
      <w:r>
        <w:rPr>
          <w:rFonts w:ascii="Arial" w:cs="Arial" w:eastAsia="Arial" w:hAnsi="Arial"/>
          <w:sz w:val="18"/>
          <w:szCs w:val="18"/>
          <w:color w:val="auto"/>
        </w:rPr>
        <w:t>The Company has lease arrangements for local branches, our corporate headquarters and certain equipment. As of December 31, 2022, the Company had fixed lease payment obligations aggregating to $52.0 million, with $12.5 million payable within 12 months. See Note 2, Leases, to the Notes to Consolidated Financial Statements for additional details of our leases.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Impact of Inflation</w:t>
      </w:r>
    </w:p>
    <w:p>
      <w:pPr>
        <w:spacing w:after="0" w:line="117" w:lineRule="exact"/>
        <w:rPr>
          <w:sz w:val="20"/>
          <w:szCs w:val="20"/>
          <w:color w:val="auto"/>
        </w:rPr>
      </w:pPr>
    </w:p>
    <w:p>
      <w:pPr>
        <w:ind w:firstLine="464"/>
        <w:spacing w:after="0" w:line="255" w:lineRule="auto"/>
        <w:rPr>
          <w:sz w:val="20"/>
          <w:szCs w:val="20"/>
          <w:color w:val="auto"/>
        </w:rPr>
      </w:pPr>
      <w:r>
        <w:rPr>
          <w:rFonts w:ascii="Arial" w:cs="Arial" w:eastAsia="Arial" w:hAnsi="Arial"/>
          <w:sz w:val="18"/>
          <w:szCs w:val="18"/>
          <w:color w:val="auto"/>
        </w:rPr>
        <w:t>The United States has recently experienced high rates of inflation. These inflationary conditions have resulted in, and may continue to result in, increased operating costs, particularly as the result of increased wages we have paid and may continue to pay our caregivers and other personnel and our ability to attract and retain personnel. Increased price levels might allow us to increase our fees to private pay clients, but our ability to realize rate increases from government programs might be limited despite inflation. Inflation may also raise our financing costs. For additional information regarding the risks to us from the current competitive labor market and increasing labor costs, see Item 1A—Risk Factors — “</w:t>
      </w:r>
      <w:r>
        <w:rPr>
          <w:rFonts w:ascii="Arial" w:cs="Arial" w:eastAsia="Arial" w:hAnsi="Arial"/>
          <w:sz w:val="18"/>
          <w:szCs w:val="18"/>
          <w:i w:val="1"/>
          <w:iCs w:val="1"/>
          <w:color w:val="auto"/>
        </w:rPr>
        <w:t>We may not be able to attract and retain qualified</w:t>
      </w:r>
      <w:r>
        <w:rPr>
          <w:rFonts w:ascii="Arial" w:cs="Arial" w:eastAsia="Arial" w:hAnsi="Arial"/>
          <w:sz w:val="18"/>
          <w:szCs w:val="18"/>
          <w:color w:val="auto"/>
        </w:rPr>
        <w:t xml:space="preserve"> </w:t>
      </w:r>
      <w:r>
        <w:rPr>
          <w:rFonts w:ascii="Arial" w:cs="Arial" w:eastAsia="Arial" w:hAnsi="Arial"/>
          <w:sz w:val="18"/>
          <w:szCs w:val="18"/>
          <w:i w:val="1"/>
          <w:iCs w:val="1"/>
          <w:color w:val="auto"/>
        </w:rPr>
        <w:t>personnel or we may incur increased costs in doing so.</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are exposed to market risk associated with changes in interest rates on our variable rate long-term debt. As of December 31, 2022, we had outstanding borrowings of approximately $134.9 million on our credit facility, all of which was subject to variable interest rates. As of December 31, 2021, we had outstanding borrowings of approximately $224.9 million on our credit facility, all of which was subject to variable interest rates. If the variable rates on this debt were 100 basis points higher than the rate applicable to the borrowing during the year ended December 31, 2022, our net income would have decreased by $1.6 million, or $0.10 per diluted share. We do not currently have any derivative or hedging arrangements, or other known exposures, to changes in interest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40" w:firstLine="509"/>
        <w:spacing w:after="0" w:line="342" w:lineRule="auto"/>
        <w:rPr>
          <w:sz w:val="20"/>
          <w:szCs w:val="20"/>
          <w:color w:val="auto"/>
        </w:rPr>
      </w:pPr>
      <w:r>
        <w:rPr>
          <w:rFonts w:ascii="Arial" w:cs="Arial" w:eastAsia="Arial" w:hAnsi="Arial"/>
          <w:sz w:val="16"/>
          <w:szCs w:val="16"/>
          <w:color w:val="auto"/>
        </w:rPr>
        <w:t>Our Consolidated Financial Statements together with the related Notes to Consolidated Financial Statements and the report of our independent registered public accounting firm, are set forth on the pages indicated in Part IV, Item 15—”Exhibits and Financial Statement Schedules.”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conducted an evaluation of our disclosure controls and procedures, as such term is defined under Rule 13a-15(e)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recorded, processed, summarized and reported, within the time periods specified in the SEC’s rules and forms, and that such information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5"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December 31, 2022.</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Because of its inherent limitations, internal control over financial reporting may not prevent or detect misstatements. Under the supervision and with the participation of our management, including our Chief Executive Officer and Chief Financial Officer, we conducted an assessment of the effectiveness of our internal control over financial reporting based on the framework in Internal Control — Integrated Framework issued by the Committee of Sponsoring Organizations of the Treadway Commission (2013 framework). Based on our assessment under the framework in Internal Control — Integrated Framework, our management concluded that our internal control over financial reporting was effective as of December 31, 2022.</w:t>
      </w:r>
    </w:p>
    <w:p>
      <w:pPr>
        <w:spacing w:after="0" w:line="56"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Under SEC Staff guidance, companies are permitted to exclude acquisitions from their first assessment of internal control over financial reporting which covers the period in which such acquisition was completed. We excluded JourneyCare Inc. (“JourneyCare”) and Apple Home HealthCare, LTD (“Apple Home”) each of which are wholly-owned subsidiaries, from our assessment of internal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control over financial reporting as of December 31, 2022 because they were acquired in purchase business combinations on February 1, 2022 and October 1, 2022, respectively.</w:t>
      </w:r>
    </w:p>
    <w:p>
      <w:pPr>
        <w:spacing w:after="0" w:line="278" w:lineRule="exact"/>
        <w:rPr>
          <w:sz w:val="20"/>
          <w:szCs w:val="20"/>
          <w:color w:val="auto"/>
        </w:rPr>
      </w:pPr>
    </w:p>
    <w:p>
      <w:pPr>
        <w:ind w:left="780" w:hanging="381"/>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JourneyCare represented 5% of our revenues and 11% of our operating income, respectively, for the year ended December 31, 2022.</w:t>
      </w:r>
    </w:p>
    <w:p>
      <w:pPr>
        <w:spacing w:after="0" w:line="250" w:lineRule="exact"/>
        <w:rPr>
          <w:rFonts w:ascii="Arial" w:cs="Arial" w:eastAsia="Arial" w:hAnsi="Arial"/>
          <w:sz w:val="17"/>
          <w:szCs w:val="17"/>
          <w:color w:val="auto"/>
        </w:rPr>
      </w:pPr>
    </w:p>
    <w:p>
      <w:pPr>
        <w:ind w:left="780" w:hanging="38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Apple Home represented 0.24% of our revenues and 0.24% of our operating income, respectively, for the year ended December 31, 2022.</w:t>
      </w:r>
    </w:p>
    <w:p>
      <w:pPr>
        <w:spacing w:after="0" w:line="154" w:lineRule="exact"/>
        <w:rPr>
          <w:sz w:val="20"/>
          <w:szCs w:val="20"/>
          <w:color w:val="auto"/>
        </w:rPr>
      </w:pPr>
    </w:p>
    <w:p>
      <w:pPr>
        <w:ind w:right="260" w:firstLine="469"/>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its report which appears within Part IV, Item 15—“Exhibits and Financial Statement Schedules.”.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December 31, 2022 that have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7"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on Form 10-K as we intend to file our definitive Proxy Statement for the 2022 Annual Meeting of Stockholders pursuant to Regulation 14A of the Exchange Act not later than 120 days after the end of the fiscal year covered by this Annual Report, and certain information included in the Proxy Statement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2023 Proxy Statement to be filed with the SEC not later than 120 days after the end of the fiscal year ended December 31, 2022.</w:t>
      </w:r>
    </w:p>
    <w:p>
      <w:pPr>
        <w:spacing w:after="0" w:line="17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have adopted a Code of Business Conduct and Ethics (“Code of Conduct”) that is applicable to all of our employees, officers and members of our Board of Directors, and our subsidiaries. The Code of Conduct addresses, among other things, legal compliance, conflicts of interest, corporate opportunities, protection and proper use of Company assets, confidential and proprietary information, integrity of records, compliance with accounting principles and relations with government agencies. A copy of the current version of our Code of Conduct is available in the Investors—Corporate Governance section of our internet website located at www.addus.com. A copy of the Code of Conduct is also available in print, free of charge, to any stockholder who requests it by writing to Addus HomeCare Corporation, 6303 Cowboys Way, Suite 600, Frisco, TX 75034. We intend to post amendments to or waivers from, if any, our Code of Conduct at this location on our website, in each case to the extent such amendment or waiver would otherwise require the filing of a Current Report on Form 8-K pursuant to Item 5.05 thereof.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2023 Proxy Statement to be filed with the SEC not later than 120 days after the end of the fiscal year ended December 31, 2022.</w:t>
      </w:r>
    </w:p>
    <w:p>
      <w:pPr>
        <w:spacing w:after="0" w:line="274" w:lineRule="exact"/>
        <w:rPr>
          <w:sz w:val="20"/>
          <w:szCs w:val="20"/>
          <w:color w:val="auto"/>
        </w:rPr>
      </w:pPr>
    </w:p>
    <w:p>
      <w:pPr>
        <w:ind w:left="1020" w:right="540" w:hanging="101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2023 Proxy Statement to be filed with the SEC not later than 120 days after the end of the fiscal year ended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2023 Proxy Statement to be filed with the SEC not later than 120 days after the end of the fiscal year ended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2023 Proxy Statement to be filed with the SEC not later than 120 days after the end of the fiscal year ended December 31,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900" w:right="140" w:hanging="38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 (2) The Financial Statements listed on the index on page F-1 following are included herein. All schedules are omitted, either because they are not applicable or because the required information is shown in the financial statements or the notes thereto.</w:t>
      </w:r>
    </w:p>
    <w:p>
      <w:pPr>
        <w:spacing w:after="0" w:line="17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8"/>
              </w:rPr>
              <w:t>Number</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22"/>
          </w:tcPr>
          <w:p>
            <w:pPr>
              <w:ind w:left="400"/>
              <w:spacing w:after="0"/>
              <w:rPr>
                <w:sz w:val="20"/>
                <w:szCs w:val="20"/>
                <w:color w:val="auto"/>
              </w:rPr>
            </w:pPr>
            <w:r>
              <w:rPr>
                <w:rFonts w:ascii="Arial" w:cs="Arial" w:eastAsia="Arial" w:hAnsi="Arial"/>
                <w:sz w:val="18"/>
                <w:szCs w:val="18"/>
                <w:b w:val="1"/>
                <w:bCs w:val="1"/>
                <w:color w:val="auto"/>
              </w:rPr>
              <w:t>Description of Document</w:t>
            </w:r>
          </w:p>
        </w:tc>
      </w:tr>
      <w:tr>
        <w:trPr>
          <w:trHeight w:val="338"/>
        </w:trPr>
        <w:tc>
          <w:tcPr>
            <w:tcW w:w="200" w:type="dxa"/>
            <w:vAlign w:val="bottom"/>
            <w:gridSpan w:val="2"/>
          </w:tcPr>
          <w:p>
            <w:pPr>
              <w:spacing w:after="0"/>
              <w:rPr>
                <w:sz w:val="24"/>
                <w:szCs w:val="24"/>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22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tcBorders>
              <w:bottom w:val="single" w:sz="8" w:color="0000FF"/>
            </w:tcBorders>
            <w:gridSpan w:val="16"/>
          </w:tcPr>
          <w:p>
            <w:pPr>
              <w:spacing w:after="0"/>
              <w:rPr>
                <w:rFonts w:ascii="Arial" w:cs="Arial" w:eastAsia="Arial" w:hAnsi="Arial"/>
                <w:sz w:val="18"/>
                <w:szCs w:val="18"/>
                <w:color w:val="0000FF"/>
                <w:w w:val="91"/>
              </w:rPr>
            </w:pPr>
            <w:hyperlink r:id="rId224">
              <w:r>
                <w:rPr>
                  <w:rFonts w:ascii="Arial" w:cs="Arial" w:eastAsia="Arial" w:hAnsi="Arial"/>
                  <w:sz w:val="18"/>
                  <w:szCs w:val="18"/>
                  <w:color w:val="0000FF"/>
                  <w:w w:val="91"/>
                </w:rPr>
                <w:t>Amended and Restated Certificate of Incorporation of Addus HomeCare</w:t>
              </w:r>
            </w:hyperlink>
          </w:p>
        </w:tc>
        <w:tc>
          <w:tcPr>
            <w:tcW w:w="540" w:type="dxa"/>
            <w:vAlign w:val="bottom"/>
            <w:gridSpan w:val="11"/>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24">
              <w:r>
                <w:rPr>
                  <w:rFonts w:ascii="Arial" w:cs="Arial" w:eastAsia="Arial" w:hAnsi="Arial"/>
                  <w:sz w:val="18"/>
                  <w:szCs w:val="18"/>
                  <w:color w:val="0000FF"/>
                  <w:w w:val="89"/>
                </w:rPr>
                <w:t>Corporation dated as of October 27, 2009.</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17"/>
          </w:tcPr>
          <w:p>
            <w:pPr>
              <w:spacing w:after="0"/>
              <w:rPr>
                <w:sz w:val="17"/>
                <w:szCs w:val="17"/>
                <w:color w:val="auto"/>
              </w:rPr>
            </w:pPr>
          </w:p>
        </w:tc>
      </w:tr>
      <w:tr>
        <w:trPr>
          <w:trHeight w:val="372"/>
        </w:trPr>
        <w:tc>
          <w:tcPr>
            <w:tcW w:w="200" w:type="dxa"/>
            <w:vAlign w:val="bottom"/>
            <w:gridSpan w:val="2"/>
          </w:tcPr>
          <w:p>
            <w:pPr>
              <w:spacing w:after="0"/>
              <w:rPr>
                <w:sz w:val="24"/>
                <w:szCs w:val="24"/>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22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tcBorders>
              <w:bottom w:val="single" w:sz="8" w:color="0000FF"/>
            </w:tcBorders>
            <w:gridSpan w:val="24"/>
          </w:tcPr>
          <w:p>
            <w:pPr>
              <w:spacing w:after="0"/>
              <w:rPr>
                <w:rFonts w:ascii="Arial" w:cs="Arial" w:eastAsia="Arial" w:hAnsi="Arial"/>
                <w:sz w:val="18"/>
                <w:szCs w:val="18"/>
                <w:color w:val="0000FF"/>
                <w:w w:val="90"/>
              </w:rPr>
            </w:pPr>
            <w:hyperlink r:id="rId225">
              <w:r>
                <w:rPr>
                  <w:rFonts w:ascii="Arial" w:cs="Arial" w:eastAsia="Arial" w:hAnsi="Arial"/>
                  <w:sz w:val="18"/>
                  <w:szCs w:val="18"/>
                  <w:color w:val="0000FF"/>
                  <w:w w:val="90"/>
                </w:rPr>
                <w:t>Amended and Restated Bylaws of Addus HomeCare Corporation, as amended</w:t>
              </w:r>
            </w:hyperlink>
          </w:p>
        </w:tc>
        <w:tc>
          <w:tcPr>
            <w:tcW w:w="100" w:type="dxa"/>
            <w:vAlign w:val="bottom"/>
            <w:gridSpan w:val="3"/>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bottom w:val="single" w:sz="8" w:color="0000EE"/>
            </w:tcBorders>
            <w:gridSpan w:val="12"/>
          </w:tcPr>
          <w:p>
            <w:pPr>
              <w:spacing w:after="0" w:line="196" w:lineRule="exact"/>
              <w:rPr>
                <w:rFonts w:ascii="Arial" w:cs="Arial" w:eastAsia="Arial" w:hAnsi="Arial"/>
                <w:sz w:val="18"/>
                <w:szCs w:val="18"/>
                <w:color w:val="0000FF"/>
                <w:w w:val="90"/>
              </w:rPr>
            </w:pPr>
            <w:hyperlink r:id="rId225">
              <w:r>
                <w:rPr>
                  <w:rFonts w:ascii="Arial" w:cs="Arial" w:eastAsia="Arial" w:hAnsi="Arial"/>
                  <w:sz w:val="18"/>
                  <w:szCs w:val="18"/>
                  <w:color w:val="0000FF"/>
                  <w:w w:val="90"/>
                </w:rPr>
                <w:t>by the First Amendment to Amended and Restated Bylaws</w:t>
              </w:r>
              <w:r>
                <w:rPr>
                  <w:rFonts w:ascii="Arial" w:cs="Arial" w:eastAsia="Arial" w:hAnsi="Arial"/>
                  <w:sz w:val="18"/>
                  <w:szCs w:val="18"/>
                  <w:u w:val="single" w:color="auto"/>
                  <w:color w:val="0563C1"/>
                  <w:w w:val="90"/>
                </w:rPr>
                <w:t>.</w:t>
              </w:r>
            </w:hyperlink>
          </w:p>
        </w:tc>
        <w:tc>
          <w:tcPr>
            <w:tcW w:w="1520" w:type="dxa"/>
            <w:vAlign w:val="bottom"/>
            <w:gridSpan w:val="15"/>
          </w:tcPr>
          <w:p>
            <w:pPr>
              <w:spacing w:after="0"/>
              <w:rPr>
                <w:sz w:val="17"/>
                <w:szCs w:val="17"/>
                <w:color w:val="auto"/>
              </w:rPr>
            </w:pPr>
          </w:p>
        </w:tc>
      </w:tr>
      <w:tr>
        <w:trPr>
          <w:trHeight w:val="371"/>
        </w:trPr>
        <w:tc>
          <w:tcPr>
            <w:tcW w:w="200" w:type="dxa"/>
            <w:vAlign w:val="bottom"/>
            <w:gridSpan w:val="2"/>
          </w:tcPr>
          <w:p>
            <w:pPr>
              <w:spacing w:after="0"/>
              <w:rPr>
                <w:sz w:val="24"/>
                <w:szCs w:val="24"/>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22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60" w:type="dxa"/>
            <w:vAlign w:val="bottom"/>
            <w:tcBorders>
              <w:bottom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Borders>
              <w:bottom w:val="single" w:sz="8" w:color="0000FF"/>
            </w:tcBorders>
            <w:gridSpan w:val="8"/>
          </w:tcPr>
          <w:p>
            <w:pPr>
              <w:spacing w:after="0"/>
              <w:rPr>
                <w:rFonts w:ascii="Arial" w:cs="Arial" w:eastAsia="Arial" w:hAnsi="Arial"/>
                <w:sz w:val="18"/>
                <w:szCs w:val="18"/>
                <w:color w:val="0000FF"/>
                <w:w w:val="91"/>
              </w:rPr>
            </w:pPr>
            <w:hyperlink r:id="rId226">
              <w:r>
                <w:rPr>
                  <w:rFonts w:ascii="Arial" w:cs="Arial" w:eastAsia="Arial" w:hAnsi="Arial"/>
                  <w:sz w:val="18"/>
                  <w:szCs w:val="18"/>
                  <w:color w:val="0000FF"/>
                  <w:w w:val="91"/>
                </w:rPr>
                <w:t>Form of Common Stock Certificate.</w:t>
              </w:r>
            </w:hyperlink>
          </w:p>
        </w:tc>
        <w:tc>
          <w:tcPr>
            <w:tcW w:w="3200" w:type="dxa"/>
            <w:vAlign w:val="bottom"/>
            <w:gridSpan w:val="19"/>
          </w:tcPr>
          <w:p>
            <w:pPr>
              <w:spacing w:after="0"/>
              <w:rPr>
                <w:sz w:val="24"/>
                <w:szCs w:val="24"/>
                <w:color w:val="auto"/>
              </w:rPr>
            </w:pPr>
          </w:p>
        </w:tc>
      </w:tr>
      <w:tr>
        <w:trPr>
          <w:trHeight w:val="588"/>
        </w:trPr>
        <w:tc>
          <w:tcPr>
            <w:tcW w:w="200" w:type="dxa"/>
            <w:vAlign w:val="bottom"/>
            <w:gridSpan w:val="2"/>
          </w:tcPr>
          <w:p>
            <w:pPr>
              <w:spacing w:after="0"/>
              <w:rPr>
                <w:sz w:val="24"/>
                <w:szCs w:val="24"/>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22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Borders>
              <w:bottom w:val="single" w:sz="8" w:color="0000FF"/>
            </w:tcBorders>
            <w:gridSpan w:val="21"/>
          </w:tcPr>
          <w:p>
            <w:pPr>
              <w:spacing w:after="0"/>
              <w:rPr>
                <w:rFonts w:ascii="Arial" w:cs="Arial" w:eastAsia="Arial" w:hAnsi="Arial"/>
                <w:sz w:val="18"/>
                <w:szCs w:val="18"/>
                <w:color w:val="0000FF"/>
                <w:w w:val="91"/>
              </w:rPr>
            </w:pPr>
            <w:hyperlink r:id="rId227">
              <w:r>
                <w:rPr>
                  <w:rFonts w:ascii="Arial" w:cs="Arial" w:eastAsia="Arial" w:hAnsi="Arial"/>
                  <w:sz w:val="18"/>
                  <w:szCs w:val="18"/>
                  <w:color w:val="0000FF"/>
                  <w:w w:val="91"/>
                </w:rPr>
                <w:t>Description of Securities of Addus HomeCare Corporation Registered under</w:t>
              </w:r>
            </w:hyperlink>
          </w:p>
        </w:tc>
        <w:tc>
          <w:tcPr>
            <w:tcW w:w="260" w:type="dxa"/>
            <w:vAlign w:val="bottom"/>
            <w:gridSpan w:val="6"/>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0" w:type="dxa"/>
            <w:vAlign w:val="bottom"/>
            <w:gridSpan w:val="27"/>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Section 12 of the Exchange Act.</w:t>
              </w:r>
            </w:hyperlink>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80" w:type="dxa"/>
            <w:vAlign w:val="bottom"/>
          </w:tcPr>
          <w:p>
            <w:pPr>
              <w:spacing w:after="0"/>
              <w:rPr>
                <w:sz w:val="24"/>
                <w:szCs w:val="24"/>
                <w:color w:val="auto"/>
              </w:rPr>
            </w:pPr>
          </w:p>
        </w:tc>
        <w:tc>
          <w:tcPr>
            <w:tcW w:w="400" w:type="dxa"/>
            <w:vAlign w:val="bottom"/>
            <w:tcBorders>
              <w:bottom w:val="single" w:sz="8" w:color="0000FF"/>
            </w:tcBorders>
            <w:gridSpan w:val="3"/>
          </w:tcPr>
          <w:p>
            <w:pPr>
              <w:jc w:val="right"/>
              <w:spacing w:after="0"/>
              <w:rPr>
                <w:rFonts w:ascii="Arial" w:cs="Arial" w:eastAsia="Arial" w:hAnsi="Arial"/>
                <w:sz w:val="17"/>
                <w:szCs w:val="17"/>
                <w:color w:val="0000FF"/>
              </w:rPr>
            </w:pPr>
            <w:hyperlink r:id="rId228">
              <w:r>
                <w:rPr>
                  <w:rFonts w:ascii="Arial" w:cs="Arial" w:eastAsia="Arial" w:hAnsi="Arial"/>
                  <w:sz w:val="17"/>
                  <w:szCs w:val="17"/>
                  <w:color w:val="0000FF"/>
                </w:rPr>
                <w:t>10.1*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tcBorders>
              <w:bottom w:val="single" w:sz="8" w:color="0000FF"/>
            </w:tcBorders>
            <w:gridSpan w:val="22"/>
          </w:tcPr>
          <w:p>
            <w:pPr>
              <w:spacing w:after="0"/>
              <w:rPr>
                <w:rFonts w:ascii="Arial" w:cs="Arial" w:eastAsia="Arial" w:hAnsi="Arial"/>
                <w:sz w:val="18"/>
                <w:szCs w:val="18"/>
                <w:color w:val="0000FF"/>
                <w:w w:val="88"/>
              </w:rPr>
            </w:pPr>
            <w:hyperlink r:id="rId228">
              <w:r>
                <w:rPr>
                  <w:rFonts w:ascii="Arial" w:cs="Arial" w:eastAsia="Arial" w:hAnsi="Arial"/>
                  <w:sz w:val="18"/>
                  <w:szCs w:val="18"/>
                  <w:color w:val="0000FF"/>
                  <w:w w:val="88"/>
                </w:rPr>
                <w:t>Separation and General Release Agreement, dated as of September 20, 2009,</w:t>
              </w:r>
            </w:hyperlink>
          </w:p>
        </w:tc>
        <w:tc>
          <w:tcPr>
            <w:tcW w:w="220" w:type="dxa"/>
            <w:vAlign w:val="bottom"/>
            <w:gridSpan w:val="5"/>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28">
              <w:r>
                <w:rPr>
                  <w:rFonts w:ascii="Arial" w:cs="Arial" w:eastAsia="Arial" w:hAnsi="Arial"/>
                  <w:sz w:val="18"/>
                  <w:szCs w:val="18"/>
                  <w:color w:val="0000FF"/>
                  <w:w w:val="91"/>
                </w:rPr>
                <w:t>between Addus HealthCare, Inc. and W. Andrew Wright, III.</w:t>
              </w:r>
            </w:hyperlink>
          </w:p>
        </w:tc>
        <w:tc>
          <w:tcPr>
            <w:tcW w:w="20" w:type="dxa"/>
            <w:vAlign w:val="bottom"/>
            <w:tcBorders>
              <w:bottom w:val="single" w:sz="8" w:color="0000EE"/>
            </w:tcBorders>
          </w:tcPr>
          <w:p>
            <w:pPr>
              <w:spacing w:after="0"/>
              <w:rPr>
                <w:sz w:val="17"/>
                <w:szCs w:val="17"/>
                <w:color w:val="auto"/>
              </w:rPr>
            </w:pPr>
          </w:p>
        </w:tc>
        <w:tc>
          <w:tcPr>
            <w:tcW w:w="1400" w:type="dxa"/>
            <w:vAlign w:val="bottom"/>
            <w:gridSpan w:val="13"/>
          </w:tcPr>
          <w:p>
            <w:pPr>
              <w:spacing w:after="0"/>
              <w:rPr>
                <w:sz w:val="17"/>
                <w:szCs w:val="17"/>
                <w:color w:val="auto"/>
              </w:rPr>
            </w:pPr>
          </w:p>
        </w:tc>
      </w:tr>
      <w:tr>
        <w:trPr>
          <w:trHeight w:val="371"/>
        </w:trPr>
        <w:tc>
          <w:tcPr>
            <w:tcW w:w="480" w:type="dxa"/>
            <w:vAlign w:val="bottom"/>
            <w:gridSpan w:val="4"/>
          </w:tcPr>
          <w:p>
            <w:pPr>
              <w:jc w:val="center"/>
              <w:spacing w:after="0"/>
              <w:rPr>
                <w:rFonts w:ascii="Arial" w:cs="Arial" w:eastAsia="Arial" w:hAnsi="Arial"/>
                <w:sz w:val="18"/>
                <w:szCs w:val="18"/>
                <w:color w:val="0000FF"/>
                <w:w w:val="95"/>
              </w:rPr>
            </w:pPr>
            <w:hyperlink r:id="rId22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2*</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3"/>
              </w:rPr>
            </w:pPr>
            <w:hyperlink r:id="rId229">
              <w:r>
                <w:rPr>
                  <w:rFonts w:ascii="Arial" w:cs="Arial" w:eastAsia="Arial" w:hAnsi="Arial"/>
                  <w:sz w:val="18"/>
                  <w:szCs w:val="18"/>
                  <w:color w:val="0000FF"/>
                  <w:w w:val="93"/>
                </w:rPr>
                <w:t>Addus HealthCare, Inc. Home Health and Home Care Division Vice President</w:t>
              </w:r>
            </w:hyperlink>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229">
              <w:r>
                <w:rPr>
                  <w:rFonts w:ascii="Arial" w:cs="Arial" w:eastAsia="Arial" w:hAnsi="Arial"/>
                  <w:sz w:val="18"/>
                  <w:szCs w:val="18"/>
                  <w:color w:val="0000FF"/>
                </w:rPr>
                <w:t>and Regional Director Bonus Plan.</w:t>
              </w:r>
            </w:hyperlink>
          </w:p>
        </w:tc>
        <w:tc>
          <w:tcPr>
            <w:tcW w:w="120" w:type="dxa"/>
            <w:vAlign w:val="bottom"/>
            <w:gridSpan w:val="4"/>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480" w:type="dxa"/>
            <w:vAlign w:val="bottom"/>
            <w:gridSpan w:val="4"/>
          </w:tcPr>
          <w:p>
            <w:pPr>
              <w:jc w:val="center"/>
              <w:spacing w:after="0"/>
              <w:rPr>
                <w:rFonts w:ascii="Arial" w:cs="Arial" w:eastAsia="Arial" w:hAnsi="Arial"/>
                <w:sz w:val="18"/>
                <w:szCs w:val="18"/>
                <w:color w:val="0000FF"/>
                <w:w w:val="95"/>
              </w:rPr>
            </w:pPr>
            <w:hyperlink r:id="rId23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3*</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0"/>
              </w:rPr>
            </w:pPr>
            <w:hyperlink r:id="rId230">
              <w:r>
                <w:rPr>
                  <w:rFonts w:ascii="Arial" w:cs="Arial" w:eastAsia="Arial" w:hAnsi="Arial"/>
                  <w:sz w:val="18"/>
                  <w:szCs w:val="18"/>
                  <w:color w:val="0000FF"/>
                  <w:w w:val="90"/>
                </w:rPr>
                <w:t>Addus HealthCare, Inc. Support Center Vice President and Department Director</w:t>
              </w:r>
            </w:hyperlink>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230">
              <w:r>
                <w:rPr>
                  <w:rFonts w:ascii="Arial" w:cs="Arial" w:eastAsia="Arial" w:hAnsi="Arial"/>
                  <w:sz w:val="18"/>
                  <w:szCs w:val="18"/>
                  <w:color w:val="0000FF"/>
                </w:rPr>
                <w:t>Bonus Plan.</w:t>
              </w:r>
            </w:hyperlink>
          </w:p>
        </w:tc>
        <w:tc>
          <w:tcPr>
            <w:tcW w:w="2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1"/>
        </w:trPr>
        <w:tc>
          <w:tcPr>
            <w:tcW w:w="480" w:type="dxa"/>
            <w:vAlign w:val="bottom"/>
            <w:gridSpan w:val="4"/>
          </w:tcPr>
          <w:p>
            <w:pPr>
              <w:jc w:val="center"/>
              <w:spacing w:after="0"/>
              <w:rPr>
                <w:rFonts w:ascii="Arial" w:cs="Arial" w:eastAsia="Arial" w:hAnsi="Arial"/>
                <w:sz w:val="18"/>
                <w:szCs w:val="18"/>
                <w:color w:val="0000FF"/>
                <w:w w:val="95"/>
              </w:rPr>
            </w:pPr>
            <w:hyperlink r:id="rId231">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4*</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rPr>
            </w:pPr>
            <w:hyperlink r:id="rId231">
              <w:r>
                <w:rPr>
                  <w:rFonts w:ascii="Arial" w:cs="Arial" w:eastAsia="Arial" w:hAnsi="Arial"/>
                  <w:sz w:val="18"/>
                  <w:szCs w:val="18"/>
                  <w:color w:val="0000FF"/>
                </w:rPr>
                <w:t>Addus Holding Corporation 2006 Stock Incentive Plan.</w:t>
              </w:r>
            </w:hyperlink>
          </w:p>
        </w:tc>
      </w:tr>
      <w:tr>
        <w:trPr>
          <w:trHeight w:val="20"/>
        </w:trPr>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88"/>
        </w:trPr>
        <w:tc>
          <w:tcPr>
            <w:tcW w:w="480" w:type="dxa"/>
            <w:vAlign w:val="bottom"/>
            <w:gridSpan w:val="4"/>
          </w:tcPr>
          <w:p>
            <w:pPr>
              <w:jc w:val="center"/>
              <w:spacing w:after="0"/>
              <w:rPr>
                <w:rFonts w:ascii="Arial" w:cs="Arial" w:eastAsia="Arial" w:hAnsi="Arial"/>
                <w:sz w:val="18"/>
                <w:szCs w:val="18"/>
                <w:color w:val="0000FF"/>
                <w:w w:val="95"/>
              </w:rPr>
            </w:pPr>
            <w:hyperlink r:id="rId23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5*</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3"/>
              </w:rPr>
            </w:pPr>
            <w:hyperlink r:id="rId232">
              <w:r>
                <w:rPr>
                  <w:rFonts w:ascii="Arial" w:cs="Arial" w:eastAsia="Arial" w:hAnsi="Arial"/>
                  <w:sz w:val="18"/>
                  <w:szCs w:val="18"/>
                  <w:color w:val="0000FF"/>
                  <w:w w:val="93"/>
                </w:rPr>
                <w:t>Director Form of Non-Qualified Stock Option Certificate under the 2006 Stock</w:t>
              </w:r>
            </w:hyperlink>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232">
              <w:r>
                <w:rPr>
                  <w:rFonts w:ascii="Arial" w:cs="Arial" w:eastAsia="Arial" w:hAnsi="Arial"/>
                  <w:sz w:val="18"/>
                  <w:szCs w:val="18"/>
                  <w:color w:val="0000FF"/>
                  <w:w w:val="89"/>
                </w:rPr>
                <w:t>Incentive Plan.</w:t>
              </w:r>
            </w:hyperlink>
          </w:p>
        </w:tc>
        <w:tc>
          <w:tcPr>
            <w:tcW w:w="20" w:type="dxa"/>
            <w:vAlign w:val="bottom"/>
            <w:tcBorders>
              <w:top w:val="single" w:sz="8" w:color="0000FF"/>
              <w:bottom w:val="single" w:sz="8" w:color="0000EE"/>
            </w:tcBorders>
          </w:tcPr>
          <w:p>
            <w:pPr>
              <w:spacing w:after="0"/>
              <w:rPr>
                <w:sz w:val="17"/>
                <w:szCs w:val="17"/>
                <w:color w:val="auto"/>
              </w:rPr>
            </w:pPr>
          </w:p>
        </w:tc>
        <w:tc>
          <w:tcPr>
            <w:tcW w:w="4640" w:type="dxa"/>
            <w:vAlign w:val="bottom"/>
            <w:tcBorders>
              <w:top w:val="single" w:sz="8" w:color="0000FF"/>
            </w:tcBorders>
            <w:gridSpan w:val="21"/>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71"/>
        </w:trPr>
        <w:tc>
          <w:tcPr>
            <w:tcW w:w="480" w:type="dxa"/>
            <w:vAlign w:val="bottom"/>
            <w:gridSpan w:val="4"/>
          </w:tcPr>
          <w:p>
            <w:pPr>
              <w:jc w:val="center"/>
              <w:spacing w:after="0"/>
              <w:rPr>
                <w:rFonts w:ascii="Arial" w:cs="Arial" w:eastAsia="Arial" w:hAnsi="Arial"/>
                <w:sz w:val="18"/>
                <w:szCs w:val="18"/>
                <w:color w:val="0000FF"/>
                <w:w w:val="95"/>
              </w:rPr>
            </w:pPr>
            <w:hyperlink r:id="rId233">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6*</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9"/>
              </w:rPr>
            </w:pPr>
            <w:hyperlink r:id="rId233">
              <w:r>
                <w:rPr>
                  <w:rFonts w:ascii="Arial" w:cs="Arial" w:eastAsia="Arial" w:hAnsi="Arial"/>
                  <w:sz w:val="18"/>
                  <w:szCs w:val="18"/>
                  <w:color w:val="0000FF"/>
                  <w:w w:val="99"/>
                </w:rPr>
                <w:t>Executive Form of Non-Qualified Stock Option Certificate under the 2006</w:t>
              </w:r>
            </w:hyperlink>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33">
              <w:r>
                <w:rPr>
                  <w:rFonts w:ascii="Arial" w:cs="Arial" w:eastAsia="Arial" w:hAnsi="Arial"/>
                  <w:sz w:val="18"/>
                  <w:szCs w:val="18"/>
                  <w:color w:val="0000FF"/>
                </w:rPr>
                <w:t>Stock Incentive Plan.</w:t>
              </w:r>
            </w:hyperlink>
          </w:p>
        </w:tc>
        <w:tc>
          <w:tcPr>
            <w:tcW w:w="380" w:type="dxa"/>
            <w:vAlign w:val="bottom"/>
            <w:gridSpan w:val="9"/>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72"/>
        </w:trPr>
        <w:tc>
          <w:tcPr>
            <w:tcW w:w="480" w:type="dxa"/>
            <w:vAlign w:val="bottom"/>
            <w:gridSpan w:val="4"/>
          </w:tcPr>
          <w:p>
            <w:pPr>
              <w:jc w:val="center"/>
              <w:ind w:left="70"/>
              <w:spacing w:after="0"/>
              <w:rPr>
                <w:rFonts w:ascii="Arial" w:cs="Arial" w:eastAsia="Arial" w:hAnsi="Arial"/>
                <w:sz w:val="18"/>
                <w:szCs w:val="18"/>
                <w:color w:val="0000FF"/>
                <w:w w:val="91"/>
              </w:rPr>
            </w:pPr>
            <w:hyperlink r:id="rId23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rPr>
            </w:pPr>
            <w:hyperlink r:id="rId234">
              <w:r>
                <w:rPr>
                  <w:rFonts w:ascii="Arial" w:cs="Arial" w:eastAsia="Arial" w:hAnsi="Arial"/>
                  <w:sz w:val="18"/>
                  <w:szCs w:val="18"/>
                  <w:color w:val="0000FF"/>
                </w:rPr>
                <w:t>2009 Form of Indemnification Agreement.</w:t>
              </w:r>
            </w:hyperlink>
          </w:p>
        </w:tc>
      </w:tr>
      <w:tr>
        <w:trPr>
          <w:trHeight w:val="20"/>
        </w:trPr>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gridSpan w:val="9"/>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588"/>
        </w:trPr>
        <w:tc>
          <w:tcPr>
            <w:tcW w:w="480" w:type="dxa"/>
            <w:vAlign w:val="bottom"/>
            <w:gridSpan w:val="4"/>
          </w:tcPr>
          <w:p>
            <w:pPr>
              <w:jc w:val="center"/>
              <w:ind w:left="70"/>
              <w:spacing w:after="0"/>
              <w:rPr>
                <w:rFonts w:ascii="Arial" w:cs="Arial" w:eastAsia="Arial" w:hAnsi="Arial"/>
                <w:sz w:val="18"/>
                <w:szCs w:val="18"/>
                <w:color w:val="0000FF"/>
                <w:w w:val="91"/>
              </w:rPr>
            </w:pPr>
            <w:hyperlink r:id="rId23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5"/>
              </w:rPr>
            </w:pPr>
            <w:hyperlink r:id="rId235">
              <w:r>
                <w:rPr>
                  <w:rFonts w:ascii="Arial" w:cs="Arial" w:eastAsia="Arial" w:hAnsi="Arial"/>
                  <w:sz w:val="18"/>
                  <w:szCs w:val="18"/>
                  <w:color w:val="0000FF"/>
                  <w:w w:val="95"/>
                </w:rPr>
                <w:t>License Agreement for Horizon Homecare Software, dated March 24, 2006,</w:t>
              </w:r>
            </w:hyperlink>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235">
              <w:r>
                <w:rPr>
                  <w:rFonts w:ascii="Arial" w:cs="Arial" w:eastAsia="Arial" w:hAnsi="Arial"/>
                  <w:sz w:val="18"/>
                  <w:szCs w:val="18"/>
                  <w:color w:val="0000FF"/>
                  <w:w w:val="91"/>
                </w:rPr>
                <w:t>between McKesson Information Solutions, LLC and Addus HealthCare, Inc.</w:t>
              </w:r>
            </w:hyperlink>
          </w:p>
        </w:tc>
        <w:tc>
          <w:tcPr>
            <w:tcW w:w="260" w:type="dxa"/>
            <w:vAlign w:val="bottom"/>
            <w:gridSpan w:val="6"/>
          </w:tcPr>
          <w:p>
            <w:pPr>
              <w:spacing w:after="0"/>
              <w:rPr>
                <w:sz w:val="17"/>
                <w:szCs w:val="17"/>
                <w:color w:val="auto"/>
              </w:rPr>
            </w:pPr>
          </w:p>
        </w:tc>
      </w:tr>
      <w:tr>
        <w:trPr>
          <w:trHeight w:val="372"/>
        </w:trPr>
        <w:tc>
          <w:tcPr>
            <w:tcW w:w="480" w:type="dxa"/>
            <w:vAlign w:val="bottom"/>
            <w:gridSpan w:val="4"/>
          </w:tcPr>
          <w:p>
            <w:pPr>
              <w:jc w:val="center"/>
              <w:ind w:left="70"/>
              <w:spacing w:after="0"/>
              <w:rPr>
                <w:rFonts w:ascii="Arial" w:cs="Arial" w:eastAsia="Arial" w:hAnsi="Arial"/>
                <w:sz w:val="18"/>
                <w:szCs w:val="18"/>
                <w:color w:val="0000FF"/>
                <w:w w:val="91"/>
              </w:rPr>
            </w:pPr>
            <w:hyperlink r:id="rId23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9</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4"/>
              </w:rPr>
            </w:pPr>
            <w:hyperlink r:id="rId236">
              <w:r>
                <w:rPr>
                  <w:rFonts w:ascii="Arial" w:cs="Arial" w:eastAsia="Arial" w:hAnsi="Arial"/>
                  <w:sz w:val="18"/>
                  <w:szCs w:val="18"/>
                  <w:color w:val="0000FF"/>
                  <w:w w:val="94"/>
                </w:rPr>
                <w:t>Contract Supplement to License Agreement No. C0608555, dated March 24,</w:t>
              </w:r>
            </w:hyperlink>
          </w:p>
        </w:tc>
      </w:tr>
      <w:tr>
        <w:trPr>
          <w:trHeight w:val="20"/>
        </w:trPr>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line="196" w:lineRule="exact"/>
              <w:rPr>
                <w:rFonts w:ascii="Arial" w:cs="Arial" w:eastAsia="Arial" w:hAnsi="Arial"/>
                <w:sz w:val="18"/>
                <w:szCs w:val="18"/>
                <w:color w:val="0000FF"/>
                <w:w w:val="84"/>
              </w:rPr>
            </w:pPr>
            <w:hyperlink r:id="rId236">
              <w:r>
                <w:rPr>
                  <w:rFonts w:ascii="Arial" w:cs="Arial" w:eastAsia="Arial" w:hAnsi="Arial"/>
                  <w:sz w:val="18"/>
                  <w:szCs w:val="18"/>
                  <w:color w:val="0000FF"/>
                  <w:w w:val="84"/>
                </w:rPr>
                <w:t>2006.</w:t>
              </w:r>
            </w:hyperlink>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1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371"/>
        </w:trPr>
        <w:tc>
          <w:tcPr>
            <w:tcW w:w="480" w:type="dxa"/>
            <w:vAlign w:val="bottom"/>
            <w:gridSpan w:val="4"/>
          </w:tcPr>
          <w:p>
            <w:pPr>
              <w:jc w:val="center"/>
              <w:spacing w:after="0"/>
              <w:rPr>
                <w:rFonts w:ascii="Arial" w:cs="Arial" w:eastAsia="Arial" w:hAnsi="Arial"/>
                <w:sz w:val="18"/>
                <w:szCs w:val="18"/>
                <w:color w:val="0000FF"/>
                <w:w w:val="88"/>
              </w:rPr>
            </w:pPr>
            <w:hyperlink r:id="rId23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5"/>
              </w:rPr>
            </w:pPr>
            <w:hyperlink r:id="rId237">
              <w:r>
                <w:rPr>
                  <w:rFonts w:ascii="Arial" w:cs="Arial" w:eastAsia="Arial" w:hAnsi="Arial"/>
                  <w:sz w:val="18"/>
                  <w:szCs w:val="18"/>
                  <w:color w:val="0000FF"/>
                  <w:w w:val="95"/>
                </w:rPr>
                <w:t>Contract Supplement to License Agreement No. 00608555, dated March 28,</w:t>
              </w:r>
            </w:hyperlink>
          </w:p>
        </w:tc>
      </w:tr>
      <w:tr>
        <w:trPr>
          <w:trHeight w:val="20"/>
        </w:trPr>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line="196" w:lineRule="exact"/>
              <w:rPr>
                <w:rFonts w:ascii="Arial" w:cs="Arial" w:eastAsia="Arial" w:hAnsi="Arial"/>
                <w:sz w:val="18"/>
                <w:szCs w:val="18"/>
                <w:color w:val="0000FF"/>
                <w:w w:val="84"/>
              </w:rPr>
            </w:pPr>
            <w:hyperlink r:id="rId237">
              <w:r>
                <w:rPr>
                  <w:rFonts w:ascii="Arial" w:cs="Arial" w:eastAsia="Arial" w:hAnsi="Arial"/>
                  <w:sz w:val="18"/>
                  <w:szCs w:val="18"/>
                  <w:color w:val="0000FF"/>
                  <w:w w:val="84"/>
                </w:rPr>
                <w:t>2006.</w:t>
              </w:r>
            </w:hyperlink>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1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371"/>
        </w:trPr>
        <w:tc>
          <w:tcPr>
            <w:tcW w:w="480" w:type="dxa"/>
            <w:vAlign w:val="bottom"/>
            <w:gridSpan w:val="4"/>
          </w:tcPr>
          <w:p>
            <w:pPr>
              <w:jc w:val="center"/>
              <w:ind w:left="10"/>
              <w:spacing w:after="0"/>
              <w:rPr>
                <w:rFonts w:ascii="Arial" w:cs="Arial" w:eastAsia="Arial" w:hAnsi="Arial"/>
                <w:sz w:val="18"/>
                <w:szCs w:val="18"/>
                <w:color w:val="0000FF"/>
                <w:w w:val="84"/>
              </w:rPr>
            </w:pPr>
            <w:hyperlink r:id="rId23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8"/>
              </w:rPr>
            </w:pPr>
            <w:hyperlink r:id="rId238">
              <w:r>
                <w:rPr>
                  <w:rFonts w:ascii="Arial" w:cs="Arial" w:eastAsia="Arial" w:hAnsi="Arial"/>
                  <w:sz w:val="18"/>
                  <w:szCs w:val="18"/>
                  <w:color w:val="0000FF"/>
                  <w:w w:val="98"/>
                </w:rPr>
                <w:t>Amendment to License Agreement No. C0608555, dated March 28, 2006,</w:t>
              </w:r>
            </w:hyperlink>
          </w:p>
        </w:tc>
      </w:tr>
      <w:tr>
        <w:trPr>
          <w:trHeight w:val="20"/>
        </w:trPr>
        <w:tc>
          <w:tcPr>
            <w:tcW w:w="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gridSpan w:val="15"/>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38">
              <w:r>
                <w:rPr>
                  <w:rFonts w:ascii="Arial" w:cs="Arial" w:eastAsia="Arial" w:hAnsi="Arial"/>
                  <w:sz w:val="18"/>
                  <w:szCs w:val="18"/>
                  <w:color w:val="0000FF"/>
                  <w:w w:val="91"/>
                </w:rPr>
                <w:t>between McKesson Information Solutions LLC and Addus HealthCare, Inc.</w:t>
              </w:r>
            </w:hyperlink>
          </w:p>
        </w:tc>
        <w:tc>
          <w:tcPr>
            <w:tcW w:w="320" w:type="dxa"/>
            <w:vAlign w:val="bottom"/>
            <w:gridSpan w:val="8"/>
          </w:tcPr>
          <w:p>
            <w:pPr>
              <w:spacing w:after="0"/>
              <w:rPr>
                <w:sz w:val="17"/>
                <w:szCs w:val="17"/>
                <w:color w:val="auto"/>
              </w:rPr>
            </w:pPr>
          </w:p>
        </w:tc>
      </w:tr>
      <w:tr>
        <w:trPr>
          <w:trHeight w:val="371"/>
        </w:trPr>
        <w:tc>
          <w:tcPr>
            <w:tcW w:w="80" w:type="dxa"/>
            <w:vAlign w:val="bottom"/>
          </w:tcPr>
          <w:p>
            <w:pPr>
              <w:spacing w:after="0"/>
              <w:rPr>
                <w:sz w:val="24"/>
                <w:szCs w:val="24"/>
                <w:color w:val="auto"/>
              </w:rPr>
            </w:pPr>
          </w:p>
        </w:tc>
        <w:tc>
          <w:tcPr>
            <w:tcW w:w="500" w:type="dxa"/>
            <w:vAlign w:val="bottom"/>
            <w:gridSpan w:val="4"/>
          </w:tcPr>
          <w:p>
            <w:pPr>
              <w:jc w:val="center"/>
              <w:ind w:right="20"/>
              <w:spacing w:after="0"/>
              <w:rPr>
                <w:rFonts w:ascii="Arial" w:cs="Arial" w:eastAsia="Arial" w:hAnsi="Arial"/>
                <w:sz w:val="18"/>
                <w:szCs w:val="18"/>
                <w:color w:val="0000FF"/>
                <w:w w:val="92"/>
              </w:rPr>
            </w:pPr>
            <w:hyperlink r:id="rId239">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12*</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rPr>
            </w:pPr>
            <w:hyperlink r:id="rId239">
              <w:r>
                <w:rPr>
                  <w:rFonts w:ascii="Arial" w:cs="Arial" w:eastAsia="Arial" w:hAnsi="Arial"/>
                  <w:sz w:val="18"/>
                  <w:szCs w:val="18"/>
                  <w:color w:val="0000FF"/>
                </w:rPr>
                <w:t>Form of Addus HomeCare Corporation 2009 Stock Incentive Plan.</w:t>
              </w:r>
            </w:hyperlink>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20" w:type="dxa"/>
            <w:vAlign w:val="bottom"/>
            <w:gridSpan w:val="15"/>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588"/>
        </w:trPr>
        <w:tc>
          <w:tcPr>
            <w:tcW w:w="80" w:type="dxa"/>
            <w:vAlign w:val="bottom"/>
          </w:tcPr>
          <w:p>
            <w:pPr>
              <w:spacing w:after="0"/>
              <w:rPr>
                <w:sz w:val="24"/>
                <w:szCs w:val="24"/>
                <w:color w:val="auto"/>
              </w:rPr>
            </w:pPr>
          </w:p>
        </w:tc>
        <w:tc>
          <w:tcPr>
            <w:tcW w:w="500" w:type="dxa"/>
            <w:vAlign w:val="bottom"/>
            <w:gridSpan w:val="4"/>
          </w:tcPr>
          <w:p>
            <w:pPr>
              <w:jc w:val="center"/>
              <w:ind w:right="20"/>
              <w:spacing w:after="0"/>
              <w:rPr>
                <w:rFonts w:ascii="Arial" w:cs="Arial" w:eastAsia="Arial" w:hAnsi="Arial"/>
                <w:sz w:val="18"/>
                <w:szCs w:val="18"/>
                <w:color w:val="0000FF"/>
                <w:w w:val="92"/>
              </w:rPr>
            </w:pPr>
            <w:hyperlink r:id="rId240">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13*</w:t>
              </w:r>
            </w:hyperlink>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0" w:type="dxa"/>
            <w:vAlign w:val="bottom"/>
            <w:gridSpan w:val="27"/>
          </w:tcPr>
          <w:p>
            <w:pPr>
              <w:spacing w:after="0"/>
              <w:rPr>
                <w:rFonts w:ascii="Arial" w:cs="Arial" w:eastAsia="Arial" w:hAnsi="Arial"/>
                <w:sz w:val="18"/>
                <w:szCs w:val="18"/>
                <w:color w:val="0000FF"/>
                <w:w w:val="97"/>
              </w:rPr>
            </w:pPr>
            <w:hyperlink r:id="rId240">
              <w:r>
                <w:rPr>
                  <w:rFonts w:ascii="Arial" w:cs="Arial" w:eastAsia="Arial" w:hAnsi="Arial"/>
                  <w:sz w:val="18"/>
                  <w:szCs w:val="18"/>
                  <w:color w:val="0000FF"/>
                  <w:w w:val="97"/>
                </w:rPr>
                <w:t>Form of Nonqualified Stock Option Award Agreement pursuant to the 2009</w:t>
              </w:r>
            </w:hyperlink>
          </w:p>
        </w:tc>
      </w:tr>
      <w:tr>
        <w:trPr>
          <w:trHeight w:val="196"/>
        </w:trPr>
        <w:tc>
          <w:tcPr>
            <w:tcW w:w="8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40">
              <w:r>
                <w:rPr>
                  <w:rFonts w:ascii="Arial" w:cs="Arial" w:eastAsia="Arial" w:hAnsi="Arial"/>
                  <w:sz w:val="18"/>
                  <w:szCs w:val="18"/>
                  <w:color w:val="0000FF"/>
                </w:rPr>
                <w:t>Stock Incentive Plan.</w:t>
              </w:r>
            </w:hyperlink>
          </w:p>
        </w:tc>
        <w:tc>
          <w:tcPr>
            <w:tcW w:w="300" w:type="dxa"/>
            <w:vAlign w:val="bottom"/>
            <w:gridSpan w:val="7"/>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8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r>
      <w:tr>
        <w:trPr>
          <w:trHeight w:val="24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File No.</w:t>
            </w: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Date Filing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486"/>
        </w:trPr>
        <w:tc>
          <w:tcPr>
            <w:tcW w:w="8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11/20/2009</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05/9/2013</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10/2/2009</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8/10/2020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9/21/2009</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10.1(b)</w:t>
            </w:r>
          </w:p>
        </w:tc>
      </w:tr>
      <w:tr>
        <w:trPr>
          <w:trHeight w:val="607"/>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7/17/2009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10.10</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7/17/2009</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10.11</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7/17/2009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10.12</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7/17/2009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10.13</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7/17/2009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10.14</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7/17/2009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10.16</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8/26/2009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10.17</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8/26/2009</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10.17(a)</w:t>
            </w:r>
          </w:p>
        </w:tc>
      </w:tr>
      <w:tr>
        <w:trPr>
          <w:trHeight w:val="607"/>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8/26/2009</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10.17(b)</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8/26/2009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10.17(c)</w:t>
            </w:r>
          </w:p>
        </w:tc>
      </w:tr>
      <w:tr>
        <w:trPr>
          <w:trHeight w:val="607"/>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9/21/2009</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10.20</w:t>
            </w:r>
          </w:p>
        </w:tc>
      </w:tr>
      <w:tr>
        <w:trPr>
          <w:trHeight w:val="608"/>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9/21/2009</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10.20(a)</w:t>
            </w:r>
          </w:p>
        </w:tc>
      </w:tr>
    </w:tbl>
    <w:p>
      <w:pPr>
        <w:spacing w:after="0" w:line="281" w:lineRule="exact"/>
        <w:rPr>
          <w:sz w:val="20"/>
          <w:szCs w:val="20"/>
          <w:color w:val="auto"/>
        </w:rPr>
      </w:pPr>
    </w:p>
    <w:p>
      <w:pPr>
        <w:sectPr>
          <w:pgSz w:w="11900" w:h="16838" w:orient="portrait"/>
          <w:cols w:equalWidth="0" w:num="2">
            <w:col w:w="6880" w:space="120"/>
            <w:col w:w="4240"/>
          </w:cols>
          <w:pgMar w:left="320" w:top="121" w:right="3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98" w:lineRule="exact"/>
        <w:rPr>
          <w:sz w:val="20"/>
          <w:szCs w:val="20"/>
          <w:color w:val="auto"/>
        </w:rPr>
      </w:pPr>
    </w:p>
    <w:p>
      <w:pPr>
        <w:ind w:left="1080" w:right="620" w:hanging="1007"/>
        <w:spacing w:after="0" w:line="277" w:lineRule="auto"/>
        <w:tabs>
          <w:tab w:leader="none" w:pos="1060" w:val="left"/>
        </w:tabs>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243">
        <w:r>
          <w:rPr>
            <w:rFonts w:ascii="Arial" w:cs="Arial" w:eastAsia="Arial" w:hAnsi="Arial"/>
            <w:sz w:val="18"/>
            <w:szCs w:val="18"/>
            <w:u w:val="single" w:color="auto"/>
            <w:color w:val="0000FF"/>
          </w:rPr>
          <w:t>Form of Restricted Stock Award Agreement pursuant to the 2009 Stock</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Incentive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39389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393890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6851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300" w:hanging="1007"/>
        <w:spacing w:after="0" w:line="277" w:lineRule="auto"/>
        <w:tabs>
          <w:tab w:leader="none" w:pos="1060" w:val="left"/>
        </w:tabs>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246">
        <w:r>
          <w:rPr>
            <w:rFonts w:ascii="Arial" w:cs="Arial" w:eastAsia="Arial" w:hAnsi="Arial"/>
            <w:sz w:val="18"/>
            <w:szCs w:val="18"/>
            <w:u w:val="single" w:color="auto"/>
            <w:color w:val="0000FF"/>
          </w:rPr>
          <w:t>The Executive Nonqualified “Excess” Plan Adoption Agreement, by Addus</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HealthCare, Inc., dated April 1, 2012.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1363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413639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17259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60"/>
        <w:spacing w:after="0"/>
        <w:tabs>
          <w:tab w:leader="none" w:pos="1060" w:val="left"/>
        </w:tabs>
        <w:rPr>
          <w:rFonts w:ascii="Arial" w:cs="Arial" w:eastAsia="Arial" w:hAnsi="Arial"/>
          <w:sz w:val="16"/>
          <w:szCs w:val="16"/>
          <w:u w:val="single" w:color="auto"/>
          <w:color w:val="0000FF"/>
        </w:rPr>
      </w:pPr>
      <w:hyperlink r:id="rId249">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249">
        <w:r>
          <w:rPr>
            <w:rFonts w:ascii="Arial" w:cs="Arial" w:eastAsia="Arial" w:hAnsi="Arial"/>
            <w:sz w:val="16"/>
            <w:szCs w:val="16"/>
            <w:u w:val="single" w:color="auto"/>
            <w:color w:val="0000FF"/>
          </w:rPr>
          <w:t>The Executive Nonqualified Excess Plan Document.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-10160</wp:posOffset>
            </wp:positionV>
            <wp:extent cx="30448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3044825" cy="8890"/>
                    </a:xfrm>
                    <a:prstGeom prst="rect">
                      <a:avLst/>
                    </a:prstGeom>
                    <a:noFill/>
                  </pic:spPr>
                </pic:pic>
              </a:graphicData>
            </a:graphic>
          </wp:anchor>
        </w:drawing>
      </w:r>
    </w:p>
    <w:p>
      <w:pPr>
        <w:spacing w:after="0" w:line="381" w:lineRule="exact"/>
        <w:rPr>
          <w:sz w:val="20"/>
          <w:szCs w:val="20"/>
          <w:color w:val="auto"/>
        </w:rPr>
      </w:pPr>
    </w:p>
    <w:p>
      <w:pPr>
        <w:ind w:left="1080" w:right="60" w:hanging="962"/>
        <w:spacing w:after="0" w:line="263" w:lineRule="auto"/>
        <w:tabs>
          <w:tab w:leader="none" w:pos="1060" w:val="left"/>
        </w:tabs>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251">
        <w:r>
          <w:rPr>
            <w:rFonts w:ascii="Arial" w:cs="Arial" w:eastAsia="Arial" w:hAnsi="Arial"/>
            <w:sz w:val="18"/>
            <w:szCs w:val="18"/>
            <w:u w:val="single" w:color="auto"/>
            <w:color w:val="0000FF"/>
          </w:rPr>
          <w:t>Asset Purchase Agreement, dated as of February 7, 2013, by and among Addus</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HealthCare, Inc., its subsidiaries identified therein, LHC Group, Inc. and its</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subsidiaries identified therein.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-311150</wp:posOffset>
            </wp:positionV>
            <wp:extent cx="42665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426656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-173990</wp:posOffset>
            </wp:positionV>
            <wp:extent cx="34931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349313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-36830</wp:posOffset>
            </wp:positionV>
            <wp:extent cx="13798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1080" w:right="160" w:hanging="1007"/>
        <w:spacing w:after="0" w:line="308" w:lineRule="auto"/>
        <w:tabs>
          <w:tab w:leader="none" w:pos="1060" w:val="left"/>
        </w:tabs>
        <w:rPr>
          <w:rFonts w:ascii="Arial" w:cs="Arial" w:eastAsia="Arial" w:hAnsi="Arial"/>
          <w:sz w:val="17"/>
          <w:szCs w:val="17"/>
          <w:u w:val="single" w:color="auto"/>
          <w:color w:val="0000FF"/>
        </w:rPr>
      </w:pPr>
      <w:hyperlink r:id="rId255">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255">
        <w:r>
          <w:rPr>
            <w:rFonts w:ascii="Arial" w:cs="Arial" w:eastAsia="Arial" w:hAnsi="Arial"/>
            <w:sz w:val="17"/>
            <w:szCs w:val="17"/>
            <w:u w:val="single" w:color="auto"/>
            <w:color w:val="0000FF"/>
          </w:rPr>
          <w:t>Employment and Non-Competition Agreement, effective December 15, 2014,</w:t>
        </w:r>
      </w:hyperlink>
      <w:r>
        <w:rPr>
          <w:rFonts w:ascii="Arial" w:cs="Arial" w:eastAsia="Arial" w:hAnsi="Arial"/>
          <w:sz w:val="17"/>
          <w:szCs w:val="17"/>
          <w:u w:val="single" w:color="auto"/>
          <w:color w:val="0000FF"/>
        </w:rPr>
        <w:t xml:space="preserve"> </w:t>
      </w:r>
      <w:hyperlink r:id="rId255">
        <w:r>
          <w:rPr>
            <w:rFonts w:ascii="Arial" w:cs="Arial" w:eastAsia="Arial" w:hAnsi="Arial"/>
            <w:sz w:val="17"/>
            <w:szCs w:val="17"/>
            <w:u w:val="single" w:color="auto"/>
            <w:color w:val="0000FF"/>
          </w:rPr>
          <w:t>by and between Addus HealthCare, Inc. and Maxine Hochhauser.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-197485</wp:posOffset>
            </wp:positionV>
            <wp:extent cx="42329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423291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-60325</wp:posOffset>
            </wp:positionV>
            <wp:extent cx="299148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6" w:lineRule="exact"/>
        <w:rPr>
          <w:rFonts w:ascii="Arial" w:cs="Arial" w:eastAsia="Arial" w:hAnsi="Arial"/>
          <w:sz w:val="18"/>
          <w:szCs w:val="18"/>
          <w:u w:val="single" w:color="auto"/>
          <w:color w:val="0000FF"/>
        </w:rPr>
      </w:pPr>
    </w:p>
    <w:p>
      <w:pPr>
        <w:jc w:val="both"/>
        <w:ind w:left="1080" w:right="400" w:hanging="962"/>
        <w:spacing w:after="0" w:line="286" w:lineRule="auto"/>
        <w:tabs>
          <w:tab w:leader="none" w:pos="1060" w:val="left"/>
        </w:tabs>
        <w:rPr>
          <w:rFonts w:ascii="Arial" w:cs="Arial" w:eastAsia="Arial" w:hAnsi="Arial"/>
          <w:sz w:val="17"/>
          <w:szCs w:val="17"/>
          <w:u w:val="single" w:color="auto"/>
          <w:color w:val="0000FF"/>
        </w:rPr>
      </w:pPr>
      <w:hyperlink r:id="rId258">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258">
        <w:r>
          <w:rPr>
            <w:rFonts w:ascii="Arial" w:cs="Arial" w:eastAsia="Arial" w:hAnsi="Arial"/>
            <w:sz w:val="17"/>
            <w:szCs w:val="17"/>
            <w:u w:val="single" w:color="auto"/>
            <w:color w:val="0000FF"/>
          </w:rPr>
          <w:t>Securities Purchase Agreement, dated as of April 24, 2015, by and among</w:t>
        </w:r>
      </w:hyperlink>
      <w:r>
        <w:rPr>
          <w:rFonts w:ascii="Arial" w:cs="Arial" w:eastAsia="Arial" w:hAnsi="Arial"/>
          <w:sz w:val="17"/>
          <w:szCs w:val="17"/>
          <w:u w:val="single" w:color="auto"/>
          <w:color w:val="0000FF"/>
        </w:rPr>
        <w:t xml:space="preserve"> </w:t>
      </w:r>
      <w:hyperlink r:id="rId258">
        <w:r>
          <w:rPr>
            <w:rFonts w:ascii="Arial" w:cs="Arial" w:eastAsia="Arial" w:hAnsi="Arial"/>
            <w:sz w:val="17"/>
            <w:szCs w:val="17"/>
            <w:u w:val="single" w:color="auto"/>
            <w:color w:val="0000FF"/>
          </w:rPr>
          <w:t>Addus HealthCare, Inc., Margaret Coffey, Carol Kolar, South Shore Home</w:t>
        </w:r>
      </w:hyperlink>
      <w:r>
        <w:rPr>
          <w:rFonts w:ascii="Arial" w:cs="Arial" w:eastAsia="Arial" w:hAnsi="Arial"/>
          <w:sz w:val="17"/>
          <w:szCs w:val="17"/>
          <w:u w:val="single" w:color="auto"/>
          <w:color w:val="0000FF"/>
        </w:rPr>
        <w:t xml:space="preserve"> </w:t>
      </w:r>
      <w:hyperlink r:id="rId258">
        <w:r>
          <w:rPr>
            <w:rFonts w:ascii="Arial" w:cs="Arial" w:eastAsia="Arial" w:hAnsi="Arial"/>
            <w:sz w:val="17"/>
            <w:szCs w:val="17"/>
            <w:u w:val="single" w:color="auto"/>
            <w:color w:val="0000FF"/>
          </w:rPr>
          <w:t>Health Service, Inc. and Acaring Home Care, LLC.</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-322580</wp:posOffset>
            </wp:positionV>
            <wp:extent cx="40220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402209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-185420</wp:posOffset>
            </wp:positionV>
            <wp:extent cx="3439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343916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-48260</wp:posOffset>
            </wp:positionV>
            <wp:extent cx="23507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2350770" cy="8255"/>
                    </a:xfrm>
                    <a:prstGeom prst="rect">
                      <a:avLst/>
                    </a:prstGeom>
                    <a:noFill/>
                  </pic:spPr>
                </pic:pic>
              </a:graphicData>
            </a:graphic>
          </wp:anchor>
        </w:drawing>
      </w:r>
    </w:p>
    <w:p>
      <w:pPr>
        <w:spacing w:after="0" w:line="105" w:lineRule="exact"/>
        <w:rPr>
          <w:rFonts w:ascii="Arial" w:cs="Arial" w:eastAsia="Arial" w:hAnsi="Arial"/>
          <w:sz w:val="17"/>
          <w:szCs w:val="17"/>
          <w:u w:val="single" w:color="auto"/>
          <w:color w:val="0000FF"/>
        </w:rPr>
      </w:pPr>
    </w:p>
    <w:p>
      <w:pPr>
        <w:ind w:left="1080" w:hanging="1007"/>
        <w:spacing w:after="0" w:line="277" w:lineRule="auto"/>
        <w:tabs>
          <w:tab w:leader="none" w:pos="1060" w:val="left"/>
        </w:tabs>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262">
        <w:r>
          <w:rPr>
            <w:rFonts w:ascii="Arial" w:cs="Arial" w:eastAsia="Arial" w:hAnsi="Arial"/>
            <w:sz w:val="18"/>
            <w:szCs w:val="18"/>
            <w:u w:val="single" w:color="auto"/>
            <w:color w:val="0000FF"/>
          </w:rPr>
          <w:t>Separation Agreement and General Release, dated as of March 18, 2016, by and</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between Addus HealthCare, Inc. and Inna Berkovich.</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3180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431800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24460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244602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280" w:hanging="1007"/>
        <w:spacing w:after="0" w:line="277" w:lineRule="auto"/>
        <w:tabs>
          <w:tab w:leader="none" w:pos="1060" w:val="left"/>
        </w:tabs>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265">
        <w:r>
          <w:rPr>
            <w:rFonts w:ascii="Arial" w:cs="Arial" w:eastAsia="Arial" w:hAnsi="Arial"/>
            <w:sz w:val="18"/>
            <w:szCs w:val="18"/>
            <w:u w:val="single" w:color="auto"/>
            <w:color w:val="0000FF"/>
          </w:rPr>
          <w:t>Separation Agreement and General Release, effective May 25, 2016, by and</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between Addus HealthCare, Inc. and Donald Klink.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1465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414655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2363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80" w:hanging="1007"/>
        <w:spacing w:after="0" w:line="308" w:lineRule="auto"/>
        <w:tabs>
          <w:tab w:leader="none" w:pos="1060" w:val="left"/>
        </w:tabs>
        <w:rPr>
          <w:rFonts w:ascii="Arial" w:cs="Arial" w:eastAsia="Arial" w:hAnsi="Arial"/>
          <w:sz w:val="17"/>
          <w:szCs w:val="17"/>
          <w:u w:val="single" w:color="auto"/>
          <w:color w:val="0000FF"/>
        </w:rPr>
      </w:pPr>
      <w:hyperlink r:id="rId268">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268">
        <w:r>
          <w:rPr>
            <w:rFonts w:ascii="Arial" w:cs="Arial" w:eastAsia="Arial" w:hAnsi="Arial"/>
            <w:sz w:val="17"/>
            <w:szCs w:val="17"/>
            <w:u w:val="single" w:color="auto"/>
            <w:color w:val="0000FF"/>
          </w:rPr>
          <w:t>Separation Agreement and General Release, dated as of March 1, 2016, by and</w:t>
        </w:r>
      </w:hyperlink>
      <w:r>
        <w:rPr>
          <w:rFonts w:ascii="Arial" w:cs="Arial" w:eastAsia="Arial" w:hAnsi="Arial"/>
          <w:sz w:val="17"/>
          <w:szCs w:val="17"/>
          <w:u w:val="single" w:color="auto"/>
          <w:color w:val="0000FF"/>
        </w:rPr>
        <w:t xml:space="preserve"> </w:t>
      </w:r>
      <w:hyperlink r:id="rId268">
        <w:r>
          <w:rPr>
            <w:rFonts w:ascii="Arial" w:cs="Arial" w:eastAsia="Arial" w:hAnsi="Arial"/>
            <w:sz w:val="17"/>
            <w:szCs w:val="17"/>
            <w:u w:val="single" w:color="auto"/>
            <w:color w:val="0000FF"/>
          </w:rPr>
          <w:t>between Addus HomeCare Corporation and Mark S. Heaney.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-197485</wp:posOffset>
            </wp:positionV>
            <wp:extent cx="42760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427609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-60325</wp:posOffset>
            </wp:positionV>
            <wp:extent cx="28003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2800350" cy="8255"/>
                    </a:xfrm>
                    <a:prstGeom prst="rect">
                      <a:avLst/>
                    </a:prstGeom>
                    <a:noFill/>
                  </pic:spPr>
                </pic:pic>
              </a:graphicData>
            </a:graphic>
          </wp:anchor>
        </w:drawing>
      </w:r>
    </w:p>
    <w:p>
      <w:pPr>
        <w:spacing w:after="0" w:line="86" w:lineRule="exact"/>
        <w:rPr>
          <w:rFonts w:ascii="Arial" w:cs="Arial" w:eastAsia="Arial" w:hAnsi="Arial"/>
          <w:sz w:val="18"/>
          <w:szCs w:val="18"/>
          <w:u w:val="single" w:color="auto"/>
          <w:color w:val="0000FF"/>
        </w:rPr>
      </w:pPr>
    </w:p>
    <w:p>
      <w:pPr>
        <w:ind w:left="1080" w:right="140" w:hanging="1007"/>
        <w:spacing w:after="0" w:line="342" w:lineRule="auto"/>
        <w:tabs>
          <w:tab w:leader="none" w:pos="1060" w:val="left"/>
        </w:tabs>
        <w:rPr>
          <w:rFonts w:ascii="Arial" w:cs="Arial" w:eastAsia="Arial" w:hAnsi="Arial"/>
          <w:sz w:val="16"/>
          <w:szCs w:val="16"/>
          <w:u w:val="single" w:color="auto"/>
          <w:color w:val="0000FF"/>
        </w:rPr>
      </w:pPr>
      <w:hyperlink r:id="rId271">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271">
        <w:r>
          <w:rPr>
            <w:rFonts w:ascii="Arial" w:cs="Arial" w:eastAsia="Arial" w:hAnsi="Arial"/>
            <w:sz w:val="16"/>
            <w:szCs w:val="16"/>
            <w:u w:val="single" w:color="auto"/>
            <w:color w:val="0000FF"/>
          </w:rPr>
          <w:t>Severance Agreement and General Release, dated as of February 13, 2017, by</w:t>
        </w:r>
      </w:hyperlink>
      <w:r>
        <w:rPr>
          <w:rFonts w:ascii="Arial" w:cs="Arial" w:eastAsia="Arial" w:hAnsi="Arial"/>
          <w:sz w:val="16"/>
          <w:szCs w:val="16"/>
          <w:u w:val="single" w:color="auto"/>
          <w:color w:val="0000FF"/>
        </w:rPr>
        <w:t xml:space="preserve"> </w:t>
      </w:r>
      <w:hyperlink r:id="rId271">
        <w:r>
          <w:rPr>
            <w:rFonts w:ascii="Arial" w:cs="Arial" w:eastAsia="Arial" w:hAnsi="Arial"/>
            <w:sz w:val="16"/>
            <w:szCs w:val="16"/>
            <w:u w:val="single" w:color="auto"/>
            <w:color w:val="0000FF"/>
          </w:rPr>
          <w:t>and between Addus HomeCare Corporation and Maxine Hochhauser.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-212090</wp:posOffset>
            </wp:positionV>
            <wp:extent cx="42348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-74930</wp:posOffset>
            </wp:positionV>
            <wp:extent cx="31724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3172460" cy="8255"/>
                    </a:xfrm>
                    <a:prstGeom prst="rect">
                      <a:avLst/>
                    </a:prstGeom>
                    <a:noFill/>
                  </pic:spPr>
                </pic:pic>
              </a:graphicData>
            </a:graphic>
          </wp:anchor>
        </w:drawing>
      </w:r>
    </w:p>
    <w:p>
      <w:pPr>
        <w:spacing w:after="0" w:line="63" w:lineRule="exact"/>
        <w:rPr>
          <w:rFonts w:ascii="Arial" w:cs="Arial" w:eastAsia="Arial" w:hAnsi="Arial"/>
          <w:sz w:val="18"/>
          <w:szCs w:val="18"/>
          <w:u w:val="single" w:color="auto"/>
          <w:color w:val="0000FF"/>
        </w:rPr>
      </w:pPr>
    </w:p>
    <w:p>
      <w:pPr>
        <w:ind w:left="1080" w:hanging="962"/>
        <w:spacing w:after="0" w:line="269" w:lineRule="auto"/>
        <w:tabs>
          <w:tab w:leader="none" w:pos="1060" w:val="left"/>
        </w:tabs>
        <w:rPr>
          <w:rFonts w:ascii="Arial" w:cs="Arial" w:eastAsia="Arial" w:hAnsi="Arial"/>
          <w:sz w:val="17"/>
          <w:szCs w:val="17"/>
          <w:u w:val="single" w:color="auto"/>
          <w:color w:val="0000FF"/>
        </w:rPr>
      </w:pPr>
      <w:hyperlink r:id="rId274">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274">
        <w:r>
          <w:rPr>
            <w:rFonts w:ascii="Arial" w:cs="Arial" w:eastAsia="Arial" w:hAnsi="Arial"/>
            <w:sz w:val="17"/>
            <w:szCs w:val="17"/>
            <w:u w:val="single" w:color="auto"/>
            <w:color w:val="0000FF"/>
          </w:rPr>
          <w:t>Credit Agreement, dated as of May 8, 2017, by and among Addus Healthcare,</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Inc., as the Borrower, the other parties from time to time a party thereto, and</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Capital One, National Association, as a Lender and Swing Lender and as Agent</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for all Lenders, Suntrust Bank, as Documentation Agent, Bank of the West,</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Compass Bank, Fifth Third Bank and JPMorgan Chase Bank, N.A., as Co-</w:t>
        </w:r>
      </w:hyperlink>
      <w:hyperlink r:id="rId274">
        <w:r>
          <w:rPr>
            <w:rFonts w:ascii="Arial" w:cs="Arial" w:eastAsia="Arial" w:hAnsi="Arial"/>
            <w:sz w:val="17"/>
            <w:szCs w:val="17"/>
            <w:u w:val="single" w:color="auto"/>
            <w:color w:val="0000FF"/>
          </w:rPr>
          <w:t>Syndication Agents, the other financial institutions party thereto, as Lenders,</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Capital One, National Association, Bank of the West, Compass Bank, Fifth</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Third Bank and JPMorgan Chase Bank, N.A. and Suntrust Robinson Humphrey</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as Joint Lead Arrangers and Capital One, National Association, as Sole</w:t>
        </w:r>
      </w:hyperlink>
      <w:r>
        <w:rPr>
          <w:rFonts w:ascii="Arial" w:cs="Arial" w:eastAsia="Arial" w:hAnsi="Arial"/>
          <w:sz w:val="17"/>
          <w:szCs w:val="17"/>
          <w:u w:val="single" w:color="auto"/>
          <w:color w:val="0000FF"/>
        </w:rPr>
        <w:t xml:space="preserve"> </w:t>
      </w:r>
      <w:hyperlink r:id="rId274">
        <w:r>
          <w:rPr>
            <w:rFonts w:ascii="Arial" w:cs="Arial" w:eastAsia="Arial" w:hAnsi="Arial"/>
            <w:sz w:val="17"/>
            <w:szCs w:val="17"/>
            <w:u w:val="single" w:color="auto"/>
            <w:color w:val="0000FF"/>
          </w:rPr>
          <w:t>Bookrunner.</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-1270000</wp:posOffset>
            </wp:positionV>
            <wp:extent cx="42062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420624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-1132840</wp:posOffset>
            </wp:positionV>
            <wp:extent cx="35204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352044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-995680</wp:posOffset>
            </wp:positionV>
            <wp:extent cx="36709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367093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-858520</wp:posOffset>
            </wp:positionV>
            <wp:extent cx="34747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347472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-721360</wp:posOffset>
            </wp:positionV>
            <wp:extent cx="34188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341884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-584200</wp:posOffset>
            </wp:positionV>
            <wp:extent cx="35375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353758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-447040</wp:posOffset>
            </wp:positionV>
            <wp:extent cx="34651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-309880</wp:posOffset>
            </wp:positionV>
            <wp:extent cx="36772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367728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-172720</wp:posOffset>
            </wp:positionV>
            <wp:extent cx="32899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328993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-35560</wp:posOffset>
            </wp:positionV>
            <wp:extent cx="567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567690" cy="8255"/>
                    </a:xfrm>
                    <a:prstGeom prst="rect">
                      <a:avLst/>
                    </a:prstGeom>
                    <a:noFill/>
                  </pic:spPr>
                </pic:pic>
              </a:graphicData>
            </a:graphic>
          </wp:anchor>
        </w:drawing>
      </w:r>
    </w:p>
    <w:p>
      <w:pPr>
        <w:spacing w:after="0" w:line="125" w:lineRule="exact"/>
        <w:rPr>
          <w:rFonts w:ascii="Arial" w:cs="Arial" w:eastAsia="Arial" w:hAnsi="Arial"/>
          <w:sz w:val="17"/>
          <w:szCs w:val="17"/>
          <w:u w:val="single" w:color="auto"/>
          <w:color w:val="0000FF"/>
        </w:rPr>
      </w:pPr>
    </w:p>
    <w:p>
      <w:pPr>
        <w:ind w:left="1080" w:right="140" w:hanging="1007"/>
        <w:spacing w:after="0" w:line="277" w:lineRule="auto"/>
        <w:tabs>
          <w:tab w:leader="none" w:pos="1060" w:val="left"/>
        </w:tabs>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285">
        <w:r>
          <w:rPr>
            <w:rFonts w:ascii="Arial" w:cs="Arial" w:eastAsia="Arial" w:hAnsi="Arial"/>
            <w:sz w:val="18"/>
            <w:szCs w:val="18"/>
            <w:u w:val="single" w:color="auto"/>
            <w:color w:val="0000FF"/>
          </w:rPr>
          <w:t>Addus HomeCare Corporation’s 2017 Omnibus Incentive Plan, effective as of</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April 27, 2017.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2392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423926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6978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300" w:hanging="1007"/>
        <w:spacing w:after="0" w:line="277" w:lineRule="auto"/>
        <w:tabs>
          <w:tab w:leader="none" w:pos="1060" w:val="left"/>
        </w:tabs>
        <w:rPr>
          <w:rFonts w:ascii="Arial" w:cs="Arial" w:eastAsia="Arial" w:hAnsi="Arial"/>
          <w:sz w:val="18"/>
          <w:szCs w:val="18"/>
          <w:u w:val="single" w:color="auto"/>
          <w:color w:val="0000FF"/>
        </w:rPr>
      </w:pPr>
      <w:hyperlink r:id="rId288">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288">
        <w:r>
          <w:rPr>
            <w:rFonts w:ascii="Arial" w:cs="Arial" w:eastAsia="Arial" w:hAnsi="Arial"/>
            <w:sz w:val="18"/>
            <w:szCs w:val="18"/>
            <w:u w:val="single" w:color="auto"/>
            <w:color w:val="0000FF"/>
          </w:rPr>
          <w:t>Form of Nonqualified Stock Option Award Agreement pursuant to the 2017</w:t>
        </w:r>
      </w:hyperlink>
      <w:r>
        <w:rPr>
          <w:rFonts w:ascii="Arial" w:cs="Arial" w:eastAsia="Arial" w:hAnsi="Arial"/>
          <w:sz w:val="18"/>
          <w:szCs w:val="18"/>
          <w:u w:val="single" w:color="auto"/>
          <w:color w:val="0000FF"/>
        </w:rPr>
        <w:t xml:space="preserve"> </w:t>
      </w:r>
      <w:hyperlink r:id="rId288">
        <w:r>
          <w:rPr>
            <w:rFonts w:ascii="Arial" w:cs="Arial" w:eastAsia="Arial" w:hAnsi="Arial"/>
            <w:sz w:val="18"/>
            <w:szCs w:val="18"/>
            <w:u w:val="single" w:color="auto"/>
            <w:color w:val="0000FF"/>
          </w:rPr>
          <w:t>Omnibus Incentive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1357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413575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11328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360" w:hanging="1007"/>
        <w:spacing w:after="0" w:line="277" w:lineRule="auto"/>
        <w:tabs>
          <w:tab w:leader="none" w:pos="1060" w:val="left"/>
        </w:tabs>
        <w:rPr>
          <w:rFonts w:ascii="Arial" w:cs="Arial" w:eastAsia="Arial" w:hAnsi="Arial"/>
          <w:sz w:val="18"/>
          <w:szCs w:val="18"/>
          <w:u w:val="single" w:color="auto"/>
          <w:color w:val="0000FF"/>
        </w:rPr>
      </w:pPr>
      <w:hyperlink r:id="rId291">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291">
        <w:r>
          <w:rPr>
            <w:rFonts w:ascii="Arial" w:cs="Arial" w:eastAsia="Arial" w:hAnsi="Arial"/>
            <w:sz w:val="18"/>
            <w:szCs w:val="18"/>
            <w:u w:val="single" w:color="auto"/>
            <w:color w:val="0000FF"/>
          </w:rPr>
          <w:t>Form of Restricted Stock Award Agreement pursuant to the 2017 Omnibus</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Incentive Plan.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0976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40976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6851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685165" cy="8890"/>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180" w:hanging="1007"/>
        <w:spacing w:after="0" w:line="342" w:lineRule="auto"/>
        <w:tabs>
          <w:tab w:leader="none" w:pos="1060" w:val="left"/>
        </w:tabs>
        <w:rPr>
          <w:rFonts w:ascii="Arial" w:cs="Arial" w:eastAsia="Arial" w:hAnsi="Arial"/>
          <w:sz w:val="16"/>
          <w:szCs w:val="16"/>
          <w:u w:val="single" w:color="auto"/>
          <w:color w:val="0000FF"/>
        </w:rPr>
      </w:pPr>
      <w:hyperlink r:id="rId294">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294">
        <w:r>
          <w:rPr>
            <w:rFonts w:ascii="Arial" w:cs="Arial" w:eastAsia="Arial" w:hAnsi="Arial"/>
            <w:sz w:val="16"/>
            <w:szCs w:val="16"/>
            <w:u w:val="single" w:color="auto"/>
            <w:color w:val="0000FF"/>
          </w:rPr>
          <w:t>Amended and Restated Employment and Non-Competition Agreement, dated</w:t>
        </w:r>
      </w:hyperlink>
      <w:r>
        <w:rPr>
          <w:rFonts w:ascii="Arial" w:cs="Arial" w:eastAsia="Arial" w:hAnsi="Arial"/>
          <w:sz w:val="16"/>
          <w:szCs w:val="16"/>
          <w:u w:val="single" w:color="auto"/>
          <w:color w:val="0000FF"/>
        </w:rPr>
        <w:t xml:space="preserve"> </w:t>
      </w:r>
      <w:hyperlink r:id="rId294">
        <w:r>
          <w:rPr>
            <w:rFonts w:ascii="Arial" w:cs="Arial" w:eastAsia="Arial" w:hAnsi="Arial"/>
            <w:sz w:val="16"/>
            <w:szCs w:val="16"/>
            <w:u w:val="single" w:color="auto"/>
            <w:color w:val="0000FF"/>
          </w:rPr>
          <w:t>April 25, 2017, by and between Addus HealthCare, Inc. and Brenda Belger.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-212090</wp:posOffset>
            </wp:positionV>
            <wp:extent cx="42157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421576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-74930</wp:posOffset>
            </wp:positionV>
            <wp:extent cx="34582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63" w:lineRule="exact"/>
        <w:rPr>
          <w:rFonts w:ascii="Arial" w:cs="Arial" w:eastAsia="Arial" w:hAnsi="Arial"/>
          <w:sz w:val="18"/>
          <w:szCs w:val="18"/>
          <w:u w:val="single" w:color="auto"/>
          <w:color w:val="0000FF"/>
        </w:rPr>
      </w:pPr>
    </w:p>
    <w:p>
      <w:pPr>
        <w:ind w:left="1080" w:right="360" w:hanging="1007"/>
        <w:spacing w:after="0" w:line="277" w:lineRule="auto"/>
        <w:tabs>
          <w:tab w:leader="none" w:pos="1060" w:val="left"/>
        </w:tabs>
        <w:rPr>
          <w:rFonts w:ascii="Arial" w:cs="Arial" w:eastAsia="Arial" w:hAnsi="Arial"/>
          <w:sz w:val="18"/>
          <w:szCs w:val="18"/>
          <w:u w:val="single" w:color="auto"/>
          <w:color w:val="0000FF"/>
        </w:rPr>
      </w:pPr>
      <w:hyperlink r:id="rId297">
        <w:r>
          <w:rPr>
            <w:rFonts w:ascii="Arial" w:cs="Arial" w:eastAsia="Arial" w:hAnsi="Arial"/>
            <w:sz w:val="18"/>
            <w:szCs w:val="18"/>
            <w:u w:val="single" w:color="auto"/>
            <w:color w:val="0000FF"/>
          </w:rPr>
          <w:t>10.</w:t>
        </w:r>
      </w:hyperlink>
      <w:r>
        <w:rPr>
          <w:rFonts w:ascii="Arial" w:cs="Arial" w:eastAsia="Arial" w:hAnsi="Arial"/>
          <w:sz w:val="18"/>
          <w:szCs w:val="18"/>
          <w:u w:val="single" w:color="auto"/>
          <w:color w:val="0000FF"/>
        </w:rPr>
        <w:t>29*</w:t>
        <w:tab/>
      </w:r>
      <w:hyperlink r:id="rId297">
        <w:r>
          <w:rPr>
            <w:rFonts w:ascii="Arial" w:cs="Arial" w:eastAsia="Arial" w:hAnsi="Arial"/>
            <w:sz w:val="18"/>
            <w:szCs w:val="18"/>
            <w:u w:val="single" w:color="auto"/>
            <w:color w:val="0000FF"/>
          </w:rPr>
          <w:t>Transition Agreement and Release, effective as of August 14, 2017, by and</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between Addus HealthCare, Inc. and Brenda Belger.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1021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410210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23952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2395220" cy="8890"/>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340" w:hanging="962"/>
        <w:spacing w:after="0" w:line="308" w:lineRule="auto"/>
        <w:tabs>
          <w:tab w:leader="none" w:pos="1060" w:val="left"/>
        </w:tabs>
        <w:rPr>
          <w:rFonts w:ascii="Arial" w:cs="Arial" w:eastAsia="Arial" w:hAnsi="Arial"/>
          <w:sz w:val="17"/>
          <w:szCs w:val="17"/>
          <w:u w:val="single" w:color="auto"/>
          <w:color w:val="0000FF"/>
        </w:rPr>
      </w:pPr>
      <w:hyperlink r:id="rId300">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300">
        <w:r>
          <w:rPr>
            <w:rFonts w:ascii="Arial" w:cs="Arial" w:eastAsia="Arial" w:hAnsi="Arial"/>
            <w:sz w:val="17"/>
            <w:szCs w:val="17"/>
            <w:u w:val="single" w:color="auto"/>
            <w:color w:val="0000FF"/>
          </w:rPr>
          <w:t>Stock Purchase Agreement, dated February 27, 2018, by and among Addus</w:t>
        </w:r>
      </w:hyperlink>
      <w:r>
        <w:rPr>
          <w:rFonts w:ascii="Arial" w:cs="Arial" w:eastAsia="Arial" w:hAnsi="Arial"/>
          <w:sz w:val="17"/>
          <w:szCs w:val="17"/>
          <w:u w:val="single" w:color="auto"/>
          <w:color w:val="0000FF"/>
        </w:rPr>
        <w:t xml:space="preserve"> </w:t>
      </w:r>
      <w:hyperlink r:id="rId300">
        <w:r>
          <w:rPr>
            <w:rFonts w:ascii="Arial" w:cs="Arial" w:eastAsia="Arial" w:hAnsi="Arial"/>
            <w:sz w:val="17"/>
            <w:szCs w:val="17"/>
            <w:u w:val="single" w:color="auto"/>
            <w:color w:val="0000FF"/>
          </w:rPr>
          <w:t>Healthcare, Inc., Michael J. Merrell and Mary E. Merrell,</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-197485</wp:posOffset>
            </wp:positionV>
            <wp:extent cx="40830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40830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-60325</wp:posOffset>
            </wp:positionV>
            <wp:extent cx="26549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2654935" cy="8890"/>
                    </a:xfrm>
                    <a:prstGeom prst="rect">
                      <a:avLst/>
                    </a:prstGeom>
                    <a:noFill/>
                  </pic:spPr>
                </pic:pic>
              </a:graphicData>
            </a:graphic>
          </wp:anchor>
        </w:drawing>
      </w:r>
    </w:p>
    <w:p>
      <w:pPr>
        <w:spacing w:after="0" w:line="140"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3"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333-160634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9/21/2009</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92"/>
              </w:rPr>
              <w:t>10.20(b)</w:t>
            </w:r>
          </w:p>
        </w:tc>
      </w:tr>
      <w:tr>
        <w:trPr>
          <w:trHeight w:val="608"/>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4/5/2012</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99.1</w:t>
            </w:r>
          </w:p>
        </w:tc>
      </w:tr>
      <w:tr>
        <w:trPr>
          <w:trHeight w:val="608"/>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4/5/2012</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99.2</w:t>
            </w:r>
          </w:p>
        </w:tc>
      </w:tr>
      <w:tr>
        <w:trPr>
          <w:trHeight w:val="715"/>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3/6/2013</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99.1</w:t>
            </w:r>
          </w:p>
        </w:tc>
      </w:tr>
      <w:tr>
        <w:trPr>
          <w:trHeight w:val="716"/>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12/15/2014</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99.1</w:t>
            </w:r>
          </w:p>
        </w:tc>
      </w:tr>
      <w:tr>
        <w:trPr>
          <w:trHeight w:val="715"/>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5/8/2015</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10.1</w:t>
            </w:r>
          </w:p>
        </w:tc>
      </w:tr>
      <w:tr>
        <w:trPr>
          <w:trHeight w:val="716"/>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03/23/2016</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10.1</w:t>
            </w:r>
          </w:p>
        </w:tc>
      </w:tr>
      <w:tr>
        <w:trPr>
          <w:trHeight w:val="608"/>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5/27/2016</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99.1</w:t>
            </w:r>
          </w:p>
        </w:tc>
      </w:tr>
      <w:tr>
        <w:trPr>
          <w:trHeight w:val="608"/>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3/2/2016</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99.2</w:t>
            </w:r>
          </w:p>
        </w:tc>
      </w:tr>
      <w:tr>
        <w:trPr>
          <w:trHeight w:val="607"/>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820" w:type="dxa"/>
            <w:vAlign w:val="bottom"/>
          </w:tcPr>
          <w:p>
            <w:pPr>
              <w:jc w:val="center"/>
              <w:ind w:left="110"/>
              <w:spacing w:after="0"/>
              <w:rPr>
                <w:sz w:val="20"/>
                <w:szCs w:val="20"/>
                <w:color w:val="auto"/>
              </w:rPr>
            </w:pPr>
            <w:r>
              <w:rPr>
                <w:rFonts w:ascii="Arial" w:cs="Arial" w:eastAsia="Arial" w:hAnsi="Arial"/>
                <w:sz w:val="18"/>
                <w:szCs w:val="18"/>
                <w:color w:val="auto"/>
                <w:w w:val="85"/>
              </w:rPr>
              <w:t>10.1</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spacing w:after="0"/>
        <w:tabs>
          <w:tab w:leader="none" w:pos="820" w:val="left"/>
          <w:tab w:leader="none" w:pos="2080" w:val="left"/>
          <w:tab w:leader="none" w:pos="33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001-34504</w:t>
      </w:r>
      <w:r>
        <w:rPr>
          <w:sz w:val="20"/>
          <w:szCs w:val="20"/>
          <w:color w:val="auto"/>
        </w:rPr>
        <w:tab/>
      </w:r>
      <w:r>
        <w:rPr>
          <w:rFonts w:ascii="Arial" w:cs="Arial" w:eastAsia="Arial" w:hAnsi="Arial"/>
          <w:sz w:val="18"/>
          <w:szCs w:val="18"/>
          <w:color w:val="auto"/>
        </w:rPr>
        <w:t>5/9/2017</w:t>
      </w:r>
      <w:r>
        <w:rPr>
          <w:sz w:val="20"/>
          <w:szCs w:val="20"/>
          <w:color w:val="auto"/>
        </w:rPr>
        <w:tab/>
      </w:r>
      <w:r>
        <w:rPr>
          <w:rFonts w:ascii="Arial" w:cs="Arial" w:eastAsia="Arial" w:hAnsi="Arial"/>
          <w:sz w:val="15"/>
          <w:szCs w:val="15"/>
          <w:color w:val="auto"/>
        </w:rPr>
        <w:t>10.3</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5"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6/16/2017</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10.1</w:t>
            </w:r>
          </w:p>
        </w:tc>
      </w:tr>
      <w:tr>
        <w:trPr>
          <w:trHeight w:val="60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3/14/2018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10.28</w:t>
            </w:r>
          </w:p>
        </w:tc>
      </w:tr>
      <w:tr>
        <w:trPr>
          <w:trHeight w:val="60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3/14/2018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10.29</w:t>
            </w:r>
          </w:p>
        </w:tc>
      </w:tr>
      <w:tr>
        <w:trPr>
          <w:trHeight w:val="607"/>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8/8/2017</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10.7</w:t>
            </w:r>
          </w:p>
        </w:tc>
      </w:tr>
      <w:tr>
        <w:trPr>
          <w:trHeight w:val="607"/>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7/31/2017</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10.1</w:t>
            </w:r>
          </w:p>
        </w:tc>
      </w:tr>
      <w:tr>
        <w:trPr>
          <w:trHeight w:val="60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3/5/2018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10.1</w:t>
            </w:r>
          </w:p>
        </w:tc>
      </w:tr>
    </w:tbl>
    <w:p>
      <w:pPr>
        <w:sectPr>
          <w:pgSz w:w="11900" w:h="16838" w:orient="portrait"/>
          <w:cols w:equalWidth="0" w:num="2">
            <w:col w:w="6840" w:space="400"/>
            <w:col w:w="3860"/>
          </w:cols>
          <w:pgMar w:left="320" w:top="121"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50" w:lineRule="exact"/>
        <w:rPr>
          <w:sz w:val="20"/>
          <w:szCs w:val="20"/>
          <w:color w:val="auto"/>
        </w:rPr>
      </w:pPr>
    </w:p>
    <w:p>
      <w:pPr>
        <w:ind w:left="1080" w:right="40"/>
        <w:spacing w:after="0" w:line="259" w:lineRule="auto"/>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individually, Michael J. Merrell and Mary E. Merrell, as Trustees of the Merrell</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Revocable Trust UTA dated June 3, 2012, and Michael J. Merrell and Mary E.</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Merrell, as Trustees of the Ambercare Corporation Employee Stock Ownership</w:t>
        </w:r>
      </w:hyperlink>
      <w:r>
        <w:rPr>
          <w:rFonts w:ascii="Arial" w:cs="Arial" w:eastAsia="Arial" w:hAnsi="Arial"/>
          <w:sz w:val="18"/>
          <w:szCs w:val="18"/>
          <w:u w:val="single" w:color="auto"/>
          <w:color w:val="0000FF"/>
        </w:rPr>
        <w:t xml:space="preserve"> </w:t>
      </w:r>
      <w:hyperlink r:id="rId300">
        <w:r>
          <w:rPr>
            <w:rFonts w:ascii="Arial" w:cs="Arial" w:eastAsia="Arial" w:hAnsi="Arial"/>
            <w:sz w:val="18"/>
            <w:szCs w:val="18"/>
            <w:u w:val="single" w:color="auto"/>
            <w:color w:val="0000FF"/>
          </w:rPr>
          <w:t>Plan Trust.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681990</wp:posOffset>
            </wp:positionH>
            <wp:positionV relativeFrom="paragraph">
              <wp:posOffset>-446405</wp:posOffset>
            </wp:positionV>
            <wp:extent cx="36722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367220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-309245</wp:posOffset>
            </wp:positionV>
            <wp:extent cx="36099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360997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-172085</wp:posOffset>
            </wp:positionV>
            <wp:extent cx="36544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36544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-34925</wp:posOffset>
            </wp:positionV>
            <wp:extent cx="4972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26" w:lineRule="exact"/>
        <w:rPr>
          <w:rFonts w:ascii="Arial" w:cs="Arial" w:eastAsia="Arial" w:hAnsi="Arial"/>
          <w:sz w:val="18"/>
          <w:szCs w:val="18"/>
          <w:u w:val="single" w:color="auto"/>
          <w:color w:val="0000FF"/>
        </w:rPr>
      </w:pPr>
    </w:p>
    <w:p>
      <w:pPr>
        <w:ind w:left="1080" w:right="160" w:hanging="962"/>
        <w:spacing w:after="0" w:line="259" w:lineRule="auto"/>
        <w:tabs>
          <w:tab w:leader="none" w:pos="1060" w:val="left"/>
        </w:tabs>
        <w:rPr>
          <w:rFonts w:ascii="Arial" w:cs="Arial" w:eastAsia="Arial" w:hAnsi="Arial"/>
          <w:sz w:val="18"/>
          <w:szCs w:val="18"/>
          <w:u w:val="single" w:color="auto"/>
          <w:color w:val="0000FF"/>
        </w:rPr>
      </w:pPr>
      <w:hyperlink r:id="rId309">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309">
        <w:r>
          <w:rPr>
            <w:rFonts w:ascii="Arial" w:cs="Arial" w:eastAsia="Arial" w:hAnsi="Arial"/>
            <w:sz w:val="18"/>
            <w:szCs w:val="18"/>
            <w:u w:val="single" w:color="auto"/>
            <w:color w:val="0000FF"/>
          </w:rPr>
          <w:t>Amended and Restated Credit Agreement by and among Addus HealthCare,</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Inc., as borrower, the Company, the other Credit Parties party thereto, the</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Lenders and L/C Issuers party thereto, and Capital One, National Association,</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as 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-446405</wp:posOffset>
            </wp:positionV>
            <wp:extent cx="41300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0">
                      <a:extLst>
                        <a:ext uri="{28A0092B-C50C-407E-A947-70E740481C1C}"/>
                      </a:extLst>
                    </a:blip>
                    <a:srcRect/>
                    <a:stretch>
                      <a:fillRect/>
                    </a:stretch>
                  </pic:blipFill>
                  <pic:spPr bwMode="auto">
                    <a:xfrm>
                      <a:off x="0" y="0"/>
                      <a:ext cx="413004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-309245</wp:posOffset>
            </wp:positionV>
            <wp:extent cx="3379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1">
                      <a:extLst>
                        <a:ext uri="{28A0092B-C50C-407E-A947-70E740481C1C}"/>
                      </a:extLst>
                    </a:blip>
                    <a:srcRect/>
                    <a:stretch>
                      <a:fillRect/>
                    </a:stretch>
                  </pic:blipFill>
                  <pic:spPr bwMode="auto">
                    <a:xfrm>
                      <a:off x="0" y="0"/>
                      <a:ext cx="337947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-172085</wp:posOffset>
            </wp:positionV>
            <wp:extent cx="35979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2">
                      <a:extLst>
                        <a:ext uri="{28A0092B-C50C-407E-A947-70E740481C1C}"/>
                      </a:extLst>
                    </a:blip>
                    <a:srcRect/>
                    <a:stretch>
                      <a:fillRect/>
                    </a:stretch>
                  </pic:blipFill>
                  <pic:spPr bwMode="auto">
                    <a:xfrm>
                      <a:off x="0" y="0"/>
                      <a:ext cx="359791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-34925</wp:posOffset>
            </wp:positionV>
            <wp:extent cx="10820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3">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126" w:lineRule="exact"/>
        <w:rPr>
          <w:rFonts w:ascii="Arial" w:cs="Arial" w:eastAsia="Arial" w:hAnsi="Arial"/>
          <w:sz w:val="18"/>
          <w:szCs w:val="18"/>
          <w:u w:val="single" w:color="auto"/>
          <w:color w:val="0000FF"/>
        </w:rPr>
      </w:pPr>
    </w:p>
    <w:p>
      <w:pPr>
        <w:ind w:left="1080" w:right="60" w:hanging="1007"/>
        <w:spacing w:after="0" w:line="263" w:lineRule="auto"/>
        <w:tabs>
          <w:tab w:leader="none" w:pos="1060" w:val="left"/>
        </w:tabs>
        <w:rPr>
          <w:rFonts w:ascii="Arial" w:cs="Arial" w:eastAsia="Arial" w:hAnsi="Arial"/>
          <w:sz w:val="18"/>
          <w:szCs w:val="18"/>
          <w:u w:val="single" w:color="auto"/>
          <w:color w:val="0000FF"/>
        </w:rPr>
      </w:pPr>
      <w:hyperlink r:id="rId314">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314">
        <w:r>
          <w:rPr>
            <w:rFonts w:ascii="Arial" w:cs="Arial" w:eastAsia="Arial" w:hAnsi="Arial"/>
            <w:sz w:val="18"/>
            <w:szCs w:val="18"/>
            <w:u w:val="single" w:color="auto"/>
            <w:color w:val="0000FF"/>
          </w:rPr>
          <w:t>Second Amended and Restated Employment and Non-Competition Agreement,</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dated November 5, 2018, by and between Addus HealthCare, Inc. and R. Dirk</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Allison.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-311150</wp:posOffset>
            </wp:positionV>
            <wp:extent cx="43046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430466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-173990</wp:posOffset>
            </wp:positionV>
            <wp:extent cx="36042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360426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-36830</wp:posOffset>
            </wp:positionV>
            <wp:extent cx="3651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1080" w:right="60" w:hanging="1007"/>
        <w:spacing w:after="0" w:line="263" w:lineRule="auto"/>
        <w:tabs>
          <w:tab w:leader="none" w:pos="1060" w:val="left"/>
        </w:tabs>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318">
        <w:r>
          <w:rPr>
            <w:rFonts w:ascii="Arial" w:cs="Arial" w:eastAsia="Arial" w:hAnsi="Arial"/>
            <w:sz w:val="18"/>
            <w:szCs w:val="18"/>
            <w:u w:val="single" w:color="auto"/>
            <w:color w:val="0000FF"/>
          </w:rPr>
          <w:t>Second Amended and Restated Employment and Non-Competition Agreement,</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dated November 5, 2018, by and between Addus HealthCare, Inc. and Brian</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Poff.</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-311150</wp:posOffset>
            </wp:positionV>
            <wp:extent cx="43046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430466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-173990</wp:posOffset>
            </wp:positionV>
            <wp:extent cx="35153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351536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-36830</wp:posOffset>
            </wp:positionV>
            <wp:extent cx="2228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1080" w:right="60" w:hanging="1007"/>
        <w:spacing w:after="0" w:line="263" w:lineRule="auto"/>
        <w:tabs>
          <w:tab w:leader="none" w:pos="1060" w:val="left"/>
        </w:tabs>
        <w:rPr>
          <w:rFonts w:ascii="Arial" w:cs="Arial" w:eastAsia="Arial" w:hAnsi="Arial"/>
          <w:sz w:val="18"/>
          <w:szCs w:val="18"/>
          <w:u w:val="single" w:color="auto"/>
          <w:color w:val="0000FF"/>
        </w:rPr>
      </w:pPr>
      <w:hyperlink r:id="rId322">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322">
        <w:r>
          <w:rPr>
            <w:rFonts w:ascii="Arial" w:cs="Arial" w:eastAsia="Arial" w:hAnsi="Arial"/>
            <w:sz w:val="18"/>
            <w:szCs w:val="18"/>
            <w:u w:val="single" w:color="auto"/>
            <w:color w:val="0000FF"/>
          </w:rPr>
          <w:t>Second Amended and Restated Employment and Non-Competition Agreement,</w:t>
        </w:r>
      </w:hyperlink>
      <w:r>
        <w:rPr>
          <w:rFonts w:ascii="Arial" w:cs="Arial" w:eastAsia="Arial" w:hAnsi="Arial"/>
          <w:sz w:val="18"/>
          <w:szCs w:val="18"/>
          <w:u w:val="single" w:color="auto"/>
          <w:color w:val="0000FF"/>
        </w:rPr>
        <w:t xml:space="preserve"> </w:t>
      </w:r>
      <w:hyperlink r:id="rId322">
        <w:r>
          <w:rPr>
            <w:rFonts w:ascii="Arial" w:cs="Arial" w:eastAsia="Arial" w:hAnsi="Arial"/>
            <w:sz w:val="18"/>
            <w:szCs w:val="18"/>
            <w:u w:val="single" w:color="auto"/>
            <w:color w:val="0000FF"/>
          </w:rPr>
          <w:t>dated November 5, 2018, by and between Addus HealthCare, Inc. and James</w:t>
        </w:r>
      </w:hyperlink>
      <w:r>
        <w:rPr>
          <w:rFonts w:ascii="Arial" w:cs="Arial" w:eastAsia="Arial" w:hAnsi="Arial"/>
          <w:sz w:val="18"/>
          <w:szCs w:val="18"/>
          <w:u w:val="single" w:color="auto"/>
          <w:color w:val="0000FF"/>
        </w:rPr>
        <w:t xml:space="preserve"> </w:t>
      </w:r>
      <w:hyperlink r:id="rId322">
        <w:r>
          <w:rPr>
            <w:rFonts w:ascii="Arial" w:cs="Arial" w:eastAsia="Arial" w:hAnsi="Arial"/>
            <w:sz w:val="18"/>
            <w:szCs w:val="18"/>
            <w:u w:val="single" w:color="auto"/>
            <w:color w:val="0000FF"/>
          </w:rPr>
          <w:t>Zoccoli.</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-311150</wp:posOffset>
            </wp:positionV>
            <wp:extent cx="43046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430466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-173990</wp:posOffset>
            </wp:positionV>
            <wp:extent cx="35407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354076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-36830</wp:posOffset>
            </wp:positionV>
            <wp:extent cx="3771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1080" w:right="60" w:hanging="1007"/>
        <w:spacing w:after="0" w:line="263" w:lineRule="auto"/>
        <w:tabs>
          <w:tab w:leader="none" w:pos="1060" w:val="left"/>
        </w:tabs>
        <w:rPr>
          <w:rFonts w:ascii="Arial" w:cs="Arial" w:eastAsia="Arial" w:hAnsi="Arial"/>
          <w:sz w:val="18"/>
          <w:szCs w:val="18"/>
          <w:u w:val="single" w:color="auto"/>
          <w:color w:val="0000FF"/>
        </w:rPr>
      </w:pPr>
      <w:hyperlink r:id="rId326">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326">
        <w:r>
          <w:rPr>
            <w:rFonts w:ascii="Arial" w:cs="Arial" w:eastAsia="Arial" w:hAnsi="Arial"/>
            <w:sz w:val="18"/>
            <w:szCs w:val="18"/>
            <w:u w:val="single" w:color="auto"/>
            <w:color w:val="0000FF"/>
          </w:rPr>
          <w:t>Second Amended and Restated Employment and Non-Competition Agreement,</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dated November 5, 2018, by and between Addus HealthCare, Inc. and Darby</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Anderson.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-311150</wp:posOffset>
            </wp:positionV>
            <wp:extent cx="43046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430466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-173990</wp:posOffset>
            </wp:positionV>
            <wp:extent cx="354711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354711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-36830</wp:posOffset>
            </wp:positionV>
            <wp:extent cx="4724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472440"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1080" w:right="60" w:hanging="1007"/>
        <w:spacing w:after="0" w:line="263" w:lineRule="auto"/>
        <w:tabs>
          <w:tab w:leader="none" w:pos="1060" w:val="left"/>
        </w:tabs>
        <w:rPr>
          <w:rFonts w:ascii="Arial" w:cs="Arial" w:eastAsia="Arial" w:hAnsi="Arial"/>
          <w:sz w:val="18"/>
          <w:szCs w:val="18"/>
          <w:u w:val="single" w:color="auto"/>
          <w:color w:val="0000FF"/>
        </w:rPr>
      </w:pPr>
      <w:hyperlink r:id="rId330">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330">
        <w:r>
          <w:rPr>
            <w:rFonts w:ascii="Arial" w:cs="Arial" w:eastAsia="Arial" w:hAnsi="Arial"/>
            <w:sz w:val="18"/>
            <w:szCs w:val="18"/>
            <w:u w:val="single" w:color="auto"/>
            <w:color w:val="0000FF"/>
          </w:rPr>
          <w:t>Second Amended and Restated Employment and Non-Competition Agreement,</w:t>
        </w:r>
      </w:hyperlink>
      <w:r>
        <w:rPr>
          <w:rFonts w:ascii="Arial" w:cs="Arial" w:eastAsia="Arial" w:hAnsi="Arial"/>
          <w:sz w:val="18"/>
          <w:szCs w:val="18"/>
          <w:u w:val="single" w:color="auto"/>
          <w:color w:val="0000FF"/>
        </w:rPr>
        <w:t xml:space="preserve"> </w:t>
      </w:r>
      <w:hyperlink r:id="rId330">
        <w:r>
          <w:rPr>
            <w:rFonts w:ascii="Arial" w:cs="Arial" w:eastAsia="Arial" w:hAnsi="Arial"/>
            <w:sz w:val="18"/>
            <w:szCs w:val="18"/>
            <w:u w:val="single" w:color="auto"/>
            <w:color w:val="0000FF"/>
          </w:rPr>
          <w:t>dated November 5, 2018, by and between Addus HealthCare, Inc. and W.</w:t>
        </w:r>
      </w:hyperlink>
      <w:r>
        <w:rPr>
          <w:rFonts w:ascii="Arial" w:cs="Arial" w:eastAsia="Arial" w:hAnsi="Arial"/>
          <w:sz w:val="18"/>
          <w:szCs w:val="18"/>
          <w:u w:val="single" w:color="auto"/>
          <w:color w:val="0000FF"/>
        </w:rPr>
        <w:t xml:space="preserve"> </w:t>
      </w:r>
      <w:hyperlink r:id="rId330">
        <w:r>
          <w:rPr>
            <w:rFonts w:ascii="Arial" w:cs="Arial" w:eastAsia="Arial" w:hAnsi="Arial"/>
            <w:sz w:val="18"/>
            <w:szCs w:val="18"/>
            <w:u w:val="single" w:color="auto"/>
            <w:color w:val="0000FF"/>
          </w:rPr>
          <w:t>Bradley Bickham.</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-311150</wp:posOffset>
            </wp:positionV>
            <wp:extent cx="43046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1">
                      <a:extLst>
                        <a:ext uri="{28A0092B-C50C-407E-A947-70E740481C1C}"/>
                      </a:extLst>
                    </a:blip>
                    <a:srcRect/>
                    <a:stretch>
                      <a:fillRect/>
                    </a:stretch>
                  </pic:blipFill>
                  <pic:spPr bwMode="auto">
                    <a:xfrm>
                      <a:off x="0" y="0"/>
                      <a:ext cx="430466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-173990</wp:posOffset>
            </wp:positionV>
            <wp:extent cx="3387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2">
                      <a:extLst>
                        <a:ext uri="{28A0092B-C50C-407E-A947-70E740481C1C}"/>
                      </a:extLst>
                    </a:blip>
                    <a:srcRect/>
                    <a:stretch>
                      <a:fillRect/>
                    </a:stretch>
                  </pic:blipFill>
                  <pic:spPr bwMode="auto">
                    <a:xfrm>
                      <a:off x="0" y="0"/>
                      <a:ext cx="33877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-36830</wp:posOffset>
            </wp:positionV>
            <wp:extent cx="8312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1080" w:right="200" w:hanging="1007"/>
        <w:spacing w:after="0" w:line="263" w:lineRule="auto"/>
        <w:tabs>
          <w:tab w:leader="none" w:pos="1060" w:val="left"/>
        </w:tabs>
        <w:rPr>
          <w:rFonts w:ascii="Arial" w:cs="Arial" w:eastAsia="Arial" w:hAnsi="Arial"/>
          <w:sz w:val="18"/>
          <w:szCs w:val="18"/>
          <w:u w:val="single" w:color="auto"/>
          <w:color w:val="0000FF"/>
        </w:rPr>
      </w:pPr>
      <w:hyperlink r:id="rId334">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334">
        <w:r>
          <w:rPr>
            <w:rFonts w:ascii="Arial" w:cs="Arial" w:eastAsia="Arial" w:hAnsi="Arial"/>
            <w:sz w:val="18"/>
            <w:szCs w:val="18"/>
            <w:u w:val="single" w:color="auto"/>
            <w:color w:val="0000FF"/>
          </w:rPr>
          <w:t>Amended and Restated Employment and Non-Competition Agreement, dated</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November 5, 2018, by and between Addus HealthCare, Inc. and Laurie</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Manning.</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-311150</wp:posOffset>
            </wp:positionV>
            <wp:extent cx="42157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421576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-173990</wp:posOffset>
            </wp:positionV>
            <wp:extent cx="32835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328358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-36830</wp:posOffset>
            </wp:positionV>
            <wp:extent cx="441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123" w:lineRule="exact"/>
        <w:rPr>
          <w:rFonts w:ascii="Arial" w:cs="Arial" w:eastAsia="Arial" w:hAnsi="Arial"/>
          <w:sz w:val="18"/>
          <w:szCs w:val="18"/>
          <w:u w:val="single" w:color="auto"/>
          <w:color w:val="0000FF"/>
        </w:rPr>
      </w:pPr>
    </w:p>
    <w:p>
      <w:pPr>
        <w:ind w:left="1080" w:right="40" w:hanging="962"/>
        <w:spacing w:after="0" w:line="279" w:lineRule="auto"/>
        <w:tabs>
          <w:tab w:leader="none" w:pos="1060" w:val="left"/>
        </w:tabs>
        <w:rPr>
          <w:rFonts w:ascii="Arial" w:cs="Arial" w:eastAsia="Arial" w:hAnsi="Arial"/>
          <w:sz w:val="17"/>
          <w:szCs w:val="17"/>
          <w:u w:val="single" w:color="auto"/>
          <w:color w:val="0000FF"/>
        </w:rPr>
      </w:pPr>
      <w:hyperlink r:id="rId309">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309">
        <w:r>
          <w:rPr>
            <w:rFonts w:ascii="Arial" w:cs="Arial" w:eastAsia="Arial" w:hAnsi="Arial"/>
            <w:sz w:val="17"/>
            <w:szCs w:val="17"/>
            <w:u w:val="single" w:color="auto"/>
            <w:color w:val="0000FF"/>
          </w:rPr>
          <w:t>Amended and Restated Credit Agreement, dated as of October 31, 2018, by and</w:t>
        </w:r>
      </w:hyperlink>
      <w:r>
        <w:rPr>
          <w:rFonts w:ascii="Arial" w:cs="Arial" w:eastAsia="Arial" w:hAnsi="Arial"/>
          <w:sz w:val="17"/>
          <w:szCs w:val="17"/>
          <w:u w:val="single" w:color="auto"/>
          <w:color w:val="0000FF"/>
        </w:rPr>
        <w:t xml:space="preserve"> </w:t>
      </w:r>
      <w:hyperlink r:id="rId309">
        <w:r>
          <w:rPr>
            <w:rFonts w:ascii="Arial" w:cs="Arial" w:eastAsia="Arial" w:hAnsi="Arial"/>
            <w:sz w:val="17"/>
            <w:szCs w:val="17"/>
            <w:u w:val="single" w:color="auto"/>
            <w:color w:val="0000FF"/>
          </w:rPr>
          <w:t>among Addus HealthCare, Inc., as borrower, the Company, the other Credit</w:t>
        </w:r>
      </w:hyperlink>
      <w:r>
        <w:rPr>
          <w:rFonts w:ascii="Arial" w:cs="Arial" w:eastAsia="Arial" w:hAnsi="Arial"/>
          <w:sz w:val="17"/>
          <w:szCs w:val="17"/>
          <w:u w:val="single" w:color="auto"/>
          <w:color w:val="0000FF"/>
        </w:rPr>
        <w:t xml:space="preserve"> </w:t>
      </w:r>
      <w:hyperlink r:id="rId309">
        <w:r>
          <w:rPr>
            <w:rFonts w:ascii="Arial" w:cs="Arial" w:eastAsia="Arial" w:hAnsi="Arial"/>
            <w:sz w:val="17"/>
            <w:szCs w:val="17"/>
            <w:u w:val="single" w:color="auto"/>
            <w:color w:val="0000FF"/>
          </w:rPr>
          <w:t>Parties party thereto, the Lenders and L/C Issuers party thereto, and Capital</w:t>
        </w:r>
      </w:hyperlink>
      <w:r>
        <w:rPr>
          <w:rFonts w:ascii="Arial" w:cs="Arial" w:eastAsia="Arial" w:hAnsi="Arial"/>
          <w:sz w:val="17"/>
          <w:szCs w:val="17"/>
          <w:u w:val="single" w:color="auto"/>
          <w:color w:val="0000FF"/>
        </w:rPr>
        <w:t xml:space="preserve"> </w:t>
      </w:r>
      <w:hyperlink r:id="rId309">
        <w:r>
          <w:rPr>
            <w:rFonts w:ascii="Arial" w:cs="Arial" w:eastAsia="Arial" w:hAnsi="Arial"/>
            <w:sz w:val="17"/>
            <w:szCs w:val="17"/>
            <w:u w:val="single" w:color="auto"/>
            <w:color w:val="0000FF"/>
          </w:rPr>
          <w:t>One, National Association, as administrative agent.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-455930</wp:posOffset>
            </wp:positionV>
            <wp:extent cx="42894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428942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-318770</wp:posOffset>
            </wp:positionV>
            <wp:extent cx="34778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347789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-181610</wp:posOffset>
            </wp:positionV>
            <wp:extent cx="34772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347726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-44450</wp:posOffset>
            </wp:positionV>
            <wp:extent cx="23482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2348230" cy="8890"/>
                    </a:xfrm>
                    <a:prstGeom prst="rect">
                      <a:avLst/>
                    </a:prstGeom>
                    <a:noFill/>
                  </pic:spPr>
                </pic:pic>
              </a:graphicData>
            </a:graphic>
          </wp:anchor>
        </w:drawing>
      </w:r>
    </w:p>
    <w:p>
      <w:pPr>
        <w:spacing w:after="0" w:line="111" w:lineRule="exact"/>
        <w:rPr>
          <w:rFonts w:ascii="Arial" w:cs="Arial" w:eastAsia="Arial" w:hAnsi="Arial"/>
          <w:sz w:val="17"/>
          <w:szCs w:val="17"/>
          <w:u w:val="single" w:color="auto"/>
          <w:color w:val="0000FF"/>
        </w:rPr>
      </w:pPr>
    </w:p>
    <w:p>
      <w:pPr>
        <w:ind w:left="1080" w:hanging="1007"/>
        <w:spacing w:after="0" w:line="277" w:lineRule="auto"/>
        <w:tabs>
          <w:tab w:leader="none" w:pos="1060" w:val="left"/>
        </w:tabs>
        <w:rPr>
          <w:rFonts w:ascii="Arial" w:cs="Arial" w:eastAsia="Arial" w:hAnsi="Arial"/>
          <w:sz w:val="18"/>
          <w:szCs w:val="18"/>
          <w:u w:val="single" w:color="auto"/>
          <w:color w:val="0000FF"/>
        </w:rPr>
      </w:pPr>
      <w:hyperlink r:id="rId342">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342">
        <w:r>
          <w:rPr>
            <w:rFonts w:ascii="Arial" w:cs="Arial" w:eastAsia="Arial" w:hAnsi="Arial"/>
            <w:sz w:val="18"/>
            <w:szCs w:val="18"/>
            <w:u w:val="single" w:color="auto"/>
            <w:color w:val="0000FF"/>
          </w:rPr>
          <w:t>Employment and Non-Competition Agreement, effective April 29, 2019, by and</w:t>
        </w:r>
      </w:hyperlink>
      <w:r>
        <w:rPr>
          <w:rFonts w:ascii="Arial" w:cs="Arial" w:eastAsia="Arial" w:hAnsi="Arial"/>
          <w:sz w:val="18"/>
          <w:szCs w:val="18"/>
          <w:u w:val="single" w:color="auto"/>
          <w:color w:val="0000FF"/>
        </w:rPr>
        <w:t xml:space="preserve"> </w:t>
      </w:r>
      <w:hyperlink r:id="rId342">
        <w:r>
          <w:rPr>
            <w:rFonts w:ascii="Arial" w:cs="Arial" w:eastAsia="Arial" w:hAnsi="Arial"/>
            <w:sz w:val="18"/>
            <w:szCs w:val="18"/>
            <w:u w:val="single" w:color="auto"/>
            <w:color w:val="0000FF"/>
          </w:rPr>
          <w:t>between Addus HealthCare, Inc. and Sean Gaffney.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3180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3">
                      <a:extLst>
                        <a:ext uri="{28A0092B-C50C-407E-A947-70E740481C1C}"/>
                      </a:extLst>
                    </a:blip>
                    <a:srcRect/>
                    <a:stretch>
                      <a:fillRect/>
                    </a:stretch>
                  </pic:blipFill>
                  <pic:spPr bwMode="auto">
                    <a:xfrm>
                      <a:off x="0" y="0"/>
                      <a:ext cx="43180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23539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4">
                      <a:extLst>
                        <a:ext uri="{28A0092B-C50C-407E-A947-70E740481C1C}"/>
                      </a:extLst>
                    </a:blip>
                    <a:srcRect/>
                    <a:stretch>
                      <a:fillRect/>
                    </a:stretch>
                  </pic:blipFill>
                  <pic:spPr bwMode="auto">
                    <a:xfrm>
                      <a:off x="0" y="0"/>
                      <a:ext cx="2353945" cy="8890"/>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20" w:hanging="1007"/>
        <w:spacing w:after="0" w:line="277" w:lineRule="auto"/>
        <w:tabs>
          <w:tab w:leader="none" w:pos="1060" w:val="left"/>
        </w:tabs>
        <w:rPr>
          <w:rFonts w:ascii="Arial" w:cs="Arial" w:eastAsia="Arial" w:hAnsi="Arial"/>
          <w:sz w:val="18"/>
          <w:szCs w:val="18"/>
          <w:u w:val="single" w:color="auto"/>
          <w:color w:val="0000FF"/>
        </w:rPr>
      </w:pPr>
      <w:hyperlink r:id="rId345">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345">
        <w:r>
          <w:rPr>
            <w:rFonts w:ascii="Arial" w:cs="Arial" w:eastAsia="Arial" w:hAnsi="Arial"/>
            <w:sz w:val="18"/>
            <w:szCs w:val="18"/>
            <w:u w:val="single" w:color="auto"/>
            <w:color w:val="0000FF"/>
          </w:rPr>
          <w:t>Employment and Non-Competition Agreement, effective November 7, 2019, by</w:t>
        </w:r>
      </w:hyperlink>
      <w:r>
        <w:rPr>
          <w:rFonts w:ascii="Arial" w:cs="Arial" w:eastAsia="Arial" w:hAnsi="Arial"/>
          <w:sz w:val="18"/>
          <w:szCs w:val="18"/>
          <w:u w:val="single" w:color="auto"/>
          <w:color w:val="0000FF"/>
        </w:rPr>
        <w:t xml:space="preserve"> </w:t>
      </w:r>
      <w:hyperlink r:id="rId345">
        <w:r>
          <w:rPr>
            <w:rFonts w:ascii="Arial" w:cs="Arial" w:eastAsia="Arial" w:hAnsi="Arial"/>
            <w:sz w:val="18"/>
            <w:szCs w:val="18"/>
            <w:u w:val="single" w:color="auto"/>
            <w:color w:val="0000FF"/>
          </w:rPr>
          <w:t>and between Addus HealthCare, Inc. and David Tucker.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3180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43180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255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2552700" cy="8890"/>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20" w:hanging="1007"/>
        <w:spacing w:after="0" w:line="277" w:lineRule="auto"/>
        <w:tabs>
          <w:tab w:leader="none" w:pos="1060" w:val="left"/>
        </w:tabs>
        <w:rPr>
          <w:rFonts w:ascii="Arial" w:cs="Arial" w:eastAsia="Arial" w:hAnsi="Arial"/>
          <w:sz w:val="18"/>
          <w:szCs w:val="18"/>
          <w:u w:val="single" w:color="auto"/>
          <w:color w:val="0000FF"/>
        </w:rPr>
      </w:pPr>
      <w:hyperlink r:id="rId348">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348">
        <w:r>
          <w:rPr>
            <w:rFonts w:ascii="Arial" w:cs="Arial" w:eastAsia="Arial" w:hAnsi="Arial"/>
            <w:sz w:val="18"/>
            <w:szCs w:val="18"/>
            <w:u w:val="single" w:color="auto"/>
            <w:color w:val="0000FF"/>
          </w:rPr>
          <w:t>Employment and Non-Competition Agreement, effective November 7, 2019, by</w:t>
        </w:r>
      </w:hyperlink>
      <w:r>
        <w:rPr>
          <w:rFonts w:ascii="Arial" w:cs="Arial" w:eastAsia="Arial" w:hAnsi="Arial"/>
          <w:sz w:val="18"/>
          <w:szCs w:val="18"/>
          <w:u w:val="single" w:color="auto"/>
          <w:color w:val="0000FF"/>
        </w:rPr>
        <w:t xml:space="preserve"> </w:t>
      </w:r>
      <w:hyperlink r:id="rId348">
        <w:r>
          <w:rPr>
            <w:rFonts w:ascii="Arial" w:cs="Arial" w:eastAsia="Arial" w:hAnsi="Arial"/>
            <w:sz w:val="18"/>
            <w:szCs w:val="18"/>
            <w:u w:val="single" w:color="auto"/>
            <w:color w:val="0000FF"/>
          </w:rPr>
          <w:t>and between Addus HealthCare, Inc. and Mike Wattenbarger.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-182245</wp:posOffset>
            </wp:positionV>
            <wp:extent cx="43180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43180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-45085</wp:posOffset>
            </wp:positionV>
            <wp:extent cx="28060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110" w:lineRule="exact"/>
        <w:rPr>
          <w:rFonts w:ascii="Arial" w:cs="Arial" w:eastAsia="Arial" w:hAnsi="Arial"/>
          <w:sz w:val="18"/>
          <w:szCs w:val="18"/>
          <w:u w:val="single" w:color="auto"/>
          <w:color w:val="0000FF"/>
        </w:rPr>
      </w:pPr>
    </w:p>
    <w:p>
      <w:pPr>
        <w:ind w:left="1080" w:right="600" w:hanging="1007"/>
        <w:spacing w:after="0" w:line="308" w:lineRule="auto"/>
        <w:tabs>
          <w:tab w:leader="none" w:pos="1060" w:val="left"/>
        </w:tabs>
        <w:rPr>
          <w:rFonts w:ascii="Arial" w:cs="Arial" w:eastAsia="Arial" w:hAnsi="Arial"/>
          <w:sz w:val="17"/>
          <w:szCs w:val="17"/>
          <w:u w:val="single" w:color="auto"/>
          <w:color w:val="0000FF"/>
        </w:rPr>
      </w:pPr>
      <w:hyperlink r:id="rId351">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351">
        <w:r>
          <w:rPr>
            <w:rFonts w:ascii="Arial" w:cs="Arial" w:eastAsia="Arial" w:hAnsi="Arial"/>
            <w:sz w:val="17"/>
            <w:szCs w:val="17"/>
            <w:u w:val="single" w:color="auto"/>
            <w:color w:val="0000FF"/>
          </w:rPr>
          <w:t>Transition Agreement and Release, effective as of July 31, 2019, by and</w:t>
        </w:r>
      </w:hyperlink>
      <w:r>
        <w:rPr>
          <w:rFonts w:ascii="Arial" w:cs="Arial" w:eastAsia="Arial" w:hAnsi="Arial"/>
          <w:sz w:val="17"/>
          <w:szCs w:val="17"/>
          <w:u w:val="single" w:color="auto"/>
          <w:color w:val="0000FF"/>
        </w:rPr>
        <w:t xml:space="preserve"> </w:t>
      </w:r>
      <w:hyperlink r:id="rId351">
        <w:r>
          <w:rPr>
            <w:rFonts w:ascii="Arial" w:cs="Arial" w:eastAsia="Arial" w:hAnsi="Arial"/>
            <w:sz w:val="17"/>
            <w:szCs w:val="17"/>
            <w:u w:val="single" w:color="auto"/>
            <w:color w:val="0000FF"/>
          </w:rPr>
          <w:t>between Addus HealthCare, Inc. and James “Zeke” Zoccoli.</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41910</wp:posOffset>
            </wp:positionH>
            <wp:positionV relativeFrom="paragraph">
              <wp:posOffset>-197485</wp:posOffset>
            </wp:positionV>
            <wp:extent cx="39624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2">
                      <a:extLst>
                        <a:ext uri="{28A0092B-C50C-407E-A947-70E740481C1C}"/>
                      </a:extLst>
                    </a:blip>
                    <a:srcRect/>
                    <a:stretch>
                      <a:fillRect/>
                    </a:stretch>
                  </pic:blipFill>
                  <pic:spPr bwMode="auto">
                    <a:xfrm>
                      <a:off x="0" y="0"/>
                      <a:ext cx="396240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-60325</wp:posOffset>
            </wp:positionV>
            <wp:extent cx="27533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3">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86" w:lineRule="exact"/>
        <w:rPr>
          <w:rFonts w:ascii="Arial" w:cs="Arial" w:eastAsia="Arial" w:hAnsi="Arial"/>
          <w:sz w:val="18"/>
          <w:szCs w:val="18"/>
          <w:u w:val="single" w:color="auto"/>
          <w:color w:val="0000FF"/>
        </w:rPr>
      </w:pPr>
    </w:p>
    <w:p>
      <w:pPr>
        <w:ind w:left="1080" w:hanging="962"/>
        <w:spacing w:after="0" w:line="259" w:lineRule="auto"/>
        <w:tabs>
          <w:tab w:leader="none" w:pos="1060" w:val="left"/>
        </w:tabs>
        <w:rPr>
          <w:rFonts w:ascii="Arial" w:cs="Arial" w:eastAsia="Arial" w:hAnsi="Arial"/>
          <w:sz w:val="18"/>
          <w:szCs w:val="18"/>
          <w:u w:val="single" w:color="auto"/>
          <w:color w:val="0000FF"/>
        </w:rPr>
      </w:pPr>
      <w:hyperlink r:id="rId354">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354">
        <w:r>
          <w:rPr>
            <w:rFonts w:ascii="Arial" w:cs="Arial" w:eastAsia="Arial" w:hAnsi="Arial"/>
            <w:sz w:val="18"/>
            <w:szCs w:val="18"/>
            <w:u w:val="single" w:color="auto"/>
            <w:color w:val="0000FF"/>
          </w:rPr>
          <w:t>Equity Purchase Agreement, dated August 25, 2019, by and among Addus</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Healthcare, Inc., Hospice Partners of America, LLC, New Capital Partners II –</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HS, Inc., Senior Care Services, LLC, Eastside Partners II, L.P., and New Capital</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Partners II,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-446405</wp:posOffset>
            </wp:positionV>
            <wp:extent cx="40449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5">
                      <a:extLst>
                        <a:ext uri="{28A0092B-C50C-407E-A947-70E740481C1C}"/>
                      </a:extLst>
                    </a:blip>
                    <a:srcRect/>
                    <a:stretch>
                      <a:fillRect/>
                    </a:stretch>
                  </pic:blipFill>
                  <pic:spPr bwMode="auto">
                    <a:xfrm>
                      <a:off x="0" y="0"/>
                      <a:ext cx="40449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-309245</wp:posOffset>
            </wp:positionV>
            <wp:extent cx="3632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6">
                      <a:extLst>
                        <a:ext uri="{28A0092B-C50C-407E-A947-70E740481C1C}"/>
                      </a:extLst>
                    </a:blip>
                    <a:srcRect/>
                    <a:stretch>
                      <a:fillRect/>
                    </a:stretch>
                  </pic:blipFill>
                  <pic:spPr bwMode="auto">
                    <a:xfrm>
                      <a:off x="0" y="0"/>
                      <a:ext cx="363283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-172085</wp:posOffset>
            </wp:positionV>
            <wp:extent cx="36772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7">
                      <a:extLst>
                        <a:ext uri="{28A0092B-C50C-407E-A947-70E740481C1C}"/>
                      </a:extLst>
                    </a:blip>
                    <a:srcRect/>
                    <a:stretch>
                      <a:fillRect/>
                    </a:stretch>
                  </pic:blipFill>
                  <pic:spPr bwMode="auto">
                    <a:xfrm>
                      <a:off x="0" y="0"/>
                      <a:ext cx="367728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-34925</wp:posOffset>
            </wp:positionV>
            <wp:extent cx="7804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26" w:lineRule="exact"/>
        <w:rPr>
          <w:rFonts w:ascii="Arial" w:cs="Arial" w:eastAsia="Arial" w:hAnsi="Arial"/>
          <w:sz w:val="18"/>
          <w:szCs w:val="18"/>
          <w:u w:val="single" w:color="auto"/>
          <w:color w:val="0000FF"/>
        </w:rPr>
      </w:pPr>
    </w:p>
    <w:p>
      <w:pPr>
        <w:ind w:left="1080" w:right="120" w:hanging="962"/>
        <w:spacing w:after="0" w:line="257" w:lineRule="auto"/>
        <w:tabs>
          <w:tab w:leader="none" w:pos="1060" w:val="left"/>
        </w:tabs>
        <w:rPr>
          <w:rFonts w:ascii="Arial" w:cs="Arial" w:eastAsia="Arial" w:hAnsi="Arial"/>
          <w:sz w:val="18"/>
          <w:szCs w:val="18"/>
          <w:u w:val="single" w:color="auto"/>
          <w:color w:val="0000FF"/>
        </w:rPr>
      </w:pPr>
      <w:hyperlink r:id="rId359">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359">
        <w:r>
          <w:rPr>
            <w:rFonts w:ascii="Arial" w:cs="Arial" w:eastAsia="Arial" w:hAnsi="Arial"/>
            <w:sz w:val="18"/>
            <w:szCs w:val="18"/>
            <w:u w:val="single" w:color="auto"/>
            <w:color w:val="0000FF"/>
          </w:rPr>
          <w:t>First Amendment to Amended and Restated Credit Agreement, dated as of</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September 12, 2019, by and among Addus HealthCare, Inc., as the Borrower,</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Addus HomeCare Corporation, other Credit Parties party thereto, Capital One,</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National Association, as administrative agent and as a Lender, and the other</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Lenders party thereto.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70485</wp:posOffset>
            </wp:positionH>
            <wp:positionV relativeFrom="paragraph">
              <wp:posOffset>-582295</wp:posOffset>
            </wp:positionV>
            <wp:extent cx="40513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0">
                      <a:extLst>
                        <a:ext uri="{28A0092B-C50C-407E-A947-70E740481C1C}"/>
                      </a:extLst>
                    </a:blip>
                    <a:srcRect/>
                    <a:stretch>
                      <a:fillRect/>
                    </a:stretch>
                  </pic:blipFill>
                  <pic:spPr bwMode="auto">
                    <a:xfrm>
                      <a:off x="0" y="0"/>
                      <a:ext cx="405130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-445135</wp:posOffset>
            </wp:positionV>
            <wp:extent cx="35680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1">
                      <a:extLst>
                        <a:ext uri="{28A0092B-C50C-407E-A947-70E740481C1C}"/>
                      </a:extLst>
                    </a:blip>
                    <a:srcRect/>
                    <a:stretch>
                      <a:fillRect/>
                    </a:stretch>
                  </pic:blipFill>
                  <pic:spPr bwMode="auto">
                    <a:xfrm>
                      <a:off x="0" y="0"/>
                      <a:ext cx="356806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-307975</wp:posOffset>
            </wp:positionV>
            <wp:extent cx="36201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2">
                      <a:extLst>
                        <a:ext uri="{28A0092B-C50C-407E-A947-70E740481C1C}"/>
                      </a:extLst>
                    </a:blip>
                    <a:srcRect/>
                    <a:stretch>
                      <a:fillRect/>
                    </a:stretch>
                  </pic:blipFill>
                  <pic:spPr bwMode="auto">
                    <a:xfrm>
                      <a:off x="0" y="0"/>
                      <a:ext cx="362013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-170815</wp:posOffset>
            </wp:positionV>
            <wp:extent cx="34982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3">
                      <a:extLst>
                        <a:ext uri="{28A0092B-C50C-407E-A947-70E740481C1C}"/>
                      </a:extLst>
                    </a:blip>
                    <a:srcRect/>
                    <a:stretch>
                      <a:fillRect/>
                    </a:stretch>
                  </pic:blipFill>
                  <pic:spPr bwMode="auto">
                    <a:xfrm>
                      <a:off x="0" y="0"/>
                      <a:ext cx="349821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-33655</wp:posOffset>
            </wp:positionV>
            <wp:extent cx="10058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4">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8/11/2018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10.2</w:t>
            </w:r>
          </w:p>
        </w:tc>
      </w:tr>
      <w:tr>
        <w:trPr>
          <w:trHeight w:val="932"/>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8/11/2018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10.3</w:t>
            </w:r>
          </w:p>
        </w:tc>
      </w:tr>
      <w:tr>
        <w:trPr>
          <w:trHeight w:val="823"/>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8/11/2018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10.4</w:t>
            </w:r>
          </w:p>
        </w:tc>
      </w:tr>
      <w:tr>
        <w:trPr>
          <w:trHeight w:val="823"/>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8/11/2018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10.5</w:t>
            </w:r>
          </w:p>
        </w:tc>
      </w:tr>
      <w:tr>
        <w:trPr>
          <w:trHeight w:val="823"/>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8/11/2018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10.6</w:t>
            </w:r>
          </w:p>
        </w:tc>
      </w:tr>
      <w:tr>
        <w:trPr>
          <w:trHeight w:val="823"/>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8/11/2018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10.7</w:t>
            </w:r>
          </w:p>
        </w:tc>
      </w:tr>
      <w:tr>
        <w:trPr>
          <w:trHeight w:val="824"/>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8/11/2018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10.8</w:t>
            </w:r>
          </w:p>
        </w:tc>
      </w:tr>
      <w:tr>
        <w:trPr>
          <w:trHeight w:val="931"/>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11/8/2018</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10.2</w:t>
            </w:r>
          </w:p>
        </w:tc>
      </w:tr>
      <w:tr>
        <w:trPr>
          <w:trHeight w:val="824"/>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4/8/2019</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99.2</w:t>
            </w:r>
          </w:p>
        </w:tc>
      </w:tr>
      <w:tr>
        <w:trPr>
          <w:trHeight w:val="608"/>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8/10/2020</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10.40</w:t>
            </w:r>
          </w:p>
        </w:tc>
      </w:tr>
      <w:tr>
        <w:trPr>
          <w:trHeight w:val="608"/>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4"/>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8/10/2020</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10.41</w:t>
            </w:r>
          </w:p>
        </w:tc>
      </w:tr>
      <w:tr>
        <w:trPr>
          <w:trHeight w:val="607"/>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7/24/2019</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10.1</w:t>
            </w:r>
          </w:p>
        </w:tc>
      </w:tr>
      <w:tr>
        <w:trPr>
          <w:trHeight w:val="824"/>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92"/>
              </w:rPr>
              <w:t>S-3ASR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333-233600</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9/3/2019</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7"/>
              </w:rPr>
              <w:t>2.1</w:t>
            </w:r>
          </w:p>
        </w:tc>
      </w:tr>
      <w:tr>
        <w:trPr>
          <w:trHeight w:val="1147"/>
        </w:trPr>
        <w:tc>
          <w:tcPr>
            <w:tcW w:w="760" w:type="dxa"/>
            <w:vAlign w:val="bottom"/>
          </w:tcPr>
          <w:p>
            <w:pPr>
              <w:jc w:val="center"/>
              <w:ind w:right="70"/>
              <w:spacing w:after="0"/>
              <w:rPr>
                <w:sz w:val="20"/>
                <w:szCs w:val="20"/>
                <w:color w:val="auto"/>
              </w:rPr>
            </w:pPr>
            <w:r>
              <w:rPr>
                <w:rFonts w:ascii="Arial" w:cs="Arial" w:eastAsia="Arial" w:hAnsi="Arial"/>
                <w:sz w:val="18"/>
                <w:szCs w:val="18"/>
                <w:color w:val="auto"/>
                <w:w w:val="89"/>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9/13/2019</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10.1</w:t>
            </w:r>
          </w:p>
        </w:tc>
      </w:tr>
    </w:tbl>
    <w:p>
      <w:pPr>
        <w:spacing w:after="0" w:line="645" w:lineRule="exact"/>
        <w:rPr>
          <w:rFonts w:ascii="Arial" w:cs="Arial" w:eastAsia="Arial" w:hAnsi="Arial"/>
          <w:sz w:val="18"/>
          <w:szCs w:val="18"/>
          <w:u w:val="single" w:color="auto"/>
          <w:color w:val="0000FF"/>
        </w:rPr>
      </w:pPr>
    </w:p>
    <w:p>
      <w:pPr>
        <w:sectPr>
          <w:pgSz w:w="11900" w:h="16838" w:orient="portrait"/>
          <w:cols w:equalWidth="0" w:num="2">
            <w:col w:w="6860" w:space="260"/>
            <w:col w:w="3880"/>
          </w:cols>
          <w:pgMar w:left="320" w:top="121" w:right="579" w:bottom="1440" w:gutter="0" w:footer="0" w:header="0"/>
        </w:sectPr>
      </w:pPr>
    </w:p>
    <w:p>
      <w:pPr>
        <w:spacing w:after="0" w:line="150" w:lineRule="exact"/>
        <w:rPr>
          <w:rFonts w:ascii="Arial" w:cs="Arial" w:eastAsia="Arial" w:hAnsi="Arial"/>
          <w:sz w:val="18"/>
          <w:szCs w:val="18"/>
          <w:u w:val="single" w:color="auto"/>
          <w:color w:val="0000FF"/>
        </w:rPr>
      </w:pPr>
    </w:p>
    <w:p>
      <w:pPr>
        <w:jc w:val="center"/>
        <w:ind w:right="-259"/>
        <w:spacing w:after="0"/>
        <w:rPr>
          <w:sz w:val="20"/>
          <w:szCs w:val="20"/>
          <w:color w:val="auto"/>
        </w:rPr>
      </w:pPr>
      <w:r>
        <w:rPr>
          <w:rFonts w:ascii="Arial" w:cs="Arial" w:eastAsia="Arial" w:hAnsi="Arial"/>
          <w:sz w:val="16"/>
          <w:szCs w:val="16"/>
          <w:color w:val="auto"/>
        </w:rPr>
        <w:t>57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gridSpan w:val="3"/>
          </w:tcPr>
          <w:p>
            <w:pPr>
              <w:jc w:val="center"/>
              <w:spacing w:after="0"/>
              <w:rPr>
                <w:rFonts w:ascii="Arial" w:cs="Arial" w:eastAsia="Arial" w:hAnsi="Arial"/>
                <w:sz w:val="18"/>
                <w:szCs w:val="18"/>
                <w:color w:val="0000FF"/>
                <w:w w:val="88"/>
              </w:rPr>
            </w:pPr>
            <w:hyperlink r:id="rId3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45</w:t>
              </w:r>
            </w:hyperlink>
          </w:p>
        </w:tc>
        <w:tc>
          <w:tcPr>
            <w:tcW w:w="540" w:type="dxa"/>
            <w:vAlign w:val="bottom"/>
          </w:tcPr>
          <w:p>
            <w:pPr>
              <w:spacing w:after="0"/>
              <w:rPr>
                <w:sz w:val="17"/>
                <w:szCs w:val="17"/>
                <w:color w:val="auto"/>
              </w:rPr>
            </w:pPr>
          </w:p>
        </w:tc>
        <w:tc>
          <w:tcPr>
            <w:tcW w:w="5760" w:type="dxa"/>
            <w:vAlign w:val="bottom"/>
            <w:gridSpan w:val="20"/>
          </w:tcPr>
          <w:p>
            <w:pPr>
              <w:spacing w:after="0"/>
              <w:rPr>
                <w:rFonts w:ascii="Arial" w:cs="Arial" w:eastAsia="Arial" w:hAnsi="Arial"/>
                <w:sz w:val="18"/>
                <w:szCs w:val="18"/>
                <w:color w:val="0000FF"/>
                <w:w w:val="94"/>
              </w:rPr>
            </w:pPr>
            <w:hyperlink r:id="rId367">
              <w:r>
                <w:rPr>
                  <w:rFonts w:ascii="Arial" w:cs="Arial" w:eastAsia="Arial" w:hAnsi="Arial"/>
                  <w:sz w:val="18"/>
                  <w:szCs w:val="18"/>
                  <w:color w:val="0000FF"/>
                  <w:w w:val="94"/>
                </w:rPr>
                <w:t>Unit Purchase Agreement, dated November 10, 2020, by and among Addus</w:t>
              </w:r>
            </w:hyperlink>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w w:val="96"/>
              </w:rPr>
            </w:pPr>
            <w:hyperlink r:id="rId367">
              <w:r>
                <w:rPr>
                  <w:rFonts w:ascii="Arial" w:cs="Arial" w:eastAsia="Arial" w:hAnsi="Arial"/>
                  <w:sz w:val="18"/>
                  <w:szCs w:val="18"/>
                  <w:color w:val="0000FF"/>
                  <w:w w:val="96"/>
                </w:rPr>
                <w:t>Healthcare, Inc., Queen City Hospice, LLC, Miracle City Hospice, LLC, and</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rPr>
            </w:pPr>
            <w:hyperlink r:id="rId367">
              <w:r>
                <w:rPr>
                  <w:rFonts w:ascii="Arial" w:cs="Arial" w:eastAsia="Arial" w:hAnsi="Arial"/>
                  <w:sz w:val="18"/>
                  <w:szCs w:val="18"/>
                  <w:color w:val="0000FF"/>
                </w:rPr>
                <w:t>QCH Holdings LLC.</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540" w:type="dxa"/>
            <w:vAlign w:val="bottom"/>
            <w:gridSpan w:val="3"/>
          </w:tcPr>
          <w:p>
            <w:pPr>
              <w:jc w:val="center"/>
              <w:spacing w:after="0"/>
              <w:rPr>
                <w:rFonts w:ascii="Arial" w:cs="Arial" w:eastAsia="Arial" w:hAnsi="Arial"/>
                <w:sz w:val="18"/>
                <w:szCs w:val="18"/>
                <w:color w:val="0000FF"/>
                <w:w w:val="88"/>
              </w:rPr>
            </w:pPr>
            <w:hyperlink r:id="rId3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46</w:t>
              </w:r>
            </w:hyperlink>
          </w:p>
        </w:tc>
        <w:tc>
          <w:tcPr>
            <w:tcW w:w="5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FF"/>
                <w:w w:val="95"/>
              </w:rPr>
            </w:pPr>
            <w:hyperlink r:id="rId368">
              <w:r>
                <w:rPr>
                  <w:rFonts w:ascii="Arial" w:cs="Arial" w:eastAsia="Arial" w:hAnsi="Arial"/>
                  <w:sz w:val="18"/>
                  <w:szCs w:val="18"/>
                  <w:color w:val="0000FF"/>
                  <w:w w:val="95"/>
                </w:rPr>
                <w:t>Amendment to Unit Purchase Agreement, dated December 3, 2020, by and</w:t>
              </w:r>
            </w:hyperlink>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rPr>
            </w:pPr>
            <w:hyperlink r:id="rId368">
              <w:r>
                <w:rPr>
                  <w:rFonts w:ascii="Arial" w:cs="Arial" w:eastAsia="Arial" w:hAnsi="Arial"/>
                  <w:sz w:val="18"/>
                  <w:szCs w:val="18"/>
                  <w:color w:val="0000FF"/>
                </w:rPr>
                <w:t>among Addus Healthcare, Inc., Queen City Hospice, LLC, Miracle City</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rPr>
            </w:pPr>
            <w:hyperlink r:id="rId368">
              <w:r>
                <w:rPr>
                  <w:rFonts w:ascii="Arial" w:cs="Arial" w:eastAsia="Arial" w:hAnsi="Arial"/>
                  <w:sz w:val="18"/>
                  <w:szCs w:val="18"/>
                  <w:color w:val="0000FF"/>
                </w:rPr>
                <w:t>Hospice, LLC, and QCH Holdings LLC.</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380" w:type="dxa"/>
            <w:vAlign w:val="bottom"/>
            <w:gridSpan w:val="2"/>
          </w:tcPr>
          <w:p>
            <w:pPr>
              <w:jc w:val="center"/>
              <w:spacing w:after="0"/>
              <w:rPr>
                <w:rFonts w:ascii="Arial" w:cs="Arial" w:eastAsia="Arial" w:hAnsi="Arial"/>
                <w:sz w:val="18"/>
                <w:szCs w:val="18"/>
                <w:color w:val="0000FF"/>
                <w:w w:val="72"/>
              </w:rPr>
            </w:pPr>
            <w:hyperlink r:id="rId369">
              <w:r>
                <w:rPr>
                  <w:rFonts w:ascii="Arial" w:cs="Arial" w:eastAsia="Arial" w:hAnsi="Arial"/>
                  <w:sz w:val="18"/>
                  <w:szCs w:val="18"/>
                  <w:color w:val="0000FF"/>
                  <w:w w:val="72"/>
                </w:rPr>
                <w:t>10.</w:t>
              </w:r>
              <w:r>
                <w:rPr>
                  <w:rFonts w:ascii="Arial" w:cs="Arial" w:eastAsia="Arial" w:hAnsi="Arial"/>
                  <w:sz w:val="18"/>
                  <w:szCs w:val="18"/>
                  <w:u w:val="single" w:color="auto"/>
                  <w:color w:val="0000FF"/>
                  <w:w w:val="72"/>
                </w:rPr>
                <w:t>47*</w:t>
              </w:r>
            </w:hyperlink>
          </w:p>
        </w:tc>
        <w:tc>
          <w:tcPr>
            <w:tcW w:w="5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FF"/>
                <w:w w:val="95"/>
              </w:rPr>
            </w:pPr>
            <w:hyperlink r:id="rId369">
              <w:r>
                <w:rPr>
                  <w:rFonts w:ascii="Arial" w:cs="Arial" w:eastAsia="Arial" w:hAnsi="Arial"/>
                  <w:sz w:val="18"/>
                  <w:szCs w:val="18"/>
                  <w:color w:val="0000FF"/>
                  <w:w w:val="95"/>
                </w:rPr>
                <w:t>Transition Agreement and Release, effective June 11, 2021, by and among</w:t>
              </w:r>
            </w:hyperlink>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rPr>
            </w:pPr>
            <w:hyperlink r:id="rId369">
              <w:r>
                <w:rPr>
                  <w:rFonts w:ascii="Arial" w:cs="Arial" w:eastAsia="Arial" w:hAnsi="Arial"/>
                  <w:sz w:val="18"/>
                  <w:szCs w:val="18"/>
                  <w:color w:val="0000FF"/>
                </w:rPr>
                <w:t>Addus HealthCare, Inc. and Laurie Manning.</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380" w:type="dxa"/>
            <w:vAlign w:val="bottom"/>
            <w:gridSpan w:val="2"/>
          </w:tcPr>
          <w:p>
            <w:pPr>
              <w:jc w:val="center"/>
              <w:spacing w:after="0"/>
              <w:rPr>
                <w:rFonts w:ascii="Arial" w:cs="Arial" w:eastAsia="Arial" w:hAnsi="Arial"/>
                <w:sz w:val="18"/>
                <w:szCs w:val="18"/>
                <w:color w:val="0000FF"/>
                <w:w w:val="72"/>
              </w:rPr>
            </w:pPr>
            <w:hyperlink r:id="rId370">
              <w:r>
                <w:rPr>
                  <w:rFonts w:ascii="Arial" w:cs="Arial" w:eastAsia="Arial" w:hAnsi="Arial"/>
                  <w:sz w:val="18"/>
                  <w:szCs w:val="18"/>
                  <w:color w:val="0000FF"/>
                  <w:w w:val="72"/>
                </w:rPr>
                <w:t>10.</w:t>
              </w:r>
              <w:r>
                <w:rPr>
                  <w:rFonts w:ascii="Arial" w:cs="Arial" w:eastAsia="Arial" w:hAnsi="Arial"/>
                  <w:sz w:val="18"/>
                  <w:szCs w:val="18"/>
                  <w:u w:val="single" w:color="auto"/>
                  <w:color w:val="0000FF"/>
                  <w:w w:val="72"/>
                </w:rPr>
                <w:t>48*</w:t>
              </w:r>
            </w:hyperlink>
          </w:p>
        </w:tc>
        <w:tc>
          <w:tcPr>
            <w:tcW w:w="5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FF"/>
                <w:w w:val="91"/>
              </w:rPr>
            </w:pPr>
            <w:hyperlink r:id="rId370">
              <w:r>
                <w:rPr>
                  <w:rFonts w:ascii="Arial" w:cs="Arial" w:eastAsia="Arial" w:hAnsi="Arial"/>
                  <w:sz w:val="18"/>
                  <w:szCs w:val="18"/>
                  <w:color w:val="0000FF"/>
                  <w:w w:val="91"/>
                </w:rPr>
                <w:t>Employment and Non-Competition Agreement, effective June 14, 2021, by and</w:t>
              </w:r>
            </w:hyperlink>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rPr>
            </w:pPr>
            <w:hyperlink r:id="rId370">
              <w:r>
                <w:rPr>
                  <w:rFonts w:ascii="Arial" w:cs="Arial" w:eastAsia="Arial" w:hAnsi="Arial"/>
                  <w:sz w:val="18"/>
                  <w:szCs w:val="18"/>
                  <w:color w:val="0000FF"/>
                </w:rPr>
                <w:t>between Addus HealthCare, Inc. and Roberton James Stevenson.</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540" w:type="dxa"/>
            <w:vAlign w:val="bottom"/>
            <w:gridSpan w:val="3"/>
          </w:tcPr>
          <w:p>
            <w:pPr>
              <w:jc w:val="center"/>
              <w:spacing w:after="0"/>
              <w:rPr>
                <w:rFonts w:ascii="Arial" w:cs="Arial" w:eastAsia="Arial" w:hAnsi="Arial"/>
                <w:sz w:val="18"/>
                <w:szCs w:val="18"/>
                <w:color w:val="0000FF"/>
                <w:w w:val="98"/>
              </w:rPr>
            </w:pPr>
            <w:hyperlink r:id="rId371">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49**</w:t>
              </w:r>
            </w:hyperlink>
          </w:p>
        </w:tc>
        <w:tc>
          <w:tcPr>
            <w:tcW w:w="5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FF"/>
                <w:w w:val="92"/>
              </w:rPr>
            </w:pPr>
            <w:hyperlink r:id="rId371">
              <w:r>
                <w:rPr>
                  <w:rFonts w:ascii="Arial" w:cs="Arial" w:eastAsia="Arial" w:hAnsi="Arial"/>
                  <w:sz w:val="18"/>
                  <w:szCs w:val="18"/>
                  <w:color w:val="0000FF"/>
                  <w:w w:val="92"/>
                </w:rPr>
                <w:t>Second Amendment to Amended and Restated Credit Agreement, dated as of</w:t>
              </w:r>
            </w:hyperlink>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w w:val="92"/>
              </w:rPr>
            </w:pPr>
            <w:hyperlink r:id="rId371">
              <w:r>
                <w:rPr>
                  <w:rFonts w:ascii="Arial" w:cs="Arial" w:eastAsia="Arial" w:hAnsi="Arial"/>
                  <w:sz w:val="18"/>
                  <w:szCs w:val="18"/>
                  <w:color w:val="0000FF"/>
                  <w:w w:val="92"/>
                </w:rPr>
                <w:t>July 30, 2021, by and among Addus HealthCare, Inc., as the Borrower, Addus</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w w:val="96"/>
              </w:rPr>
            </w:pPr>
            <w:hyperlink r:id="rId371">
              <w:r>
                <w:rPr>
                  <w:rFonts w:ascii="Arial" w:cs="Arial" w:eastAsia="Arial" w:hAnsi="Arial"/>
                  <w:sz w:val="18"/>
                  <w:szCs w:val="18"/>
                  <w:color w:val="0000FF"/>
                  <w:w w:val="96"/>
                </w:rPr>
                <w:t>HomeCare Corporation, the other Credit Parties party thereto, Capital One,</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w w:val="94"/>
              </w:rPr>
            </w:pPr>
            <w:hyperlink r:id="rId371">
              <w:r>
                <w:rPr>
                  <w:rFonts w:ascii="Arial" w:cs="Arial" w:eastAsia="Arial" w:hAnsi="Arial"/>
                  <w:sz w:val="18"/>
                  <w:szCs w:val="18"/>
                  <w:color w:val="0000FF"/>
                  <w:w w:val="94"/>
                </w:rPr>
                <w:t>National Association, as administrative agent and as a Lender, and the other</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FF"/>
              </w:rPr>
            </w:pPr>
            <w:hyperlink r:id="rId371">
              <w:r>
                <w:rPr>
                  <w:rFonts w:ascii="Arial" w:cs="Arial" w:eastAsia="Arial" w:hAnsi="Arial"/>
                  <w:sz w:val="18"/>
                  <w:szCs w:val="18"/>
                  <w:color w:val="0000FF"/>
                </w:rPr>
                <w:t>Lenders party thereto.</w:t>
              </w:r>
            </w:hyperlink>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380" w:type="dxa"/>
            <w:vAlign w:val="bottom"/>
            <w:gridSpan w:val="2"/>
          </w:tcPr>
          <w:p>
            <w:pPr>
              <w:jc w:val="center"/>
              <w:spacing w:after="0"/>
              <w:rPr>
                <w:rFonts w:ascii="Arial" w:cs="Arial" w:eastAsia="Arial" w:hAnsi="Arial"/>
                <w:sz w:val="18"/>
                <w:szCs w:val="18"/>
                <w:color w:val="0000FF"/>
                <w:w w:val="72"/>
              </w:rPr>
            </w:pPr>
            <w:hyperlink r:id="rId372">
              <w:r>
                <w:rPr>
                  <w:rFonts w:ascii="Arial" w:cs="Arial" w:eastAsia="Arial" w:hAnsi="Arial"/>
                  <w:sz w:val="18"/>
                  <w:szCs w:val="18"/>
                  <w:color w:val="0000FF"/>
                  <w:w w:val="72"/>
                </w:rPr>
                <w:t>10.</w:t>
              </w:r>
              <w:r>
                <w:rPr>
                  <w:rFonts w:ascii="Arial" w:cs="Arial" w:eastAsia="Arial" w:hAnsi="Arial"/>
                  <w:sz w:val="18"/>
                  <w:szCs w:val="18"/>
                  <w:u w:val="single" w:color="auto"/>
                  <w:color w:val="0000FF"/>
                  <w:w w:val="72"/>
                </w:rPr>
                <w:t>50*</w:t>
              </w:r>
            </w:hyperlink>
          </w:p>
        </w:tc>
        <w:tc>
          <w:tcPr>
            <w:tcW w:w="5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FF"/>
              </w:rPr>
            </w:pPr>
            <w:hyperlink r:id="rId372">
              <w:r>
                <w:rPr>
                  <w:rFonts w:ascii="Arial" w:cs="Arial" w:eastAsia="Arial" w:hAnsi="Arial"/>
                  <w:sz w:val="18"/>
                  <w:szCs w:val="18"/>
                  <w:color w:val="0000FF"/>
                </w:rPr>
                <w:t>2022 Form of Indemnification Agreement.</w:t>
              </w:r>
            </w:hyperlink>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16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0000FF"/>
              </w:rPr>
              <w:t>Subsidiaries of Addus HomeCare Corporation.</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460" w:type="dxa"/>
            <w:vAlign w:val="bottom"/>
            <w:gridSpan w:val="2"/>
          </w:tcPr>
          <w:p>
            <w:pPr>
              <w:jc w:val="center"/>
              <w:ind w:left="50"/>
              <w:spacing w:after="0"/>
              <w:rPr>
                <w:sz w:val="20"/>
                <w:szCs w:val="20"/>
                <w:color w:val="auto"/>
              </w:rPr>
            </w:pPr>
            <w:r>
              <w:rPr>
                <w:rFonts w:ascii="Arial" w:cs="Arial" w:eastAsia="Arial" w:hAnsi="Arial"/>
                <w:sz w:val="18"/>
                <w:szCs w:val="18"/>
                <w:color w:val="0000FF"/>
                <w:w w:val="91"/>
              </w:rPr>
              <w:t>23.</w:t>
            </w:r>
            <w:r>
              <w:rPr>
                <w:rFonts w:ascii="Arial" w:cs="Arial" w:eastAsia="Arial" w:hAnsi="Arial"/>
                <w:sz w:val="18"/>
                <w:szCs w:val="18"/>
                <w:u w:val="single" w:color="auto"/>
                <w:color w:val="0000FF"/>
                <w:w w:val="91"/>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0000FF"/>
                <w:w w:val="97"/>
              </w:rPr>
              <w:t>Consent of PricewaterhouseCoopers LLP, Independent Registered Public</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sz w:val="20"/>
                <w:szCs w:val="20"/>
                <w:color w:val="auto"/>
              </w:rPr>
            </w:pPr>
            <w:r>
              <w:rPr>
                <w:rFonts w:ascii="Arial" w:cs="Arial" w:eastAsia="Arial" w:hAnsi="Arial"/>
                <w:sz w:val="18"/>
                <w:szCs w:val="18"/>
                <w:color w:val="0000FF"/>
              </w:rPr>
              <w:t>Accounting Firm.</w:t>
            </w:r>
          </w:p>
        </w:tc>
      </w:tr>
      <w:tr>
        <w:trPr>
          <w:trHeight w:val="20"/>
        </w:trPr>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60" w:type="dxa"/>
            <w:vAlign w:val="bottom"/>
            <w:gridSpan w:val="2"/>
          </w:tcPr>
          <w:p>
            <w:pPr>
              <w:jc w:val="center"/>
              <w:ind w:left="50"/>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0000FF"/>
              </w:rPr>
              <w:t>Certification of Chief Executive Officer Pursuant to Rule 13-14(a) of the</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sz w:val="20"/>
                <w:szCs w:val="20"/>
                <w:color w:val="auto"/>
              </w:rPr>
            </w:pPr>
            <w:r>
              <w:rPr>
                <w:rFonts w:ascii="Arial" w:cs="Arial" w:eastAsia="Arial" w:hAnsi="Arial"/>
                <w:sz w:val="18"/>
                <w:szCs w:val="18"/>
                <w:color w:val="0000FF"/>
                <w:w w:val="95"/>
              </w:rPr>
              <w:t>Securities Exchange Act of 1934 as Adopted Pursuant to Section 302 of the</w:t>
            </w:r>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20"/>
        </w:trPr>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60" w:type="dxa"/>
            <w:vAlign w:val="bottom"/>
            <w:gridSpan w:val="2"/>
          </w:tcPr>
          <w:p>
            <w:pPr>
              <w:jc w:val="center"/>
              <w:ind w:left="50"/>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0000FF"/>
              </w:rPr>
              <w:t>Certification of Chief Financial Officer Pursuant to Rule 13-14(a) of the</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60" w:type="dxa"/>
            <w:vAlign w:val="bottom"/>
            <w:gridSpan w:val="10"/>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sz w:val="20"/>
                <w:szCs w:val="20"/>
                <w:color w:val="auto"/>
              </w:rPr>
            </w:pPr>
            <w:r>
              <w:rPr>
                <w:rFonts w:ascii="Arial" w:cs="Arial" w:eastAsia="Arial" w:hAnsi="Arial"/>
                <w:sz w:val="18"/>
                <w:szCs w:val="18"/>
                <w:color w:val="0000FF"/>
                <w:w w:val="95"/>
              </w:rPr>
              <w:t>Securities Exchange Act of 1934 as Adopted Pursuant to Section 302 of the</w:t>
            </w:r>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60" w:type="dxa"/>
            <w:vAlign w:val="bottom"/>
            <w:gridSpan w:val="10"/>
            <w:shd w:val="clear" w:color="auto" w:fill="0000FF"/>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sz w:val="20"/>
                <w:szCs w:val="20"/>
                <w:color w:val="auto"/>
              </w:rPr>
            </w:pPr>
            <w:r>
              <w:rPr>
                <w:rFonts w:ascii="Arial" w:cs="Arial" w:eastAsia="Arial" w:hAnsi="Arial"/>
                <w:sz w:val="18"/>
                <w:szCs w:val="18"/>
                <w:color w:val="0000FF"/>
              </w:rPr>
              <w:t>Sarbanes-Oxley Act of 2002.</w:t>
            </w:r>
          </w:p>
        </w:tc>
      </w:tr>
      <w:tr>
        <w:trPr>
          <w:trHeight w:val="20"/>
        </w:trPr>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460" w:type="dxa"/>
            <w:vAlign w:val="bottom"/>
            <w:gridSpan w:val="2"/>
          </w:tcPr>
          <w:p>
            <w:pPr>
              <w:jc w:val="center"/>
              <w:ind w:left="50"/>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0000FF"/>
                <w:w w:val="92"/>
              </w:rPr>
              <w:t>Certification of Chief Executive Officer Pursuant to 18 U.S.C. Section 1350, as</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60" w:type="dxa"/>
            <w:vAlign w:val="bottom"/>
            <w:gridSpan w:val="10"/>
            <w:shd w:val="clear" w:color="auto" w:fill="0000FF"/>
          </w:tcPr>
          <w:p>
            <w:pPr>
              <w:spacing w:after="0" w:line="20" w:lineRule="exact"/>
              <w:rPr>
                <w:sz w:val="1"/>
                <w:szCs w:val="1"/>
                <w:color w:val="auto"/>
              </w:rPr>
            </w:pPr>
          </w:p>
        </w:tc>
        <w:tc>
          <w:tcPr>
            <w:tcW w:w="72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p>
        </w:tc>
      </w:tr>
      <w:tr>
        <w:trPr>
          <w:trHeight w:val="20"/>
        </w:trPr>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4960" w:type="dxa"/>
            <w:vAlign w:val="bottom"/>
            <w:gridSpan w:val="10"/>
            <w:shd w:val="clear" w:color="auto" w:fill="0000FF"/>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60" w:type="dxa"/>
            <w:vAlign w:val="bottom"/>
            <w:gridSpan w:val="2"/>
          </w:tcPr>
          <w:p>
            <w:pPr>
              <w:jc w:val="center"/>
              <w:ind w:left="50"/>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0000FF"/>
                <w:w w:val="93"/>
              </w:rPr>
              <w:t>Certification of Chief Financial Officer Pursuant to 18 U.S.C. Section 1350, as</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80" w:type="dxa"/>
            <w:vAlign w:val="bottom"/>
            <w:gridSpan w:val="1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60" w:type="dxa"/>
            <w:vAlign w:val="bottom"/>
            <w:gridSpan w:val="20"/>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p>
        </w:tc>
      </w:tr>
      <w:tr>
        <w:trPr>
          <w:trHeight w:val="20"/>
        </w:trPr>
        <w:tc>
          <w:tcPr>
            <w:tcW w:w="1080" w:type="dxa"/>
            <w:vAlign w:val="bottom"/>
            <w:tcBorders>
              <w:right w:val="single" w:sz="8" w:color="0000EE"/>
            </w:tcBorders>
            <w:gridSpan w:val="4"/>
          </w:tcPr>
          <w:p>
            <w:pPr>
              <w:spacing w:after="0" w:line="20" w:lineRule="exact"/>
              <w:rPr>
                <w:sz w:val="1"/>
                <w:szCs w:val="1"/>
                <w:color w:val="auto"/>
              </w:rPr>
            </w:pPr>
          </w:p>
        </w:tc>
        <w:tc>
          <w:tcPr>
            <w:tcW w:w="4960" w:type="dxa"/>
            <w:vAlign w:val="bottom"/>
            <w:gridSpan w:val="10"/>
            <w:shd w:val="clear" w:color="auto" w:fill="0000FF"/>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r>
      <w:tr>
        <w:trPr>
          <w:trHeight w:val="398"/>
        </w:trPr>
        <w:tc>
          <w:tcPr>
            <w:tcW w:w="10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5760" w:type="dxa"/>
            <w:vAlign w:val="bottom"/>
            <w:gridSpan w:val="20"/>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w:t>
            </w:r>
          </w:p>
        </w:tc>
      </w:tr>
      <w:tr>
        <w:trPr>
          <w:trHeight w:val="216"/>
        </w:trPr>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auto"/>
                <w:w w:val="96"/>
              </w:rPr>
              <w:t>Interactive Data File because its XBRL tags are embedded within the Inline</w:t>
            </w:r>
          </w:p>
        </w:tc>
      </w:tr>
      <w:tr>
        <w:trPr>
          <w:trHeight w:val="230"/>
        </w:trPr>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60" w:type="dxa"/>
            <w:vAlign w:val="bottom"/>
            <w:gridSpan w:val="20"/>
          </w:tcPr>
          <w:p>
            <w:pPr>
              <w:spacing w:after="0"/>
              <w:rPr>
                <w:sz w:val="20"/>
                <w:szCs w:val="20"/>
                <w:color w:val="auto"/>
              </w:rPr>
            </w:pPr>
            <w:r>
              <w:rPr>
                <w:rFonts w:ascii="Arial" w:cs="Arial" w:eastAsia="Arial" w:hAnsi="Arial"/>
                <w:sz w:val="18"/>
                <w:szCs w:val="18"/>
                <w:color w:val="auto"/>
              </w:rPr>
              <w:t>XBRL document).</w:t>
            </w:r>
          </w:p>
        </w:tc>
      </w:tr>
      <w:tr>
        <w:trPr>
          <w:trHeight w:val="392"/>
        </w:trPr>
        <w:tc>
          <w:tcPr>
            <w:tcW w:w="10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576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608"/>
        </w:trPr>
        <w:tc>
          <w:tcPr>
            <w:tcW w:w="10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5760" w:type="dxa"/>
            <w:vAlign w:val="bottom"/>
            <w:gridSpan w:val="20"/>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608"/>
        </w:trPr>
        <w:tc>
          <w:tcPr>
            <w:tcW w:w="10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5760" w:type="dxa"/>
            <w:vAlign w:val="bottom"/>
            <w:gridSpan w:val="20"/>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607"/>
        </w:trPr>
        <w:tc>
          <w:tcPr>
            <w:tcW w:w="10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5760" w:type="dxa"/>
            <w:vAlign w:val="bottom"/>
            <w:gridSpan w:val="20"/>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608"/>
        </w:trPr>
        <w:tc>
          <w:tcPr>
            <w:tcW w:w="10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576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3/1/2021</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10.45</w:t>
            </w:r>
          </w:p>
        </w:tc>
      </w:tr>
      <w:tr>
        <w:trPr>
          <w:trHeight w:val="823"/>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3/1/2021</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10.46</w:t>
            </w:r>
          </w:p>
        </w:tc>
      </w:tr>
      <w:tr>
        <w:trPr>
          <w:trHeight w:val="716"/>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8/4/2021</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10.1</w:t>
            </w:r>
          </w:p>
        </w:tc>
      </w:tr>
      <w:tr>
        <w:trPr>
          <w:trHeight w:val="608"/>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9"/>
              </w:rPr>
              <w:t>10-Q</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8/4/2021</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10.2</w:t>
            </w:r>
          </w:p>
        </w:tc>
      </w:tr>
      <w:tr>
        <w:trPr>
          <w:trHeight w:val="932"/>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8/4/2021</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85"/>
              </w:rPr>
              <w:t>10.1</w:t>
            </w:r>
          </w:p>
        </w:tc>
      </w:tr>
      <w:tr>
        <w:trPr>
          <w:trHeight w:val="931"/>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001-34504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2/25/2022</w:t>
            </w:r>
          </w:p>
        </w:tc>
        <w:tc>
          <w:tcPr>
            <w:tcW w:w="700" w:type="dxa"/>
            <w:vAlign w:val="bottom"/>
          </w:tcPr>
          <w:p>
            <w:pPr>
              <w:jc w:val="center"/>
              <w:ind w:left="190"/>
              <w:spacing w:after="0"/>
              <w:rPr>
                <w:sz w:val="20"/>
                <w:szCs w:val="20"/>
                <w:color w:val="auto"/>
              </w:rPr>
            </w:pPr>
            <w:r>
              <w:rPr>
                <w:rFonts w:ascii="Arial" w:cs="Arial" w:eastAsia="Arial" w:hAnsi="Arial"/>
                <w:sz w:val="18"/>
                <w:szCs w:val="18"/>
                <w:color w:val="auto"/>
                <w:w w:val="93"/>
              </w:rPr>
              <w:t>10.50</w:t>
            </w:r>
          </w:p>
        </w:tc>
      </w:tr>
    </w:tbl>
    <w:p>
      <w:pPr>
        <w:spacing w:after="0" w:line="8029" w:lineRule="exact"/>
        <w:rPr>
          <w:sz w:val="20"/>
          <w:szCs w:val="20"/>
          <w:color w:val="auto"/>
        </w:rPr>
      </w:pPr>
    </w:p>
    <w:p>
      <w:pPr>
        <w:sectPr>
          <w:pgSz w:w="11900" w:h="16838" w:orient="portrait"/>
          <w:cols w:equalWidth="0" w:num="2">
            <w:col w:w="6860" w:space="380"/>
            <w:col w:w="3980"/>
          </w:cols>
          <w:pgMar w:left="320" w:top="121" w:right="359" w:bottom="1440" w:gutter="0" w:footer="0" w:header="0"/>
        </w:sectPr>
      </w:pPr>
    </w:p>
    <w:p>
      <w:pPr>
        <w:spacing w:after="0" w:line="177" w:lineRule="exact"/>
        <w:rPr>
          <w:sz w:val="20"/>
          <w:szCs w:val="20"/>
          <w:color w:val="auto"/>
        </w:rPr>
      </w:pPr>
    </w:p>
    <w:p>
      <w:pPr>
        <w:ind w:left="1080" w:right="4420" w:hanging="1059"/>
        <w:spacing w:after="0" w:line="277"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or arrangement</w:t>
      </w:r>
    </w:p>
    <w:p>
      <w:pPr>
        <w:spacing w:after="0" w:line="117" w:lineRule="exact"/>
        <w:rPr>
          <w:rFonts w:ascii="Arial" w:cs="Arial" w:eastAsia="Arial" w:hAnsi="Arial"/>
          <w:sz w:val="18"/>
          <w:szCs w:val="18"/>
          <w:color w:val="auto"/>
        </w:rPr>
      </w:pPr>
    </w:p>
    <w:p>
      <w:pPr>
        <w:ind w:firstLine="8"/>
        <w:spacing w:after="0" w:line="277" w:lineRule="auto"/>
        <w:tabs>
          <w:tab w:leader="none" w:pos="2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 of Regulation S-K. The Company hereby undertakes to furnish supplementally a copy of any of the omitted schedules and exhibits upon request by the Securities and Exchange Commission.</w:t>
      </w:r>
    </w:p>
    <w:p>
      <w:pPr>
        <w:sectPr>
          <w:pgSz w:w="11900" w:h="16838" w:orient="portrait"/>
          <w:cols w:equalWidth="0" w:num="1">
            <w:col w:w="11220"/>
          </w:cols>
          <w:pgMar w:left="320" w:top="121" w:right="359" w:bottom="1440" w:gutter="0" w:footer="0" w:header="0"/>
          <w:type w:val="continuous"/>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4">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Addus HomeCare Corporation</w:t>
      </w:r>
    </w:p>
    <w:p>
      <w:pPr>
        <w:spacing w:after="0" w:line="266" w:lineRule="exact"/>
        <w:rPr>
          <w:sz w:val="20"/>
          <w:szCs w:val="20"/>
          <w:color w:val="auto"/>
        </w:rPr>
      </w:pPr>
    </w:p>
    <w:p>
      <w:pPr>
        <w:ind w:left="20"/>
        <w:spacing w:after="0"/>
        <w:tabs>
          <w:tab w:leader="none" w:pos="1680" w:val="left"/>
          <w:tab w:leader="none" w:pos="2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23495</wp:posOffset>
            </wp:positionV>
            <wp:extent cx="28886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R. Dirk Allison,</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Chairman of the Board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Pr>
          <w:p>
            <w:pPr>
              <w:jc w:val="center"/>
              <w:ind w:right="1190"/>
              <w:spacing w:after="0"/>
              <w:rPr>
                <w:sz w:val="20"/>
                <w:szCs w:val="20"/>
                <w:color w:val="auto"/>
              </w:rPr>
            </w:pPr>
            <w:r>
              <w:rPr>
                <w:rFonts w:ascii="Arial" w:cs="Arial" w:eastAsia="Arial" w:hAnsi="Arial"/>
                <w:sz w:val="18"/>
                <w:szCs w:val="18"/>
                <w:b w:val="1"/>
                <w:bCs w:val="1"/>
                <w:color w:val="auto"/>
                <w:w w:val="91"/>
              </w:rPr>
              <w:t>Signature</w:t>
            </w:r>
          </w:p>
        </w:tc>
        <w:tc>
          <w:tcPr>
            <w:tcW w:w="20" w:type="dxa"/>
            <w:vAlign w:val="bottom"/>
          </w:tcPr>
          <w:p>
            <w:pPr>
              <w:spacing w:after="0"/>
              <w:rPr>
                <w:sz w:val="20"/>
                <w:szCs w:val="20"/>
                <w:color w:val="auto"/>
              </w:rPr>
            </w:pPr>
          </w:p>
        </w:tc>
        <w:tc>
          <w:tcPr>
            <w:tcW w:w="4540" w:type="dxa"/>
            <w:vAlign w:val="bottom"/>
          </w:tcPr>
          <w:p>
            <w:pPr>
              <w:ind w:left="2080"/>
              <w:spacing w:after="0"/>
              <w:rPr>
                <w:sz w:val="20"/>
                <w:szCs w:val="20"/>
                <w:color w:val="auto"/>
              </w:rPr>
            </w:pPr>
            <w:r>
              <w:rPr>
                <w:rFonts w:ascii="Arial" w:cs="Arial" w:eastAsia="Arial" w:hAnsi="Arial"/>
                <w:sz w:val="18"/>
                <w:szCs w:val="18"/>
                <w:b w:val="1"/>
                <w:bCs w:val="1"/>
                <w:color w:val="auto"/>
              </w:rPr>
              <w:t>Title</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73"/>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gridSpan w:val="2"/>
          </w:tcPr>
          <w:p>
            <w:pPr>
              <w:jc w:val="center"/>
              <w:ind w:right="1050"/>
              <w:spacing w:after="0"/>
              <w:rPr>
                <w:sz w:val="20"/>
                <w:szCs w:val="20"/>
                <w:color w:val="auto"/>
              </w:rPr>
            </w:pPr>
            <w:r>
              <w:rPr>
                <w:rFonts w:ascii="Arial" w:cs="Arial" w:eastAsia="Arial" w:hAnsi="Arial"/>
                <w:sz w:val="18"/>
                <w:szCs w:val="18"/>
                <w:color w:val="auto"/>
                <w:w w:val="99"/>
              </w:rPr>
              <w:t>R. DIRK ALLISON</w:t>
            </w:r>
          </w:p>
        </w:tc>
        <w:tc>
          <w:tcPr>
            <w:tcW w:w="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Chief Executive Officer and Chairman of the Board</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jc w:val="center"/>
              <w:ind w:right="1190"/>
              <w:spacing w:after="0"/>
              <w:rPr>
                <w:sz w:val="20"/>
                <w:szCs w:val="20"/>
                <w:color w:val="auto"/>
              </w:rPr>
            </w:pPr>
            <w:r>
              <w:rPr>
                <w:rFonts w:ascii="Arial" w:cs="Arial" w:eastAsia="Arial" w:hAnsi="Arial"/>
                <w:sz w:val="18"/>
                <w:szCs w:val="18"/>
                <w:b w:val="1"/>
                <w:bCs w:val="1"/>
                <w:color w:val="auto"/>
                <w:w w:val="94"/>
              </w:rPr>
              <w:t>R. Dirk Allison</w:t>
            </w:r>
          </w:p>
        </w:tc>
        <w:tc>
          <w:tcPr>
            <w:tcW w:w="20" w:type="dxa"/>
            <w:vAlign w:val="bottom"/>
          </w:tcPr>
          <w:p>
            <w:pPr>
              <w:spacing w:after="0"/>
              <w:rPr>
                <w:sz w:val="19"/>
                <w:szCs w:val="19"/>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276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rPr>
              <w:t>/s/</w:t>
            </w:r>
          </w:p>
        </w:tc>
        <w:tc>
          <w:tcPr>
            <w:tcW w:w="2600" w:type="dxa"/>
            <w:vAlign w:val="bottom"/>
            <w:tcBorders>
              <w:bottom w:val="single" w:sz="8" w:color="auto"/>
            </w:tcBorders>
          </w:tcPr>
          <w:p>
            <w:pPr>
              <w:jc w:val="center"/>
              <w:ind w:right="1230"/>
              <w:spacing w:after="0"/>
              <w:rPr>
                <w:sz w:val="20"/>
                <w:szCs w:val="20"/>
                <w:color w:val="auto"/>
              </w:rPr>
            </w:pPr>
            <w:r>
              <w:rPr>
                <w:rFonts w:ascii="Arial" w:cs="Arial" w:eastAsia="Arial" w:hAnsi="Arial"/>
                <w:sz w:val="18"/>
                <w:szCs w:val="18"/>
                <w:color w:val="auto"/>
                <w:w w:val="96"/>
              </w:rPr>
              <w:t>BRIAN POFF</w:t>
            </w:r>
          </w:p>
        </w:tc>
        <w:tc>
          <w:tcPr>
            <w:tcW w:w="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and</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Brian Poff</w:t>
            </w:r>
          </w:p>
        </w:tc>
        <w:tc>
          <w:tcPr>
            <w:tcW w:w="20" w:type="dxa"/>
            <w:vAlign w:val="bottom"/>
          </w:tcPr>
          <w:p>
            <w:pPr>
              <w:spacing w:after="0"/>
              <w:rPr>
                <w:sz w:val="19"/>
                <w:szCs w:val="19"/>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Accounting Officer)</w:t>
            </w:r>
          </w:p>
        </w:tc>
        <w:tc>
          <w:tcPr>
            <w:tcW w:w="2760" w:type="dxa"/>
            <w:vAlign w:val="bottom"/>
          </w:tcPr>
          <w:p>
            <w:pPr>
              <w:spacing w:after="0"/>
              <w:rPr>
                <w:sz w:val="19"/>
                <w:szCs w:val="19"/>
                <w:color w:val="auto"/>
              </w:rPr>
            </w:pPr>
          </w:p>
        </w:tc>
      </w:tr>
      <w:tr>
        <w:trPr>
          <w:trHeight w:val="461"/>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gridSpan w:val="2"/>
          </w:tcPr>
          <w:p>
            <w:pPr>
              <w:jc w:val="center"/>
              <w:ind w:right="1050"/>
              <w:spacing w:after="0"/>
              <w:rPr>
                <w:sz w:val="20"/>
                <w:szCs w:val="20"/>
                <w:color w:val="auto"/>
              </w:rPr>
            </w:pPr>
            <w:r>
              <w:rPr>
                <w:rFonts w:ascii="Arial" w:cs="Arial" w:eastAsia="Arial" w:hAnsi="Arial"/>
                <w:sz w:val="18"/>
                <w:szCs w:val="18"/>
                <w:color w:val="auto"/>
              </w:rPr>
              <w:t>MICHAEL EARLEY</w:t>
            </w:r>
          </w:p>
        </w:tc>
        <w:tc>
          <w:tcPr>
            <w:tcW w:w="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Michael Earley</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center"/>
              <w:ind w:right="1230"/>
              <w:spacing w:after="0"/>
              <w:rPr>
                <w:sz w:val="20"/>
                <w:szCs w:val="20"/>
                <w:color w:val="auto"/>
              </w:rPr>
            </w:pPr>
            <w:r>
              <w:rPr>
                <w:rFonts w:ascii="Arial" w:cs="Arial" w:eastAsia="Arial" w:hAnsi="Arial"/>
                <w:sz w:val="18"/>
                <w:szCs w:val="18"/>
                <w:color w:val="auto"/>
                <w:w w:val="99"/>
              </w:rPr>
              <w:t>MARK L. FIRST</w:t>
            </w:r>
          </w:p>
        </w:tc>
        <w:tc>
          <w:tcPr>
            <w:tcW w:w="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jc w:val="center"/>
              <w:ind w:right="1190"/>
              <w:spacing w:after="0"/>
              <w:rPr>
                <w:sz w:val="20"/>
                <w:szCs w:val="20"/>
                <w:color w:val="auto"/>
              </w:rPr>
            </w:pPr>
            <w:r>
              <w:rPr>
                <w:rFonts w:ascii="Arial" w:cs="Arial" w:eastAsia="Arial" w:hAnsi="Arial"/>
                <w:sz w:val="18"/>
                <w:szCs w:val="18"/>
                <w:b w:val="1"/>
                <w:bCs w:val="1"/>
                <w:color w:val="auto"/>
              </w:rPr>
              <w:t>Mark L. First</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w:t>
            </w:r>
          </w:p>
        </w:tc>
        <w:tc>
          <w:tcPr>
            <w:tcW w:w="2760" w:type="dxa"/>
            <w:vAlign w:val="bottom"/>
            <w:tcBorders>
              <w:bottom w:val="single" w:sz="8" w:color="auto"/>
            </w:tcBorders>
            <w:gridSpan w:val="2"/>
          </w:tcPr>
          <w:p>
            <w:pPr>
              <w:jc w:val="center"/>
              <w:ind w:right="1050"/>
              <w:spacing w:after="0"/>
              <w:rPr>
                <w:sz w:val="20"/>
                <w:szCs w:val="20"/>
                <w:color w:val="auto"/>
              </w:rPr>
            </w:pPr>
            <w:r>
              <w:rPr>
                <w:rFonts w:ascii="Arial" w:cs="Arial" w:eastAsia="Arial" w:hAnsi="Arial"/>
                <w:sz w:val="18"/>
                <w:szCs w:val="18"/>
                <w:color w:val="auto"/>
                <w:w w:val="95"/>
              </w:rPr>
              <w:t>DARIN J. GORDON</w:t>
            </w:r>
          </w:p>
        </w:tc>
        <w:tc>
          <w:tcPr>
            <w:tcW w:w="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Pr>
          <w:p>
            <w:pPr>
              <w:jc w:val="center"/>
              <w:ind w:right="1190"/>
              <w:spacing w:after="0"/>
              <w:rPr>
                <w:sz w:val="20"/>
                <w:szCs w:val="20"/>
                <w:color w:val="auto"/>
              </w:rPr>
            </w:pPr>
            <w:r>
              <w:rPr>
                <w:rFonts w:ascii="Arial" w:cs="Arial" w:eastAsia="Arial" w:hAnsi="Arial"/>
                <w:sz w:val="18"/>
                <w:szCs w:val="18"/>
                <w:b w:val="1"/>
                <w:bCs w:val="1"/>
                <w:color w:val="auto"/>
                <w:w w:val="94"/>
              </w:rPr>
              <w:t>Darin J. Gordon</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54"/>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ESTEBAN LÓPEZ, M.D.</w:t>
            </w:r>
          </w:p>
        </w:tc>
        <w:tc>
          <w:tcPr>
            <w:tcW w:w="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6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w w:val="91"/>
              </w:rPr>
              <w:t>Esteban López, M.D.</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61"/>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w w:val="99"/>
              </w:rPr>
              <w:t>VERONICA HILL-MILBOURNE</w:t>
            </w:r>
          </w:p>
        </w:tc>
        <w:tc>
          <w:tcPr>
            <w:tcW w:w="20" w:type="dxa"/>
            <w:vAlign w:val="bottom"/>
            <w:tcBorders>
              <w:bottom w:val="single" w:sz="8" w:color="auto"/>
            </w:tcBorders>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2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4"/>
              </w:rPr>
              <w:t>Veronica Hill-Milbourne</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75"/>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w w:val="83"/>
              </w:rPr>
              <w:t>/s/</w:t>
            </w:r>
          </w:p>
        </w:tc>
        <w:tc>
          <w:tcPr>
            <w:tcW w:w="2600" w:type="dxa"/>
            <w:vAlign w:val="bottom"/>
            <w:tcBorders>
              <w:bottom w:val="single" w:sz="8" w:color="auto"/>
            </w:tcBorders>
          </w:tcPr>
          <w:p>
            <w:pPr>
              <w:jc w:val="center"/>
              <w:ind w:right="1230"/>
              <w:spacing w:after="0"/>
              <w:rPr>
                <w:sz w:val="20"/>
                <w:szCs w:val="20"/>
                <w:color w:val="auto"/>
              </w:rPr>
            </w:pPr>
            <w:r>
              <w:rPr>
                <w:rFonts w:ascii="Arial" w:cs="Arial" w:eastAsia="Arial" w:hAnsi="Arial"/>
                <w:sz w:val="18"/>
                <w:szCs w:val="18"/>
                <w:color w:val="auto"/>
                <w:w w:val="94"/>
              </w:rPr>
              <w:t>JEAN RUSH</w:t>
            </w:r>
          </w:p>
        </w:tc>
        <w:tc>
          <w:tcPr>
            <w:tcW w:w="20" w:type="dxa"/>
            <w:vAlign w:val="bottom"/>
            <w:tcBorders>
              <w:bottom w:val="single" w:sz="8" w:color="auto"/>
            </w:tcBorders>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Jean Rush</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94"/>
              </w:rPr>
              <w:t>SUSAN T. WEAVER, M.D., FACP</w:t>
            </w:r>
          </w:p>
        </w:tc>
        <w:tc>
          <w:tcPr>
            <w:tcW w:w="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February 28, 2023</w:t>
            </w: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2"/>
              </w:rPr>
              <w:t>Susan T. Weaver, M.D., FACP</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67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560" w:type="dxa"/>
            <w:vAlign w:val="bottom"/>
            <w:gridSpan w:val="2"/>
          </w:tcPr>
          <w:p>
            <w:pPr>
              <w:jc w:val="right"/>
              <w:ind w:right="2670"/>
              <w:spacing w:after="0"/>
              <w:rPr>
                <w:sz w:val="20"/>
                <w:szCs w:val="20"/>
                <w:color w:val="auto"/>
              </w:rPr>
            </w:pPr>
            <w:r>
              <w:rPr>
                <w:rFonts w:ascii="Arial" w:cs="Arial" w:eastAsia="Arial" w:hAnsi="Arial"/>
                <w:sz w:val="18"/>
                <w:szCs w:val="18"/>
                <w:color w:val="auto"/>
              </w:rPr>
              <w:t>60</w:t>
            </w:r>
          </w:p>
        </w:tc>
        <w:tc>
          <w:tcPr>
            <w:tcW w:w="2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INFORMATION</w:t>
      </w:r>
    </w:p>
    <w:p>
      <w:pPr>
        <w:spacing w:after="0" w:line="271" w:lineRule="exact"/>
        <w:rPr>
          <w:sz w:val="20"/>
          <w:szCs w:val="20"/>
          <w:color w:val="auto"/>
        </w:rPr>
      </w:pPr>
    </w:p>
    <w:p>
      <w:pPr>
        <w:ind w:left="10760"/>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15875</wp:posOffset>
            </wp:positionV>
            <wp:extent cx="4203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1">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6777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2">
                      <a:extLst>
                        <a:ext uri="{28A0092B-C50C-407E-A947-70E740481C1C}"/>
                      </a:extLst>
                    </a:blip>
                    <a:srcRect/>
                    <a:stretch>
                      <a:fillRect/>
                    </a:stretch>
                  </pic:blipFill>
                  <pic:spPr bwMode="auto">
                    <a:xfrm>
                      <a:off x="0" y="0"/>
                      <a:ext cx="267779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13258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16275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4">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2529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5">
                      <a:extLst>
                        <a:ext uri="{28A0092B-C50C-407E-A947-70E740481C1C}"/>
                      </a:extLst>
                    </a:blip>
                    <a:srcRect/>
                    <a:stretch>
                      <a:fillRect/>
                    </a:stretch>
                  </pic:blipFill>
                  <pic:spPr bwMode="auto">
                    <a:xfrm>
                      <a:off x="0" y="0"/>
                      <a:ext cx="225298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18218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6">
                      <a:extLst>
                        <a:ext uri="{28A0092B-C50C-407E-A947-70E740481C1C}"/>
                      </a:extLst>
                    </a:blip>
                    <a:srcRect/>
                    <a:stretch>
                      <a:fillRect/>
                    </a:stretch>
                  </pic:blipFill>
                  <pic:spPr bwMode="auto">
                    <a:xfrm>
                      <a:off x="0" y="0"/>
                      <a:ext cx="1821815"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19989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7">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15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Addus HomeCare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Addus HomeCare Corporation and its subsidiaries (the “Company”) as of December 31, 2022 and 2021, and the related consolidated statements of income,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JourneyCare Inc. (“JourneyCare”) and Apple Home HealthCare, LTD (“Apple Home”) from its assessment of internal control over financial reporting as of December 31, 2022, because they were acquired by the Company in purchase business combinations during 2022. We have also excluded JourneyCare and Apple Home from our audit of internal control over financial reporting. JourneyCare and Apple Home are wholly-owned subsidiaries whose total revenues and total operating income excluded from management’s assessment and our audit of internal control over financial reporting represent approximately 5% and 0.24% of total revenues, respectively, and approximately 11% and 0.24% of total operating income, respectively, of the related consolidated financial statement amounts for the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Accounts Receivable, Net of Allowances for Implicit Price Concessions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 1 to the consolidated financial statements, net service revenue is recognized at the amount that reflects the consideration the Company expects to receive in exchange for providing services directly to consumers. Amounts collected may be less than amounts billed due to implicit price concessions, resulting from client eligibility issues, insufficient or incomplete documentation, services at levels other than authorized, pricing differences and other reasons unrelated to credit risk.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The evaluation of these historical and other factors involves complex, subjective judgments. Accounts receivable, net of allowances for implicit price concessions (before the allowance for doubtful accounts), were $127.1 million as of December 31, 2022.</w:t>
      </w:r>
    </w:p>
    <w:p>
      <w:pPr>
        <w:spacing w:after="0" w:line="17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accounts receivable, net of allowances for implicit price concessions is a critical audit matter are (i) the significant judgment by management when developing the estimate of the valuation of accounts receivable, net of allowances for implicit price concessions and (ii) a high degree of auditor judgment, subjectivity, and effort in performing procedures and evaluating the audit evidence obtained related to the estimate.</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valuation of accounts receivable, net of implicit price concessions, including controls over the allowance for implicit price concessions. These procedures also included, among others (i) testing management’s process for developing the estimate of accounts receivable, net of allowances for implicit price concessions, (ii) evaluating the relevance and use of historical experience data as an input into the estimate, (iii) testing the completeness and accuracy of underlying historical collection data used in the estimate, (iv) testing, on a sample basis, the accuracy of revenue transactions and cash collections from the billing and collection data used in management’s estimate, (v) evaluating the historical accuracy of management’s estimate of the amount expected to be collected by comparing actual cash collections to the related accounts receivable, and (vi) performing a retrospective comparison of actual cash collected subsequent to year-end to evaluate the reasonableness of the prior year estimate.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79,961</w:t>
            </w:r>
          </w:p>
        </w:tc>
        <w:tc>
          <w:tcPr>
            <w:tcW w:w="66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168,895</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receivable, net of allowances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125,501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136,955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222,807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324,341</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582,837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504,392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Intangibles, net of accumulated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64,321</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assets, net</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38,980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694,005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604,761</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937,994</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947,585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22,092</w:t>
            </w:r>
          </w:p>
        </w:tc>
        <w:tc>
          <w:tcPr>
            <w:tcW w:w="6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19,358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payroll</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37,077</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Government stimulus advances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Accrued workers’ compensation insurance</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131,146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 less current portion, net of debt issuance costs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131,772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220,912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32,859</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Total long-term liabilities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173,308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255,552</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304,454</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373,241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stock—$.001 par value; 40,000 authorized and 16,128 and 15,940 shares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as of December 31, 2022 and 2021, respectively</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66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393,208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380,037</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240,316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633,540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574,344</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937,994</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-4602480</wp:posOffset>
            </wp:positionV>
            <wp:extent cx="68580" cy="1714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-3659505</wp:posOffset>
            </wp:positionV>
            <wp:extent cx="68580" cy="1714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-3333750</wp:posOffset>
            </wp:positionV>
            <wp:extent cx="1243330"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8">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-2065020</wp:posOffset>
            </wp:positionV>
            <wp:extent cx="68580"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162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-1439545</wp:posOffset>
            </wp:positionV>
            <wp:extent cx="685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714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-1113790</wp:posOffset>
            </wp:positionV>
            <wp:extent cx="68580" cy="1631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163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858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951,120</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864,499</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100" w:type="dxa"/>
            <w:vAlign w:val="bottom"/>
            <w:shd w:val="clear" w:color="auto" w:fill="CFF0FC"/>
          </w:tcPr>
          <w:p>
            <w:pPr>
              <w:spacing w:after="0"/>
              <w:rPr>
                <w:sz w:val="20"/>
                <w:szCs w:val="20"/>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Cost of service revenues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651,381</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299,739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216,942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189,418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169,679</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4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100" w:type="dxa"/>
            <w:vAlign w:val="bottom"/>
            <w:shd w:val="clear" w:color="auto" w:fill="CFF0FC"/>
          </w:tcPr>
          <w:p>
            <w:pPr>
              <w:spacing w:after="0"/>
              <w:rPr>
                <w:sz w:val="21"/>
                <w:szCs w:val="2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231,002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203,912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181,730</w:t>
            </w:r>
          </w:p>
        </w:tc>
        <w:tc>
          <w:tcPr>
            <w:tcW w:w="100" w:type="dxa"/>
            <w:vAlign w:val="bottom"/>
          </w:tcPr>
          <w:p>
            <w:pPr>
              <w:spacing w:after="0"/>
              <w:rPr>
                <w:sz w:val="20"/>
                <w:szCs w:val="20"/>
                <w:color w:val="auto"/>
              </w:rPr>
            </w:pPr>
          </w:p>
        </w:tc>
      </w:tr>
      <w:tr>
        <w:trPr>
          <w:trHeight w:val="23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68,737</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65,936</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(341 )</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(268 )</w:t>
            </w:r>
          </w:p>
        </w:tc>
        <w:tc>
          <w:tcPr>
            <w:tcW w:w="3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(624 )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8,907</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14,146</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Pr>
          <w:p>
            <w:pPr>
              <w:spacing w:after="0"/>
              <w:rPr>
                <w:sz w:val="20"/>
                <w:szCs w:val="20"/>
                <w:color w:val="auto"/>
              </w:rPr>
            </w:pPr>
          </w:p>
        </w:tc>
      </w:tr>
      <w:tr>
        <w:trPr>
          <w:trHeight w:val="277"/>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46,025</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45,126</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ind w:left="200"/>
              <w:spacing w:after="0"/>
              <w:rPr>
                <w:sz w:val="20"/>
                <w:szCs w:val="20"/>
                <w:color w:val="auto"/>
              </w:rPr>
            </w:pPr>
            <w:r>
              <w:rPr>
                <w:rFonts w:ascii="Arial" w:cs="Arial" w:eastAsia="Arial" w:hAnsi="Arial"/>
                <w:sz w:val="18"/>
                <w:szCs w:val="18"/>
                <w:color w:val="auto"/>
              </w:rPr>
              <w:t>Basic income per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 income per share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2"/>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number of common shares and potential common shares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662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15,596</w:t>
            </w:r>
          </w:p>
        </w:tc>
        <w:tc>
          <w:tcPr>
            <w:tcW w:w="100" w:type="dxa"/>
            <w:vAlign w:val="bottom"/>
            <w:shd w:val="clear" w:color="auto" w:fill="CFF0FC"/>
          </w:tcPr>
          <w:p>
            <w:pPr>
              <w:spacing w:after="0"/>
              <w:rPr>
                <w:sz w:val="21"/>
                <w:szCs w:val="2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16,181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16,064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-2275840</wp:posOffset>
            </wp:positionV>
            <wp:extent cx="2108200" cy="1968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3">
                      <a:extLst>
                        <a:ext uri="{28A0092B-C50C-407E-A947-70E740481C1C}"/>
                      </a:extLst>
                    </a:blip>
                    <a:srcRect/>
                    <a:stretch>
                      <a:fillRect/>
                    </a:stretch>
                  </pic:blipFill>
                  <pic:spPr bwMode="auto">
                    <a:xfrm>
                      <a:off x="0" y="0"/>
                      <a:ext cx="2108200" cy="1968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-1937385</wp:posOffset>
            </wp:positionV>
            <wp:extent cx="77470" cy="162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-1937385</wp:posOffset>
            </wp:positionV>
            <wp:extent cx="68580" cy="162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-1937385</wp:posOffset>
            </wp:positionV>
            <wp:extent cx="68580" cy="162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-1619885</wp:posOffset>
            </wp:positionV>
            <wp:extent cx="7747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-1619885</wp:posOffset>
            </wp:positionV>
            <wp:extent cx="6858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1714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-977265</wp:posOffset>
            </wp:positionV>
            <wp:extent cx="2082800" cy="2057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0">
                      <a:extLst>
                        <a:ext uri="{28A0092B-C50C-407E-A947-70E740481C1C}"/>
                      </a:extLst>
                    </a:blip>
                    <a:srcRect/>
                    <a:stretch>
                      <a:fillRect/>
                    </a:stretch>
                  </pic:blipFill>
                  <pic:spPr bwMode="auto">
                    <a:xfrm>
                      <a:off x="0" y="0"/>
                      <a:ext cx="2082800" cy="20574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-617220</wp:posOffset>
            </wp:positionV>
            <wp:extent cx="2082800" cy="3175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1">
                      <a:extLst>
                        <a:ext uri="{28A0092B-C50C-407E-A947-70E740481C1C}"/>
                      </a:extLst>
                    </a:blip>
                    <a:srcRect/>
                    <a:stretch>
                      <a:fillRect/>
                    </a:stretch>
                  </pic:blipFill>
                  <pic:spPr bwMode="auto">
                    <a:xfrm>
                      <a:off x="0" y="0"/>
                      <a:ext cx="2082800" cy="31750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30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5"/>
              </w:rPr>
              <w:t>Paid in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60" w:type="dxa"/>
            <w:vAlign w:val="bottom"/>
          </w:tcPr>
          <w:p>
            <w:pPr>
              <w:spacing w:after="0"/>
              <w:rPr>
                <w:sz w:val="16"/>
                <w:szCs w:val="16"/>
                <w:color w:val="auto"/>
              </w:rPr>
            </w:pPr>
          </w:p>
        </w:tc>
        <w:tc>
          <w:tcPr>
            <w:tcW w:w="230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w:t>
            </w:r>
          </w:p>
        </w:tc>
        <w:tc>
          <w:tcPr>
            <w:tcW w:w="2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116,032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8"/>
                <w:szCs w:val="18"/>
                <w:color w:val="auto"/>
              </w:rPr>
              <w:t>Issuance of shares of common stock under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6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Forfeiture of shares of common stock under</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 agreements</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2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8"/>
                <w:szCs w:val="18"/>
                <w:color w:val="auto"/>
              </w:rPr>
              <w:t>Issuance of shares of common stock under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6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Forfeiture of shares of common stock under</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 agreements</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(7 )</w:t>
            </w: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15,940</w:t>
            </w:r>
          </w:p>
        </w:tc>
        <w:tc>
          <w:tcPr>
            <w:tcW w:w="2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380,037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194,291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574,344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
              <w:spacing w:after="0"/>
              <w:rPr>
                <w:sz w:val="20"/>
                <w:szCs w:val="20"/>
                <w:color w:val="auto"/>
              </w:rPr>
            </w:pPr>
            <w:r>
              <w:rPr>
                <w:rFonts w:ascii="Arial" w:cs="Arial" w:eastAsia="Arial" w:hAnsi="Arial"/>
                <w:sz w:val="18"/>
                <w:szCs w:val="18"/>
                <w:color w:val="auto"/>
              </w:rPr>
              <w:t>Issuance of shares of common stock under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6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Forfeiture of shares of common stock under</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 agreements</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for exercise of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16,128</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71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393,208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240,316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633,540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-2459355</wp:posOffset>
            </wp:positionV>
            <wp:extent cx="76835" cy="3003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4">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-2459355</wp:posOffset>
            </wp:positionV>
            <wp:extent cx="77470" cy="3003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5">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-2459355</wp:posOffset>
            </wp:positionV>
            <wp:extent cx="68580" cy="3003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-2459355</wp:posOffset>
            </wp:positionV>
            <wp:extent cx="68580" cy="3003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3003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-1242060</wp:posOffset>
            </wp:positionV>
            <wp:extent cx="76835" cy="3003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9">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-1242060</wp:posOffset>
            </wp:positionV>
            <wp:extent cx="77470" cy="300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0">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-1242060</wp:posOffset>
            </wp:positionV>
            <wp:extent cx="68580" cy="3003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-1242060</wp:posOffset>
            </wp:positionV>
            <wp:extent cx="68580" cy="3003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3003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For the Years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4"/>
              </w:rPr>
              <w:t>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46,025</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45,126</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33,133</w:t>
            </w:r>
          </w:p>
        </w:tc>
        <w:tc>
          <w:tcPr>
            <w:tcW w:w="100" w:type="dxa"/>
            <w:vAlign w:val="bottom"/>
          </w:tcPr>
          <w:p>
            <w:pPr>
              <w:spacing w:after="0"/>
              <w:rPr>
                <w:sz w:val="19"/>
                <w:szCs w:val="19"/>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6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operating activities, net of acquisitions: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12,051</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(4,652 )</w:t>
            </w:r>
          </w:p>
        </w:tc>
      </w:tr>
      <w:tr>
        <w:trPr>
          <w:trHeight w:val="220"/>
        </w:trPr>
        <w:tc>
          <w:tcPr>
            <w:tcW w:w="66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9,434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debt issuance costs under the credit facility</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of assets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 net of acquisitions: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(3,916 )</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23,860</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5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(8,599 )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(1,973 )</w:t>
            </w:r>
          </w:p>
        </w:tc>
      </w:tr>
      <w:tr>
        <w:trPr>
          <w:trHeight w:val="239"/>
        </w:trPr>
        <w:tc>
          <w:tcPr>
            <w:tcW w:w="6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Government stimulus advances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(27,914 )</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19,393</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(4,810 )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payroll</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(918 )</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5,228</w:t>
            </w:r>
          </w:p>
        </w:tc>
        <w:tc>
          <w:tcPr>
            <w:tcW w:w="100" w:type="dxa"/>
            <w:vAlign w:val="bottom"/>
            <w:shd w:val="clear" w:color="auto" w:fill="CFF0FC"/>
          </w:tcPr>
          <w:p>
            <w:pPr>
              <w:spacing w:after="0"/>
              <w:rPr>
                <w:sz w:val="20"/>
                <w:szCs w:val="20"/>
                <w:color w:val="auto"/>
              </w:rPr>
            </w:pPr>
          </w:p>
        </w:tc>
      </w:tr>
      <w:tr>
        <w:trPr>
          <w:trHeight w:val="223"/>
        </w:trPr>
        <w:tc>
          <w:tcPr>
            <w:tcW w:w="6640" w:type="dxa"/>
            <w:vAlign w:val="bottom"/>
          </w:tcPr>
          <w:p>
            <w:pPr>
              <w:ind w:left="560"/>
              <w:spacing w:after="0"/>
              <w:rPr>
                <w:sz w:val="20"/>
                <w:szCs w:val="20"/>
                <w:color w:val="auto"/>
              </w:rPr>
            </w:pPr>
            <w:r>
              <w:rPr>
                <w:rFonts w:ascii="Arial" w:cs="Arial" w:eastAsia="Arial" w:hAnsi="Arial"/>
                <w:sz w:val="16"/>
                <w:szCs w:val="16"/>
                <w:color w:val="auto"/>
              </w:rPr>
              <w:t>Accrued expenses and other liabilities</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(4,618 )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(1,263 )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11,296</w:t>
            </w:r>
          </w:p>
        </w:tc>
        <w:tc>
          <w:tcPr>
            <w:tcW w:w="100" w:type="dxa"/>
            <w:vAlign w:val="bottom"/>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105,110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39,488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109,411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Business acquisition, net of cash acquired</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(98,290 )</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(37,370 )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(207,660 )</w:t>
            </w: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Proceeds on disposal of businesses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(8,300 )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(4,645 )</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(6,831 )</w:t>
            </w:r>
          </w:p>
        </w:tc>
      </w:tr>
      <w:tr>
        <w:trPr>
          <w:trHeight w:val="23"/>
        </w:trPr>
        <w:tc>
          <w:tcPr>
            <w:tcW w:w="664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(106,590 )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(42,015 )</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(214,236 )</w:t>
            </w:r>
          </w:p>
        </w:tc>
      </w:tr>
      <w:tr>
        <w:trPr>
          <w:trHeight w:val="23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revolver — credit facility</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47,000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46,395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135,000</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Payments on revolver — credit facility</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(137,000 )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term loan — credit facility</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(18,130 )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(735 )</w:t>
            </w: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Payments on financing lease obligations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for debt issuance costs under the credit facility</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(3,029 )</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6640" w:type="dxa"/>
            <w:vAlign w:val="bottom"/>
          </w:tcPr>
          <w:p>
            <w:pPr>
              <w:ind w:left="200"/>
              <w:spacing w:after="0"/>
              <w:rPr>
                <w:sz w:val="20"/>
                <w:szCs w:val="20"/>
                <w:color w:val="auto"/>
              </w:rPr>
            </w:pPr>
            <w:r>
              <w:rPr>
                <w:rFonts w:ascii="Arial" w:cs="Arial" w:eastAsia="Arial" w:hAnsi="Arial"/>
                <w:sz w:val="16"/>
                <w:szCs w:val="16"/>
                <w:color w:val="auto"/>
              </w:rPr>
              <w:t>Cash received from exercise of stock options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w:t>
            </w:r>
          </w:p>
        </w:tc>
        <w:tc>
          <w:tcPr>
            <w:tcW w:w="100" w:type="dxa"/>
            <w:vAlign w:val="bottom"/>
          </w:tcPr>
          <w:p>
            <w:pPr>
              <w:spacing w:after="0"/>
              <w:rPr>
                <w:sz w:val="19"/>
                <w:szCs w:val="19"/>
                <w:color w:val="auto"/>
              </w:rPr>
            </w:pPr>
          </w:p>
        </w:tc>
      </w:tr>
      <w:tr>
        <w:trPr>
          <w:trHeight w:val="220"/>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(87,454 )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26,344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138,189</w:t>
            </w:r>
          </w:p>
        </w:tc>
        <w:tc>
          <w:tcPr>
            <w:tcW w:w="100" w:type="dxa"/>
            <w:vAlign w:val="bottom"/>
            <w:shd w:val="clear" w:color="auto" w:fill="CFF0FC"/>
          </w:tcPr>
          <w:p>
            <w:pPr>
              <w:spacing w:after="0"/>
              <w:rPr>
                <w:sz w:val="19"/>
                <w:szCs w:val="19"/>
                <w:color w:val="auto"/>
              </w:rPr>
            </w:pPr>
          </w:p>
        </w:tc>
      </w:tr>
      <w:tr>
        <w:trPr>
          <w:trHeight w:val="23"/>
        </w:trPr>
        <w:tc>
          <w:tcPr>
            <w:tcW w:w="664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Net change in cash</w:t>
            </w: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(88,934 )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33,364</w:t>
            </w:r>
          </w:p>
        </w:tc>
        <w:tc>
          <w:tcPr>
            <w:tcW w:w="100" w:type="dxa"/>
            <w:vAlign w:val="bottom"/>
          </w:tcPr>
          <w:p>
            <w:pPr>
              <w:spacing w:after="0"/>
              <w:rPr>
                <w:sz w:val="19"/>
                <w:szCs w:val="19"/>
                <w:color w:val="auto"/>
              </w:rPr>
            </w:pPr>
          </w:p>
        </w:tc>
      </w:tr>
      <w:tr>
        <w:trPr>
          <w:trHeight w:val="23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at beginning of period</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168,895</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145,078</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111,714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79,961</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168,895</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145,078</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7,985</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5,094</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income taxes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10,590</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Leasehold improvements acquired through tenant allowances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5,161</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Arial" w:cs="Arial" w:eastAsia="Arial" w:hAnsi="Arial"/>
                <w:sz w:val="16"/>
                <w:szCs w:val="16"/>
                <w:color w:val="auto"/>
              </w:rPr>
              <w:t>Licensing fees included in Fixed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 benefit related to the amortization of tax goodwill in excess of book basis</w:t>
            </w: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-3573780</wp:posOffset>
            </wp:positionV>
            <wp:extent cx="76835"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-3573780</wp:posOffset>
            </wp:positionV>
            <wp:extent cx="6858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154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-2982595</wp:posOffset>
            </wp:positionV>
            <wp:extent cx="76835" cy="162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-2982595</wp:posOffset>
            </wp:positionV>
            <wp:extent cx="68580" cy="162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162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-1499870</wp:posOffset>
            </wp:positionV>
            <wp:extent cx="76835"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-1499870</wp:posOffset>
            </wp:positionV>
            <wp:extent cx="68580"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-1199515</wp:posOffset>
            </wp:positionV>
            <wp:extent cx="76835" cy="1803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5">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-1199515</wp:posOffset>
            </wp:positionV>
            <wp:extent cx="68580" cy="1803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803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7">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Consolidated Financial Statements include the accounts of Addus HomeCare Corporation (“Holdings”) and its subsidiaries (together with Holdings, the “Company,” “we,” “us,” or “our”). The Company operates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 clients include federal, state and local governmental agencies, managed care organizations, commercial insurers and private individuals.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the Company participates are complex and subject to interpretation. Net service revenues related to uninsured accounts, or self-pay, is recorded net of implicit price concessions estimated based on historical collection experience to reduce revenue to the estimated amount the Company expects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The Company monitors our net service revenues and collections from these sources and records any necessary adjustment to net service revenues based upon management’s assessment of historical write offs and expected net collections, business and economic conditions, trends in federal, state and private employer healthcare coverage and other collection indicators.</w:t>
      </w:r>
    </w:p>
    <w:p>
      <w:pPr>
        <w:spacing w:after="0" w:line="172"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The initial estimate of net service revenues is determined by reducing the standard charge by any contractual adjustments, discounts and implicit price concessions. Subsequent changes to the estimate of net service revenues are generally recorded in the period of the change. Changes in estimates of implicit price concessions, discounts and contractual adjustments recognized during the year ended December 31, 2022 for performance obligations satisfied in years prior to 2022 resulted in an increase to net service revenue of approximately $8.8 million. Changes in estimates of implicit price concessions, discounts and contractual adjustments recognized during the year ended December 31, 2021 for performance obligations satisfied in years prior to 2021 resulted in an increase to net service revenue of approximately $5.7 million. Subsequent changes that are determined to be the result of an adverse change in the patient’s ability to pay are recorded as bad debt expense.</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Personal Care</w:t>
      </w:r>
    </w:p>
    <w:p>
      <w:pPr>
        <w:spacing w:after="0" w:line="11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The majority of the Company’s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Hospice Revenue</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Company generates net service revenues from providing hospice services to consumers who are terminally ill as well as related services for their families. Net service revenues are recognized as services are provided and costs for delivery of such services are incurred. The estimated payment rates are daily rates for each of the levels of care the Company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the number of Medicare patients served. If a hospice’s Medicare payments exceed its aggregate cap, it must repay Medicare for the excess amount. In federal fiscal year 2023, the aggregate cap is $32,486.92. For the years ended December 31, 2022 and 2021, the Company recorded a liability of $0.9 million and $0.3 million, respectively, related to the Medicare aggregate cap limit.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Home Health Revenue</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Company also generates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were paid under the Medicare Home Health Prospective Payment System (“HHPPS”), for the years ended December 31, 2022 and 2021, which are based on 30-day periods of care as a unit of service. The HHPPS permits multiple, continuous periods per patient. Medicare payment rates for periods under HHPPS are determined through use of a case-mix classification system, the Patient-Driven Groupings Model (“PDGM”), which assigns patients to resource groups based on a patient’s clinical characteristics.</w:t>
      </w:r>
    </w:p>
    <w:p>
      <w:pPr>
        <w:spacing w:after="0" w:line="17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Company elects to use the same 30-day periods that Medicare recognizes as standard but accelerates revenue upon discharge to align with a patient’s episode length if less than the expected 30 days, which depicts the transfer of services and related benefits received by the patient over the term of the contract necessary to satisfy the obligations. The Company recognizes revenue based on the number of days elapsed during a period of care within the reporting period. The Company satisfies its performance obligations as consumers receive and consume the benefits provided by the Company as the services are performed. As the Company has a right to consideration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the Company expects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the Company compares its cash collections to recorded net service revenues and evaluates its historical allowance, including implicit price concessions, based upon the ultimate resolution of the accounts receivable balance.</w:t>
      </w:r>
    </w:p>
    <w:p>
      <w:pPr>
        <w:spacing w:after="0" w:line="178"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Subsequent adjustments to accounts receivable determined to be the result of an adverse change in the payor’s ability to pay are recognized as provision for credit losses. The majority of what historically was classified as provision for credit losses under operating expenses is now treated as an implicit price concession factored into the determination of net service revenues discussed above. Our collection procedures include review of account aging and direct contact with our payors. We have historically not used collection agencies. An uncollectible amount is written off to the allowance account after reasonable collection efforts have been exhausted. As of December 31, 2022 and 2021, the allowance for credit losses balance was $1.6 million and $1.4 million, respectively, which is included in accounts receivable, net of allowances for credit losses on the Company’s Consolidated Balance Sheets.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credit losses is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xml:space="preserve">Deductions </w:t>
            </w:r>
            <w:r>
              <w:rPr>
                <w:rFonts w:ascii="Arial" w:cs="Arial" w:eastAsia="Arial" w:hAnsi="Arial"/>
                <w:sz w:val="19"/>
                <w:szCs w:val="19"/>
                <w:b w:val="1"/>
                <w:bCs w:val="1"/>
                <w:color w:val="auto"/>
                <w:vertAlign w:val="superscript"/>
              </w:rPr>
              <w:t>(1)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period</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4"/>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2021</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Year ended December 31, 2020</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1431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25"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Write-offs, net of recoveries</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5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years</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590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 equipment</w:t>
            </w:r>
          </w:p>
        </w:tc>
        <w:tc>
          <w:tcPr>
            <w:tcW w:w="5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590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5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Lesser of useful life or lease term</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Company recognizes a lease liability and a right-of-use (“ROU”) asset for all leases, including operating leases, with a term greater than twelve months on the balance sheet. We have historically entered into operating leases for local branches, our corporate headquarters and certain equipment. The Company’s current leases have expiration dates through 2031.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Renewal options generally are not considered in determining the lease term, and payments associated with the option years are excluded from lease payments unless we are reasonably certain to exercise the renewal option.</w:t>
      </w:r>
    </w:p>
    <w:p>
      <w:pPr>
        <w:spacing w:after="0" w:line="164" w:lineRule="exact"/>
        <w:rPr>
          <w:sz w:val="20"/>
          <w:szCs w:val="20"/>
          <w:color w:val="auto"/>
        </w:rPr>
      </w:pPr>
    </w:p>
    <w:p>
      <w:pPr>
        <w:ind w:right="160" w:firstLine="509"/>
        <w:spacing w:after="0" w:line="294" w:lineRule="auto"/>
        <w:rPr>
          <w:sz w:val="20"/>
          <w:szCs w:val="20"/>
          <w:color w:val="auto"/>
        </w:rPr>
      </w:pPr>
      <w:r>
        <w:rPr>
          <w:rFonts w:ascii="Arial" w:cs="Arial" w:eastAsia="Arial" w:hAnsi="Arial"/>
          <w:sz w:val="17"/>
          <w:szCs w:val="17"/>
          <w:color w:val="auto"/>
        </w:rPr>
        <w:t>The operating lease liabilities are calculated using the present value of lease payments. If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5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Operating lease assets are valued based on the initial operating lease liabilities plus any prepaid rent, reduced by tenant improvement allowances. Operating lease assets are tested for impairment in the same manner as our long-lived assets. For the year ended December 31, 2022, the Company recorded $1.2 million in impairment charges on operating lease assets, included within general and administrative expenses, and no material impairment charges for the year ended December 31, 2021. For the year ended December 31, 2020, the Company sublet certain support center office space and incurred an impairment charge of approximately $1.0 million in operating lease assets, included within general and administrative expenses. See Note 2 for additional information related to leases.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spacing w:after="0" w:line="174"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 xml:space="preserve">As of December 31, 2022 and 2021, goodwill was $582.8 million and $504.4 million, respectively, included on the Company’s Consolidated Balance Sheets. The Company’s carrying value of goodwill is the excess of the purchase price over the fair value of the net assets acquired from various acquisitions. In accordance with Accounting Standards Codification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elect to use a qualitative test to determine whether impairment has occurred, focused on various factors including macroeconomic conditions, market trends, specific reporting unit financial performance and other entity specific events, to determine if it is more likely than not that the fair value of a reporting unit exceeds its carrying value, including goodwill. The Company may also bypass the qualitative assessment and perform a quantitative test. Additionally, it is the Company’s policy to update the fair value calculation of our reporting units and perform the quantitative goodwill impairment test on a periodic basis. The quantitative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w:t>
      </w:r>
    </w:p>
    <w:p>
      <w:pPr>
        <w:spacing w:after="0" w:line="168" w:lineRule="exact"/>
        <w:rPr>
          <w:sz w:val="20"/>
          <w:szCs w:val="20"/>
          <w:color w:val="auto"/>
        </w:rPr>
      </w:pPr>
    </w:p>
    <w:p>
      <w:pPr>
        <w:ind w:right="120" w:firstLine="478"/>
        <w:spacing w:after="0" w:line="289" w:lineRule="auto"/>
        <w:rPr>
          <w:sz w:val="20"/>
          <w:szCs w:val="20"/>
          <w:color w:val="auto"/>
        </w:rPr>
      </w:pPr>
      <w:r>
        <w:rPr>
          <w:rFonts w:ascii="Arial" w:cs="Arial" w:eastAsia="Arial" w:hAnsi="Arial"/>
          <w:sz w:val="16"/>
          <w:szCs w:val="16"/>
          <w:color w:val="auto"/>
        </w:rPr>
        <w:t>For the years ended December 31, 2022, 2021 and 2020, the Company performed the quantitative analysis to evaluate whether an impairment occurred. Since quoted market prices for our reporting units are not available, the Company relies on widely accepted valuation techniques to determine fair value, including discounted cash flow and market multiple approaches, which capture both the future income potential of the reporting unit and the market behaviors and actions of market participants in the industry that includes the reporting unit. These types of models require us to make assumptions and estimates regarding future cash flows, industry-specific economic factors and the profitability of future business strategies. The discounted cash flow model uses a projection of estimated operating results and cash flows that are discounted using a weighted average cost of capital. The market multiple model estimates fair value based on market multiples of earnings before interest, taxes and depreciation and amortization. Under the discounted cash flow model, the projection uses management’s best estimates of economic and market conditions over the projected period for each reporting unit using significant assumptions such as revenue growth rates and the weighted-average cost of capital.</w:t>
      </w:r>
    </w:p>
    <w:p>
      <w:pPr>
        <w:spacing w:after="0" w:line="166"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Based on the totality of the information available, the Company concluded that it was more likely than not that the estimated fair values of our reporting units were greater than their carrying values. Consequently, the Company concluded that there were no impairments for the years ended December 31, 2022, 2021 or 2020. For the fiscal year 2022 impairment tests, the fair value of the reporting units exceeded their respective carrying values (commonly referred to as “headroom”) by at least 100% in the personal care reporting unit, 75% in the home health reporting unit, and 67% in the hospice reporting unit. The Company bases its fair value estimates on assumptions management believes to be reasonable but which are unpredictable and inherently uncertain. Actual future results may differ from those estimates.</w:t>
      </w:r>
    </w:p>
    <w:p>
      <w:pPr>
        <w:spacing w:after="0" w:line="178"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As of December 31, 2022 and 2021, intangibles, net of accumulated amortization, was $72.2 million and $64.3 million, respectively, included on the Company’s Consolidated Balance Sheets. The Company’s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The Company would recognize an impairment loss when the estimated future non-discounted cash flows associated with the intangible asset are less than the carrying value. An impairment charge would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then be recorded for the excess of the carrying value over the fair value. The Company estimates the fair value of these intangible assets using the income approach.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2022, 2021 or 2020. Amortization of intangible assets is reported in the statement of income caption, “Depreciation and amortization” and not included in the income statement caption cost of service revenues.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 xml:space="preserve">The Company amortizes debt issuance costs on a straight-line method over the term of the related debt. This method approximates the effective interest method. In accordance with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has classified the debt issuance costs as a direct deduction from the carrying amount of the related liability.</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The future claims payments related to the workers’ compensation program are secured by letters of credit. These letters of credit totaled $8.2 million at both December 31, 2022 and 2021. The Company monitors its claims quarterly and adjusts its reserves as necessary in the current period. These costs are recorded primarily as cost of services on the Consolidated Statements of Income. As of December 31, 2022 and 2021, the Company recorded $12.9 million and $13.0 million, respectively, in accrued workers’ compensation insurance on the Company’s Consolidated Balance Sheets. As of December 31, 2022 and 2021, the Company recorded $0.7 million and $1.6 million, respectively, in workers’ compensation insurance receivables. The workers’ compensation insurance receivable is included in prepaid expenses and other current assets on the Company’s Consolidated Balance Sheets.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Interest expense is reported in the Consolidated Statements of Income when incurred and consists of interest and unused credit line fees on the credit facility.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The Company accounts for income taxes under the provisions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objective of accounting for income taxes is to recognize the amount of taxes payable or refundable for the current year and deferred tax assets and liabilities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assets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 The Company recognizes interest and penalties accrued related to uncertain tax positions in interest expense and penalties within operating expenses on the Consolidated Statements of Income. Uncertain tax positions are immaterial for all periods presented.</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 xml:space="preserve">The Company currently has one stock incentive plan, the 2017 Omnibus Incentive Plan (the “2017 Plan”), under which new grants of stock-based employee compensation are made. The Company accounts for stock-based compensation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Compensation expense is recognized on a straight-line basis under the 2017 Plan over the vesting period of the equity awards based on the grant date fair value of the options and restricted stock awards. The Company utilizes the Black-Scholes Option Pricing Model to value the Company’s options. Forfeitures are recognized when they occur. Stock-based compensation expense was $10.6 million, $9.4 million and $6.0 million for the years ended December 31, 2022, 2021 and 2020, respectively, included within general and administrative expenses on the Consolidated Statements of Income.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right="400" w:firstLine="509"/>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2022 were approximately 468,000 stock options outstanding, of which approximately 248,000 were dilutive. In addition, there were approximately 209,000 restricted stock awards outstanding, of which approximately 72,000 were dilutive for the year ended December 31, 2022.</w:t>
      </w:r>
    </w:p>
    <w:p>
      <w:pPr>
        <w:spacing w:after="0" w:line="18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2021 were approximately 493,000 stock options outstanding, of which approximately 282,000 were dilutive. In addition, there were approximately 159,000 restricted stock awards outstanding, of which approximately 44,000 were dilutive for the year ended December 31, 2021.</w:t>
      </w:r>
    </w:p>
    <w:p>
      <w:pPr>
        <w:spacing w:after="0" w:line="18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2020 were approximately 506,000 stock options outstanding, of which approximately 304,000 were dilutive. In addition, there were approximately 154,000 restricted stock awards outstanding, of which approximately 57,000 were dilutive for the year ended December 31, 2020.</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goodwill and intangibles and business combinations and when required, the quantitative assessment of goodwill. Actual results could differ from those estimates.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 xml:space="preserve">The Company’s financial instruments consist of cash, accounts receivable, payables and debt. The carrying amounts reported on the Company’s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w:t>
      </w:r>
    </w:p>
    <w:p>
      <w:pPr>
        <w:spacing w:after="0" w:line="17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8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In connection with the preparation of the financial statements for the years ended December 31, 2022 and 2021, the Company conducted an evaluation as to whether there were conditions and events, considered in the aggregate, which raised substantial doubt as to the entity’s ability to continue as a going concern within one year after the date of the issuance, of the financial statements. Based on the evaluation, we believe that cash flows from operations will be sufficient to meet our ongoing liquidity requirements for at least twelve months from the date of issuance.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simplifies various aspects related to accounting for income taxes and removes certain exceptions to the general guidance in ASC 740. In addition, the ASU clarifies and amends existing guidance to improve consistent application of its requirements. The ASU was adopted as of January 1, 2021 and did not have an impact on the Company’s results of operations or liquidity.</w:t>
      </w:r>
    </w:p>
    <w:p>
      <w:pPr>
        <w:spacing w:after="0" w:line="79"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ASU 2021-10 requires entities to disclose certain information about the nature of certain governmental assistance received, including the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transaction and the related accounting policy, the financial statement line items impacted by the assistance, as well as the significant terms and conditions of the transactions. The ASU was adopted as of January 1, 2022 and did not have a material impact on the Company’s results of operations or liquidity.</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ASU 2020-04 provides optional expedients and exceptions for applying GAAP to contract modifications and hedging relationships, 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2024. The ASU can be adopted no later than December 1, 2024 with early adoption permitted. As discussed further in Note 7 and pursuant to the Second Amendment to Amended and Restated Credit Agreement, dated as of July 30, 2021, the Company’s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reported on the Company’s Consolidated Balance Sheets for operating leases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2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(Amounts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w:t>
            </w: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Thousands)</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 net</w:t>
            </w: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38,980</w:t>
            </w:r>
          </w:p>
        </w:tc>
        <w:tc>
          <w:tcPr>
            <w:tcW w:w="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100" w:type="dxa"/>
            <w:vAlign w:val="bottom"/>
            <w:shd w:val="clear" w:color="auto" w:fill="CFF0FC"/>
          </w:tcPr>
          <w:p>
            <w:pPr>
              <w:spacing w:after="0"/>
              <w:rPr>
                <w:sz w:val="20"/>
                <w:szCs w:val="20"/>
                <w:color w:val="auto"/>
              </w:rPr>
            </w:pPr>
          </w:p>
        </w:tc>
      </w:tr>
      <w:tr>
        <w:trPr>
          <w:trHeight w:val="230"/>
        </w:trPr>
        <w:tc>
          <w:tcPr>
            <w:tcW w:w="7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Short-term operating lease liabilities (in accrued expenses)</w:t>
            </w:r>
          </w:p>
        </w:tc>
        <w:tc>
          <w:tcPr>
            <w:tcW w:w="1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10,801</w:t>
            </w:r>
          </w:p>
        </w:tc>
        <w:tc>
          <w:tcPr>
            <w:tcW w:w="26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9,774</w:t>
            </w:r>
          </w:p>
        </w:tc>
        <w:tc>
          <w:tcPr>
            <w:tcW w:w="100" w:type="dxa"/>
            <w:vAlign w:val="bottom"/>
            <w:tcBorders>
              <w:top w:val="single" w:sz="8" w:color="CFF0FC"/>
            </w:tcBorders>
          </w:tcPr>
          <w:p>
            <w:pPr>
              <w:spacing w:after="0"/>
              <w:rPr>
                <w:sz w:val="20"/>
                <w:szCs w:val="20"/>
                <w:color w:val="auto"/>
              </w:rPr>
            </w:pPr>
          </w:p>
        </w:tc>
      </w:tr>
      <w:tr>
        <w:trPr>
          <w:trHeight w:val="24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liabilities</w:t>
            </w:r>
          </w:p>
        </w:tc>
        <w:tc>
          <w:tcPr>
            <w:tcW w:w="1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35,479</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46,280</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42,633</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-504825</wp:posOffset>
            </wp:positionV>
            <wp:extent cx="68580" cy="162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lease costs were reported in general and administrative expenses in the Company’s Consolidated Statements of Income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40" w:type="dxa"/>
            <w:vAlign w:val="bottom"/>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35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3"/>
              </w:rPr>
              <w:t>(Amounts in Thousands)</w:t>
            </w: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24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11,354</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11,150</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100" w:type="dxa"/>
            <w:vAlign w:val="bottom"/>
            <w:shd w:val="clear" w:color="auto" w:fill="CFF0FC"/>
          </w:tcPr>
          <w:p>
            <w:pPr>
              <w:spacing w:after="0"/>
              <w:rPr>
                <w:sz w:val="20"/>
                <w:szCs w:val="20"/>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24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r>
      <w:tr>
        <w:trPr>
          <w:trHeight w:val="236"/>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24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14,239</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11,889</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9,958</w:t>
            </w:r>
          </w:p>
        </w:tc>
        <w:tc>
          <w:tcPr>
            <w:tcW w:w="100" w:type="dxa"/>
            <w:vAlign w:val="bottom"/>
            <w:shd w:val="clear" w:color="auto" w:fill="CFF0FC"/>
          </w:tcPr>
          <w:p>
            <w:pPr>
              <w:spacing w:after="0"/>
              <w:rPr>
                <w:sz w:val="20"/>
                <w:szCs w:val="20"/>
                <w:color w:val="auto"/>
              </w:rPr>
            </w:pPr>
          </w:p>
        </w:tc>
      </w:tr>
      <w:tr>
        <w:trPr>
          <w:trHeight w:val="243"/>
        </w:trPr>
        <w:tc>
          <w:tcPr>
            <w:tcW w:w="3580" w:type="dxa"/>
            <w:vAlign w:val="bottom"/>
          </w:tcPr>
          <w:p>
            <w:pPr>
              <w:ind w:left="120"/>
              <w:spacing w:after="0"/>
              <w:rPr>
                <w:sz w:val="20"/>
                <w:szCs w:val="20"/>
                <w:color w:val="auto"/>
              </w:rPr>
            </w:pPr>
            <w:r>
              <w:rPr>
                <w:rFonts w:ascii="Arial" w:cs="Arial" w:eastAsia="Arial" w:hAnsi="Arial"/>
                <w:sz w:val="18"/>
                <w:szCs w:val="18"/>
                <w:color w:val="auto"/>
              </w:rPr>
              <w:t>Less: sublease income</w:t>
            </w:r>
          </w:p>
        </w:tc>
        <w:tc>
          <w:tcPr>
            <w:tcW w:w="2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(951 )</w:t>
            </w:r>
          </w:p>
        </w:tc>
        <w:tc>
          <w:tcPr>
            <w:tcW w:w="3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(679 )</w:t>
            </w:r>
          </w:p>
        </w:tc>
        <w:tc>
          <w:tcPr>
            <w:tcW w:w="4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(323 )</w:t>
            </w:r>
          </w:p>
        </w:tc>
      </w:tr>
      <w:tr>
        <w:trPr>
          <w:trHeight w:val="270"/>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costs, net</w:t>
            </w:r>
          </w:p>
        </w:tc>
        <w:tc>
          <w:tcPr>
            <w:tcW w:w="244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13,288</w:t>
            </w:r>
          </w:p>
        </w:tc>
        <w:tc>
          <w:tcPr>
            <w:tcW w:w="2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11,210</w:t>
            </w:r>
          </w:p>
        </w:tc>
        <w:tc>
          <w:tcPr>
            <w:tcW w:w="24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5"/>
        </w:trPr>
        <w:tc>
          <w:tcPr>
            <w:tcW w:w="3580" w:type="dxa"/>
            <w:vAlign w:val="bottom"/>
          </w:tcPr>
          <w:p>
            <w:pPr>
              <w:spacing w:after="0"/>
              <w:rPr>
                <w:sz w:val="24"/>
                <w:szCs w:val="24"/>
                <w:color w:val="auto"/>
              </w:rPr>
            </w:pPr>
          </w:p>
        </w:tc>
        <w:tc>
          <w:tcPr>
            <w:tcW w:w="3400" w:type="dxa"/>
            <w:vAlign w:val="bottom"/>
            <w:gridSpan w:val="2"/>
          </w:tcPr>
          <w:p>
            <w:pPr>
              <w:jc w:val="right"/>
              <w:ind w:right="1096"/>
              <w:spacing w:after="0"/>
              <w:rPr>
                <w:sz w:val="20"/>
                <w:szCs w:val="20"/>
                <w:color w:val="auto"/>
              </w:rPr>
            </w:pPr>
            <w:r>
              <w:rPr>
                <w:rFonts w:ascii="Arial" w:cs="Arial" w:eastAsia="Arial" w:hAnsi="Arial"/>
                <w:sz w:val="18"/>
                <w:szCs w:val="18"/>
                <w:color w:val="auto"/>
              </w:rPr>
              <w:t>F-14</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-522605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-504825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-522605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-504825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 average remaining lease terms and discount rates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w:t>
            </w: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w w:val="85"/>
              </w:rPr>
              <w:t>6.39</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ind w:left="920"/>
              <w:spacing w:after="0"/>
              <w:rPr>
                <w:sz w:val="20"/>
                <w:szCs w:val="20"/>
                <w:color w:val="auto"/>
              </w:rPr>
            </w:pPr>
            <w:r>
              <w:rPr>
                <w:rFonts w:ascii="Arial" w:cs="Arial" w:eastAsia="Arial" w:hAnsi="Arial"/>
                <w:sz w:val="18"/>
                <w:szCs w:val="18"/>
                <w:color w:val="auto"/>
                <w:w w:val="85"/>
              </w:rPr>
              <w:t>3.91 %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4.18 %</w:t>
            </w:r>
          </w:p>
        </w:tc>
      </w:tr>
      <w:tr>
        <w:trPr>
          <w:trHeight w:val="580"/>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980" w:type="dxa"/>
            <w:vAlign w:val="bottom"/>
            <w:gridSpan w:val="3"/>
          </w:tcPr>
          <w:p>
            <w:pPr>
              <w:ind w:left="520"/>
              <w:spacing w:after="0"/>
              <w:rPr>
                <w:sz w:val="20"/>
                <w:szCs w:val="20"/>
                <w:color w:val="auto"/>
              </w:rPr>
            </w:pPr>
            <w:r>
              <w:rPr>
                <w:rFonts w:ascii="Arial" w:cs="Arial" w:eastAsia="Arial" w:hAnsi="Arial"/>
                <w:sz w:val="18"/>
                <w:szCs w:val="18"/>
                <w:color w:val="auto"/>
              </w:rPr>
              <w:t>Remaining operating lease payments as of December 31, 2022 were as follows: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5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1"/>
              </w:rPr>
              <w:t>Operating Leases</w:t>
            </w:r>
          </w:p>
        </w:tc>
      </w:tr>
      <w:tr>
        <w:trPr>
          <w:trHeight w:val="169"/>
        </w:trPr>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tcBorders>
              <w:top w:val="single" w:sz="8" w:color="auto"/>
              <w:bottom w:val="single" w:sz="8" w:color="auto"/>
            </w:tcBorders>
            <w:gridSpan w:val="6"/>
          </w:tcPr>
          <w:p>
            <w:pPr>
              <w:jc w:val="right"/>
              <w:ind w:right="292"/>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gridSpan w:val="2"/>
          </w:tcPr>
          <w:p>
            <w:pPr>
              <w:spacing w:after="0"/>
              <w:rPr>
                <w:sz w:val="14"/>
                <w:szCs w:val="14"/>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Due in 12-month period ended December 31,</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80" w:type="dxa"/>
            <w:vAlign w:val="bottom"/>
          </w:tcPr>
          <w:p>
            <w:pPr>
              <w:ind w:left="12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80" w:type="dxa"/>
            <w:vAlign w:val="bottom"/>
          </w:tcPr>
          <w:p>
            <w:pPr>
              <w:ind w:left="120"/>
              <w:spacing w:after="0"/>
              <w:rPr>
                <w:sz w:val="20"/>
                <w:szCs w:val="20"/>
                <w:color w:val="auto"/>
              </w:rPr>
            </w:pPr>
            <w:r>
              <w:rPr>
                <w:rFonts w:ascii="Arial" w:cs="Arial" w:eastAsia="Arial" w:hAnsi="Arial"/>
                <w:sz w:val="18"/>
                <w:szCs w:val="18"/>
                <w:color w:val="auto"/>
              </w:rPr>
              <w:t>2026</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98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rental commitments</w:t>
            </w:r>
          </w:p>
        </w:tc>
        <w:tc>
          <w:tcPr>
            <w:tcW w:w="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980" w:type="dxa"/>
            <w:vAlign w:val="bottom"/>
          </w:tcPr>
          <w:p>
            <w:pPr>
              <w:ind w:left="120"/>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(5,734 )</w:t>
            </w:r>
          </w:p>
        </w:tc>
        <w:tc>
          <w:tcPr>
            <w:tcW w:w="60" w:type="dxa"/>
            <w:vAlign w:val="bottom"/>
          </w:tcPr>
          <w:p>
            <w:pPr>
              <w:spacing w:after="0"/>
              <w:rPr>
                <w:sz w:val="21"/>
                <w:szCs w:val="21"/>
                <w:color w:val="auto"/>
              </w:rPr>
            </w:pPr>
          </w:p>
        </w:tc>
      </w:tr>
      <w:tr>
        <w:trPr>
          <w:trHeight w:val="277"/>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9"/>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46,280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2"/>
        </w:trPr>
        <w:tc>
          <w:tcPr>
            <w:tcW w:w="5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40" w:type="dxa"/>
            <w:vAlign w:val="bottom"/>
            <w:gridSpan w:val="10"/>
          </w:tcPr>
          <w:p>
            <w:pPr>
              <w:jc w:val="center"/>
              <w:ind w:left="194"/>
              <w:spacing w:after="0"/>
              <w:rPr>
                <w:sz w:val="20"/>
                <w:szCs w:val="20"/>
                <w:color w:val="auto"/>
              </w:rPr>
            </w:pPr>
            <w:r>
              <w:rPr>
                <w:rFonts w:ascii="Arial" w:cs="Arial" w:eastAsia="Arial" w:hAnsi="Arial"/>
                <w:sz w:val="14"/>
                <w:szCs w:val="14"/>
                <w:b w:val="1"/>
                <w:bCs w:val="1"/>
                <w:color w:val="auto"/>
                <w:w w:val="92"/>
              </w:rPr>
              <w:t>For the Years Ended December 31,</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5"/>
        </w:trPr>
        <w:tc>
          <w:tcPr>
            <w:tcW w:w="5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(Amounts in Thousands)</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98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10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13,015</w:t>
            </w:r>
          </w:p>
        </w:tc>
        <w:tc>
          <w:tcPr>
            <w:tcW w:w="220" w:type="dxa"/>
            <w:vAlign w:val="bottom"/>
          </w:tcPr>
          <w:p>
            <w:pPr>
              <w:spacing w:after="0"/>
              <w:rPr>
                <w:sz w:val="20"/>
                <w:szCs w:val="20"/>
                <w:color w:val="auto"/>
              </w:rPr>
            </w:pPr>
          </w:p>
        </w:tc>
        <w:tc>
          <w:tcPr>
            <w:tcW w:w="2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11,288</w:t>
            </w:r>
          </w:p>
        </w:tc>
        <w:tc>
          <w:tcPr>
            <w:tcW w:w="180" w:type="dxa"/>
            <w:vAlign w:val="bottom"/>
          </w:tcPr>
          <w:p>
            <w:pPr>
              <w:spacing w:after="0"/>
              <w:rPr>
                <w:sz w:val="20"/>
                <w:szCs w:val="20"/>
                <w:color w:val="auto"/>
              </w:rPr>
            </w:pPr>
          </w:p>
        </w:tc>
        <w:tc>
          <w:tcPr>
            <w:tcW w:w="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9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0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14,746</w:t>
            </w:r>
          </w:p>
        </w:tc>
        <w:tc>
          <w:tcPr>
            <w:tcW w:w="220" w:type="dxa"/>
            <w:vAlign w:val="bottom"/>
          </w:tcPr>
          <w:p>
            <w:pPr>
              <w:spacing w:after="0"/>
              <w:rPr>
                <w:sz w:val="20"/>
                <w:szCs w:val="20"/>
                <w:color w:val="auto"/>
              </w:rPr>
            </w:pPr>
          </w:p>
        </w:tc>
        <w:tc>
          <w:tcPr>
            <w:tcW w:w="2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7,705</w:t>
            </w:r>
          </w:p>
        </w:tc>
        <w:tc>
          <w:tcPr>
            <w:tcW w:w="180" w:type="dxa"/>
            <w:vAlign w:val="bottom"/>
          </w:tcPr>
          <w:p>
            <w:pPr>
              <w:spacing w:after="0"/>
              <w:rPr>
                <w:sz w:val="20"/>
                <w:szCs w:val="20"/>
                <w:color w:val="auto"/>
              </w:rPr>
            </w:pPr>
          </w:p>
        </w:tc>
        <w:tc>
          <w:tcPr>
            <w:tcW w:w="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25,807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-1491615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-1474470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Commencing on November 14, 2022, the Company sublet a portion of its corporate headquarters space in Frisco, Texas to a third party under a two-year sublease term for a monthly base rent of $0.1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Consolidated Statements of Income from the date of the acquisition.</w:t>
      </w:r>
    </w:p>
    <w:p>
      <w:pPr>
        <w:spacing w:after="0" w:line="188"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JourneyCare</w:t>
      </w:r>
    </w:p>
    <w:p>
      <w:pPr>
        <w:spacing w:after="0" w:line="225" w:lineRule="exact"/>
        <w:rPr>
          <w:sz w:val="20"/>
          <w:szCs w:val="20"/>
          <w:color w:val="auto"/>
        </w:rPr>
      </w:pPr>
    </w:p>
    <w:p>
      <w:pPr>
        <w:ind w:right="460" w:firstLine="450"/>
        <w:spacing w:after="0" w:line="263" w:lineRule="auto"/>
        <w:rPr>
          <w:sz w:val="20"/>
          <w:szCs w:val="20"/>
          <w:color w:val="auto"/>
        </w:rPr>
      </w:pPr>
      <w:r>
        <w:rPr>
          <w:rFonts w:ascii="Arial" w:cs="Arial" w:eastAsia="Arial" w:hAnsi="Arial"/>
          <w:sz w:val="18"/>
          <w:szCs w:val="18"/>
          <w:color w:val="auto"/>
        </w:rPr>
        <w:t>On February 1, 2022, the Company completed the acquisition of the hospice and palliative operations of JourneyCare Inc. (“JourneyCare”). The purchase price was approximately $86.6 million, including the amount of acquired excess cash held by JourneyCare at the closing of the acquisition (approximately $0.4 million) plus the finalization of net working capital payable to seller</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$1.6 million. The JourneyCare acquisition was funded with a combination of a $35.0 million draw on the Company’s revolving credit facility and available cash. With the JourneyCare acquisition, the Company expanded its hospice services in the state of Illinois. The related acquisition and integration costs were $0.5 million and $4.3 million, respectively, for the year ended December 31, 2022. These costs are included in general and administrative expenses on the Consolidated Statements of Income and were expensed as incurred.</w:t>
      </w:r>
    </w:p>
    <w:p>
      <w:pPr>
        <w:spacing w:after="0" w:line="18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Total</w:t>
            </w:r>
          </w:p>
        </w:tc>
      </w:tr>
      <w:tr>
        <w:trPr>
          <w:trHeight w:val="185"/>
        </w:trPr>
        <w:tc>
          <w:tcPr>
            <w:tcW w:w="9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3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69,446</w:t>
            </w:r>
          </w:p>
        </w:tc>
        <w:tc>
          <w:tcPr>
            <w:tcW w:w="100" w:type="dxa"/>
            <w:vAlign w:val="bottom"/>
            <w:shd w:val="clear" w:color="auto" w:fill="CFF0FC"/>
          </w:tcPr>
          <w:p>
            <w:pPr>
              <w:spacing w:after="0"/>
              <w:rPr>
                <w:sz w:val="20"/>
                <w:szCs w:val="20"/>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Operating lease assets, net</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(5,002 )</w:t>
            </w: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w:t>
            </w:r>
          </w:p>
        </w:tc>
        <w:tc>
          <w:tcPr>
            <w:tcW w:w="16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(1,511 )</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(3,537 )</w:t>
            </w: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right="40" w:firstLine="562"/>
        <w:spacing w:after="0" w:line="279" w:lineRule="auto"/>
        <w:rPr>
          <w:sz w:val="20"/>
          <w:szCs w:val="20"/>
          <w:color w:val="auto"/>
        </w:rPr>
      </w:pPr>
      <w:r>
        <w:rPr>
          <w:rFonts w:ascii="Arial" w:cs="Arial" w:eastAsia="Arial" w:hAnsi="Arial"/>
          <w:sz w:val="17"/>
          <w:szCs w:val="17"/>
          <w:color w:val="auto"/>
        </w:rPr>
        <w:t>Identifiable intangible assets acquired included $9.0 million in a trade name and $4.8 million of indefinite-lived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98" w:lineRule="exact"/>
        <w:rPr>
          <w:sz w:val="20"/>
          <w:szCs w:val="20"/>
          <w:color w:val="auto"/>
        </w:rPr>
      </w:pPr>
    </w:p>
    <w:p>
      <w:pPr>
        <w:ind w:right="760" w:firstLine="509"/>
        <w:spacing w:after="0" w:line="277" w:lineRule="auto"/>
        <w:rPr>
          <w:sz w:val="20"/>
          <w:szCs w:val="20"/>
          <w:color w:val="auto"/>
        </w:rPr>
      </w:pPr>
      <w:r>
        <w:rPr>
          <w:rFonts w:ascii="Arial" w:cs="Arial" w:eastAsia="Arial" w:hAnsi="Arial"/>
          <w:sz w:val="18"/>
          <w:szCs w:val="18"/>
          <w:color w:val="auto"/>
        </w:rPr>
        <w:t>JourneyCare accounted for $47.2 million and $9.1 million of the Company’s net service revenues and operating income for the year ended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E2E2E"/>
        </w:rPr>
        <w:t>Armada Skilled Homecare</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On August 1, 2021, we completed the acquisition of Armada Skilled Homecare of New Mexico LLC, Armada Hospice of New Mexico LLC and Armada Hospice of Santa Fe LLC (collectively, “Armada”) for approximately $29.7 million, including the amount of acquired excess cash held by Armada at the closing of the acquisition (approximately $0.7 million). The purchase of Armada was funded with the Company’s revolving credit facility. With the purchase of Armada, the Company expanded its home health and hospice services in the state of New Mexico. The related acquisition and integration costs were $0.4 million and $0.5 million, respectively, for the year ended December 31, 2021. These costs are included in general and administrative expenses on the Consolidated Statements of Income and were expensed as incurred.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acquired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9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85"/>
        </w:trPr>
        <w:tc>
          <w:tcPr>
            <w:tcW w:w="9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Thousands)</w:t>
            </w: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28,287</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Cash</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(361 )</w:t>
            </w:r>
          </w:p>
        </w:tc>
      </w:tr>
      <w:tr>
        <w:trPr>
          <w:trHeight w:val="276"/>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Identifiable intangible assets acquired included $0.6 million of non-competition agreements with estimated useful lives of five years and $0.4 million of indefinite-lived state licenses. The estimated fair value of identifiable intangible assets was determined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8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Queen City Hospice</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On December 4, 2020, we completed the acquisition of Queen City Hospice, LLC and its affiliate Miracle City Hospice, LLC (together “Queen City Hospice”). The purchase price was approximately $194.8 million, including the amount of acquired excess cash held by Queen City Hospice at the closing of the acquisition (approximately $15.4 million). The purchase of Queen City Hospice was funded with the Company’s revolving credit facility and available cash. With the purchase of Queen City Hospice, the Company expanded its hospice services in the state of Ohio. The related acquisition costs were $1.8 million for the year ended December 31, 2021. For the year ended December 31, 2021, integration costs were $2.2 million. These costs are included in general and administrative expenses on the Consolidated Statements of Income and were expensed as incurred.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85"/>
        </w:trPr>
        <w:tc>
          <w:tcPr>
            <w:tcW w:w="9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Thousands)</w:t>
            </w:r>
          </w:p>
        </w:tc>
      </w:tr>
      <w:tr>
        <w:trPr>
          <w:trHeight w:val="23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169,338</w:t>
            </w:r>
          </w:p>
        </w:tc>
        <w:tc>
          <w:tcPr>
            <w:tcW w:w="100" w:type="dxa"/>
            <w:vAlign w:val="bottom"/>
            <w:shd w:val="clear" w:color="auto" w:fill="CFF0FC"/>
          </w:tcPr>
          <w:p>
            <w:pPr>
              <w:spacing w:after="0"/>
              <w:rPr>
                <w:sz w:val="20"/>
                <w:szCs w:val="20"/>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Operating lease assets, net</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(2,285 )</w:t>
            </w: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w:t>
            </w:r>
          </w:p>
        </w:tc>
        <w:tc>
          <w:tcPr>
            <w:tcW w:w="3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(1,555 )</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(528 )</w:t>
            </w: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Government stimulus advances</w:t>
            </w:r>
          </w:p>
        </w:tc>
        <w:tc>
          <w:tcPr>
            <w:tcW w:w="3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(12,694 )</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(2,765 )</w:t>
            </w: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Identifiable intangible assets acquired included $11.0 million in trade names, $1.5 million of non-competition agreements with estimated useful lives of fifteen years and five years, respectively, and $7.5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County Homemakers</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On November 1, 2020, we completed the acquisition of County Homemakers. The purchase price was approximately $15.8 million, including the amount of acquired excess cash held by County Homemakers at the closing of the acquisition (approximately $1.1 million). The purchase of County Homemakers was funded with the Company’s available cash. With the purchase of County Homemakers, the Company expanded its personal care services in the state of Pennsylvania. The related integration and acquisition costs were $0.2 million and $0.3 million for the year ended December 31, 2020, respectively. These costs are included in general and administrative expenses on the Consolidated Statements of Income and were expensed as incurred.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85"/>
        </w:trPr>
        <w:tc>
          <w:tcPr>
            <w:tcW w:w="9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Thousands)</w:t>
            </w:r>
          </w:p>
        </w:tc>
      </w:tr>
      <w:tr>
        <w:trPr>
          <w:trHeight w:val="23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shd w:val="clear" w:color="auto" w:fill="CFF0FC"/>
          </w:tcPr>
          <w:p>
            <w:pPr>
              <w:spacing w:after="0"/>
              <w:rPr>
                <w:sz w:val="20"/>
                <w:szCs w:val="20"/>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Operating lease assets, net</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(85 )</w:t>
            </w: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w:t>
            </w:r>
          </w:p>
        </w:tc>
        <w:tc>
          <w:tcPr>
            <w:tcW w:w="3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(586 )</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r>
      <w:tr>
        <w:trPr>
          <w:trHeight w:val="24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(485 )</w:t>
            </w:r>
          </w:p>
        </w:tc>
      </w:tr>
      <w:tr>
        <w:trPr>
          <w:trHeight w:val="236"/>
        </w:trPr>
        <w:tc>
          <w:tcPr>
            <w:tcW w:w="9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purchase price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Borders>
              <w:top w:val="single" w:sz="8" w:color="CFF0FC"/>
            </w:tcBorders>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3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Identifiable intangible assets acquired included approximately $0.3 million in state licenses and $0.1 million in trade names with estimated useful lives of eight years and one year, respectively.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Plus Health Care</w:t>
      </w:r>
    </w:p>
    <w:p>
      <w:pPr>
        <w:spacing w:after="0" w:line="11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On July 1, 2020, we completed the acquisition of A Plus Health Care, Inc. (“A Plus”). The purchase price was approximately $14.5 million, including the amount of acquired excess cash held by A Plus at the closing of the acquisition (approximately $2.8 million). The purchase of A Plus was funded with the Company’s available cash. With the purchase of A Plus, the Company expanded its personal care services in the state of Montana. The related acquisition and integration costs were $0.4 million and $0.3 million, respectively, for the year ended December 31, 2020. These costs are included in general and administrative expenses on the Consolidated Statements of Income and were expensed as incurred.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9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85"/>
        </w:trPr>
        <w:tc>
          <w:tcPr>
            <w:tcW w:w="9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Thousands)</w:t>
            </w:r>
          </w:p>
        </w:tc>
      </w:tr>
      <w:tr>
        <w:trPr>
          <w:trHeight w:val="23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9,732</w:t>
            </w:r>
          </w:p>
        </w:tc>
        <w:tc>
          <w:tcPr>
            <w:tcW w:w="100" w:type="dxa"/>
            <w:vAlign w:val="bottom"/>
            <w:shd w:val="clear" w:color="auto" w:fill="CFF0FC"/>
          </w:tcPr>
          <w:p>
            <w:pPr>
              <w:spacing w:after="0"/>
              <w:rPr>
                <w:sz w:val="20"/>
                <w:szCs w:val="20"/>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 net</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21"/>
                <w:szCs w:val="21"/>
                <w:color w:val="auto"/>
              </w:rPr>
            </w:pP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(34 )</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(275 )</w:t>
            </w:r>
          </w:p>
        </w:tc>
      </w:tr>
      <w:tr>
        <w:trPr>
          <w:trHeight w:val="24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(353 )</w:t>
            </w:r>
          </w:p>
        </w:tc>
      </w:tr>
      <w:tr>
        <w:trPr>
          <w:trHeight w:val="237"/>
        </w:trPr>
        <w:tc>
          <w:tcPr>
            <w:tcW w:w="92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r>
        <w:trPr>
          <w:trHeight w:val="276"/>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Identifiable intangible assets acquired included $1.4 million in trade names with an estimated useful life of fifteen years.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On October 1, 2022, we completed the acquisition of Apple Home HealthCare LTD (“Apple Home”) for approximately $12.7 million, with funding provided by drawing on the Company’s revolving credit facility. In addition to the initial consideration, the total purchase price also includes potential additional contingent consideration to the previous owners of Apple Home of up to approximately $2 million. The contingent consideration will vary based upon performance relative to certain agreed upon earnings targets in 2022 and 2023. With the purchase of Apple Home, the Company expanded clinical services for its home health segment in Illinois and recorded goodwill of $8.9 million.</w:t>
      </w:r>
    </w:p>
    <w:p>
      <w:pPr>
        <w:spacing w:after="0" w:line="6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On October 1, 2021, we completed the acquisition of Summit Home Health, LLC (“Summit”) for approximately $8.1 million, with funding provided by available cash. With the purchase of Summit, we added clinical services to our home health segment in Illinois and recorded goodwill of $6.5 million.</w:t>
      </w:r>
    </w:p>
    <w:p>
      <w:pPr>
        <w:spacing w:after="0" w:line="184" w:lineRule="exact"/>
        <w:rPr>
          <w:sz w:val="20"/>
          <w:szCs w:val="20"/>
          <w:color w:val="auto"/>
        </w:rPr>
      </w:pPr>
    </w:p>
    <w:p>
      <w:pPr>
        <w:ind w:right="280" w:firstLine="509"/>
        <w:spacing w:after="0" w:line="275" w:lineRule="auto"/>
        <w:rPr>
          <w:sz w:val="20"/>
          <w:szCs w:val="20"/>
          <w:color w:val="auto"/>
        </w:rPr>
      </w:pPr>
      <w:r>
        <w:rPr>
          <w:rFonts w:ascii="Arial" w:cs="Arial" w:eastAsia="Arial" w:hAnsi="Arial"/>
          <w:sz w:val="17"/>
          <w:szCs w:val="17"/>
          <w:color w:val="auto"/>
        </w:rPr>
        <w:t>For the year ended December 31, 2022, the following table contains unaudited pro forma Consolidated Income Statement information of the Company as if the acquisition of JourneyCare closed on January 1, 2021. For the year ended December 31, 2021, the following table contains unaudited pro forma Consolidated Income Statement information of the Company as if the acquisition of Armada closed on January 1, 2020. For the year ended December 31, 2020, the following table contains unaudited pro forma Consolidated Income Statement information of the Company as if each of the acquisitions of Queen City Hospice, A Plus and County Homemakers closed on January 1, 2020.</w:t>
      </w:r>
    </w:p>
    <w:p>
      <w:pPr>
        <w:spacing w:after="0" w:line="181"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For the Years Ended December 31,</w:t>
      </w:r>
    </w:p>
    <w:p>
      <w:pPr>
        <w:spacing w:after="0" w:line="4"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(Amounts in Thousands, 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956,333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936,601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831,290</w:t>
            </w: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45,555</w:t>
            </w:r>
          </w:p>
        </w:tc>
        <w:tc>
          <w:tcPr>
            <w:tcW w:w="100" w:type="dxa"/>
            <w:vAlign w:val="bottom"/>
          </w:tcPr>
          <w:p>
            <w:pPr>
              <w:spacing w:after="0"/>
              <w:rPr>
                <w:sz w:val="20"/>
                <w:szCs w:val="20"/>
                <w:color w:val="auto"/>
              </w:rPr>
            </w:pP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44,959</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47,622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2082800" cy="1797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5">
                      <a:extLst>
                        <a:ext uri="{28A0092B-C50C-407E-A947-70E740481C1C}"/>
                      </a:extLst>
                    </a:blip>
                    <a:srcRect/>
                    <a:stretch>
                      <a:fillRect/>
                    </a:stretch>
                  </pic:blipFill>
                  <pic:spPr bwMode="auto">
                    <a:xfrm>
                      <a:off x="0" y="0"/>
                      <a:ext cx="2082800" cy="1797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(Amounts</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in</w:t>
            </w: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Thousands)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software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19,675</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12,343</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10,746</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5,534</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Transportation equipment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48,492</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38,980</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(27,310 )</w:t>
            </w:r>
          </w:p>
        </w:tc>
        <w:tc>
          <w:tcPr>
            <w:tcW w:w="6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(20,497 )</w:t>
            </w:r>
          </w:p>
        </w:tc>
      </w:tr>
      <w:tr>
        <w:trPr>
          <w:trHeight w:val="237"/>
        </w:trPr>
        <w:tc>
          <w:tcPr>
            <w:tcW w:w="77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21,182</w:t>
            </w:r>
          </w:p>
        </w:tc>
        <w:tc>
          <w:tcPr>
            <w:tcW w:w="28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162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Computer software includes $1.6 million and $1.5 million of internally developed software for the years ended December 31, 2022 and 2021, respectively. Depreciation and amortization expense totaled $6.8 million, $5.9 million and $5.0 million for the years ended December 31, 2022, 2021 and 2020,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goodwill by segment and related adjustments is provided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Goodwill</w:t>
            </w: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Hospice</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Personal Care</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Home Health</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at December 31, 2020</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314,833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152,448</w:t>
            </w: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469,072</w:t>
            </w:r>
          </w:p>
        </w:tc>
        <w:tc>
          <w:tcPr>
            <w:tcW w:w="100" w:type="dxa"/>
            <w:vAlign w:val="bottom"/>
            <w:shd w:val="clear" w:color="auto" w:fill="CFF0FC"/>
          </w:tcPr>
          <w:p>
            <w:pPr>
              <w:spacing w:after="0"/>
              <w:rPr>
                <w:sz w:val="20"/>
                <w:szCs w:val="20"/>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Additions for acquisitions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13,370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21,579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35,064</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Adjustments to previously recorded goodwill</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Goodwill at December 31, 2021</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328,334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152,688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23,370</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504,392</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for acquisitions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69,446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8,910</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78,356</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Adjustments to previously recorded goodwill</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(52 )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r>
      <w:tr>
        <w:trPr>
          <w:trHeight w:val="277"/>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 at December 31, 2022</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397,728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152,688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32,421</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582,837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-659130</wp:posOffset>
            </wp:positionV>
            <wp:extent cx="76835" cy="1631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-659130</wp:posOffset>
            </wp:positionV>
            <wp:extent cx="68580" cy="1631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-659130</wp:posOffset>
            </wp:positionV>
            <wp:extent cx="68580" cy="1631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631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2022, the Company recognized goodwill in the hospice segment of $69.4 million related to the acquisition of JourneyCare and $8.9 million with the acquisition of Apple Home in the home health segment. In connection with the acquisition of Armada in 2021, the Company recognized goodwill in its hospice and home health segments of $13.4 million and $15.0 million, respectively, and $6.5 million with the acquisition of Summit in 2021 in our home health segment.</w:t>
      </w:r>
    </w:p>
    <w:p>
      <w:pPr>
        <w:spacing w:after="0" w:line="18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Goodwill adjustments to previously recorded goodwill are generally related to accounts receivable and accrued expenses based on the final valuations. See Note 3 to the Notes to Consolidated Financial Statements for additional information regarding the acquisitions made by the Company in 2021 and 2022.</w:t>
      </w:r>
    </w:p>
    <w:p>
      <w:pPr>
        <w:spacing w:after="0" w:line="18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Goodwill and certain state licenses are not amortized pursuant to ASC Topic 350.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The Company estimates the fair value of the reporting unit using both a discounted cash flow model as well as a market multiple model. The cash flow forecasts are adjusted by an appropriate discount rate based on the Company’s estimate of a market participant’s weighted-average cost of capital. These models are both based on the Company’s best estimate of future revenues and operating costs and are reconciled to the Company’s consolidated market capitalization, with consideration of the amount a potential acquirer would be required to pay, in the form of a control premium. The determination of fair value in the Company’s goodwill impairment analysis is based on an estimate of fair value for each reporting unit utilizing known and estimated inputs at the evaluation date. Some of those inputs include, but are not limited to, the most recent price of the Company’s common stock and fair value of long term debt, estimates of future revenue and expense growth, estimated market multiples, expected capital expenditures, income tax rates and cost of invested capital. Significant assumptions used in the analysis included a 9.5% discount rate and long-term revenue growth rates that ranged from 3.5% to 7.0%. For the fiscal year 2022 impairment test, the fair value of the reporting units exceeded their respective carrying values (commonly referred to as “headroom”) by at least 100% in the personal care segment, by 75% in the home health segment, and 67% in the hospice segment. The Company did not record any impairment charges for the years ended December 31, 2022, 2021 or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carrying amount and accumulated amortization of each identifiable intangible asset category consisted of the following at December 31,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 referral</w:t>
            </w: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names and</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State Licenses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5"/>
              </w:rPr>
              <w:t>trademarks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agreements</w:t>
            </w:r>
          </w:p>
        </w:tc>
        <w:tc>
          <w:tcPr>
            <w:tcW w:w="120" w:type="dxa"/>
            <w:vAlign w:val="bottom"/>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(38,088 )</w:t>
            </w: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(21,058 )</w:t>
            </w: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(4,785 )</w:t>
            </w:r>
          </w:p>
        </w:tc>
        <w:tc>
          <w:tcPr>
            <w:tcW w:w="2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(7,009 )</w:t>
            </w:r>
          </w:p>
        </w:tc>
        <w:tc>
          <w:tcPr>
            <w:tcW w:w="2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(70,940 )</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6,584</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30,988</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Net balance at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21,124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Gross carrying amount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44,672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amortization</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(36,342 )</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(18,494 )</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(3,831 )</w:t>
            </w:r>
          </w:p>
        </w:tc>
        <w:tc>
          <w:tcPr>
            <w:tcW w:w="2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(5,027 )</w:t>
            </w: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(63,694 )</w:t>
            </w:r>
          </w:p>
        </w:tc>
        <w:tc>
          <w:tcPr>
            <w:tcW w:w="0" w:type="dxa"/>
            <w:vAlign w:val="bottom"/>
          </w:tcPr>
          <w:p>
            <w:pPr>
              <w:spacing w:after="0"/>
              <w:rPr>
                <w:sz w:val="1"/>
                <w:szCs w:val="1"/>
                <w:color w:val="auto"/>
              </w:rPr>
            </w:pPr>
          </w:p>
        </w:tc>
      </w:tr>
      <w:tr>
        <w:trPr>
          <w:trHeight w:val="237"/>
        </w:trPr>
        <w:tc>
          <w:tcPr>
            <w:tcW w:w="5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24,432</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balance at December 31, 2021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24,432</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28,605</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-1962150</wp:posOffset>
            </wp:positionV>
            <wp:extent cx="77470" cy="162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-1962150</wp:posOffset>
            </wp:positionV>
            <wp:extent cx="77470" cy="162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-1962150</wp:posOffset>
            </wp:positionV>
            <wp:extent cx="68580" cy="162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-1962150</wp:posOffset>
            </wp:positionV>
            <wp:extent cx="68580" cy="1625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625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-1328420</wp:posOffset>
            </wp:positionV>
            <wp:extent cx="77470" cy="1885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-1328420</wp:posOffset>
            </wp:positionV>
            <wp:extent cx="77470" cy="1885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-1328420</wp:posOffset>
            </wp:positionV>
            <wp:extent cx="68580" cy="1885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-1328420</wp:posOffset>
            </wp:positionV>
            <wp:extent cx="68580" cy="1885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18859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-985520</wp:posOffset>
            </wp:positionV>
            <wp:extent cx="77470" cy="1714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-985520</wp:posOffset>
            </wp:positionV>
            <wp:extent cx="77470" cy="1714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-985520</wp:posOffset>
            </wp:positionV>
            <wp:extent cx="68580" cy="1714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-985520</wp:posOffset>
            </wp:positionV>
            <wp:extent cx="68580" cy="1714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714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-350520</wp:posOffset>
            </wp:positionV>
            <wp:extent cx="77470" cy="1714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-350520</wp:posOffset>
            </wp:positionV>
            <wp:extent cx="77470" cy="1714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-350520</wp:posOffset>
            </wp:positionV>
            <wp:extent cx="68580" cy="1714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-350520</wp:posOffset>
            </wp:positionV>
            <wp:extent cx="68580" cy="1714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774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During the year ended December 31, 2022, the Company acquired indefinite-lived state licenses and trade names of $4.8 million and $9.0 million, respectively, related to the acquisition of JourneyCare. During the year ended December 31, 2022, the Company acquired indefinite lived state licenses and trade names of $1.2 million and $0.1 million, respectively, related to the acquisition of Apple Home.</w:t>
      </w:r>
    </w:p>
    <w:p>
      <w:pPr>
        <w:spacing w:after="0" w:line="184"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During the year ended December 31, 2021, the Company acquired indefinite lived state licenses and non-competition agreements of $0.4 million and $0.6 million, respectively, related to the acquisition of Armada.</w:t>
      </w:r>
    </w:p>
    <w:p>
      <w:pPr>
        <w:spacing w:after="0" w:line="170"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Amortization expense related to the identifiable intangible assets amounted to $7.2 million, $8.5 million and $7.1 million for the years ended December 31, 2022, 2021 and 2020,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useful life of identifiable intangible assets as of December 31, 2022 is 9.8 years.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intangible amortization expense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jc w:val="right"/>
              <w:ind w:right="77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jc w:val="right"/>
              <w:ind w:right="575"/>
              <w:spacing w:after="0" w:line="149" w:lineRule="exact"/>
              <w:rPr>
                <w:sz w:val="20"/>
                <w:szCs w:val="20"/>
                <w:color w:val="auto"/>
              </w:rPr>
            </w:pPr>
            <w:r>
              <w:rPr>
                <w:rFonts w:ascii="Arial" w:cs="Arial" w:eastAsia="Arial" w:hAnsi="Arial"/>
                <w:sz w:val="14"/>
                <w:szCs w:val="14"/>
                <w:b w:val="1"/>
                <w:bCs w:val="1"/>
                <w:color w:val="auto"/>
              </w:rPr>
              <w:t>(Amount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2024</w:t>
            </w: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2026</w:t>
            </w: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474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45,080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4400" w:type="dxa"/>
            <w:vAlign w:val="bottom"/>
          </w:tcPr>
          <w:p>
            <w:pPr>
              <w:spacing w:after="0"/>
              <w:rPr>
                <w:sz w:val="24"/>
                <w:szCs w:val="24"/>
                <w:color w:val="auto"/>
              </w:rPr>
            </w:pPr>
          </w:p>
        </w:tc>
        <w:tc>
          <w:tcPr>
            <w:tcW w:w="5100" w:type="dxa"/>
            <w:vAlign w:val="bottom"/>
            <w:gridSpan w:val="3"/>
          </w:tcPr>
          <w:p>
            <w:pPr>
              <w:jc w:val="right"/>
              <w:ind w:right="3610"/>
              <w:spacing w:after="0"/>
              <w:rPr>
                <w:sz w:val="20"/>
                <w:szCs w:val="20"/>
                <w:color w:val="auto"/>
              </w:rPr>
            </w:pPr>
            <w:r>
              <w:rPr>
                <w:rFonts w:ascii="Arial" w:cs="Arial" w:eastAsia="Arial" w:hAnsi="Arial"/>
                <w:sz w:val="18"/>
                <w:szCs w:val="18"/>
                <w:color w:val="auto"/>
              </w:rPr>
              <w:t>F-21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(Amounts</w:t>
            </w: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Thousands)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receivable</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Prepaid payroll</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workers’ compensation and liability insurance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Workers’ compensation insurance receivable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17,345</w:t>
            </w: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20"/>
              <w:spacing w:after="0"/>
              <w:rPr>
                <w:sz w:val="20"/>
                <w:szCs w:val="20"/>
                <w:color w:val="auto"/>
              </w:rPr>
            </w:pPr>
            <w:r>
              <w:rPr>
                <w:rFonts w:ascii="Arial" w:cs="Arial" w:eastAsia="Arial" w:hAnsi="Arial"/>
                <w:sz w:val="18"/>
                <w:szCs w:val="18"/>
                <w:color w:val="auto"/>
              </w:rPr>
              <w:t>Accrued expenses consisted of the following:</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(Amounts</w:t>
            </w: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Thousands)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9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Payor advances </w:t>
            </w:r>
            <w:r>
              <w:rPr>
                <w:rFonts w:ascii="Arial" w:cs="Arial" w:eastAsia="Arial" w:hAnsi="Arial"/>
                <w:sz w:val="24"/>
                <w:szCs w:val="24"/>
                <w:color w:val="auto"/>
                <w:vertAlign w:val="superscript"/>
              </w:rPr>
              <w:t>(1)</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health insurance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taxes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94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38,308</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-2091055</wp:posOffset>
            </wp:positionV>
            <wp:extent cx="68580" cy="1885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1885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6278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19" w:lineRule="exact"/>
        <w:rPr>
          <w:sz w:val="20"/>
          <w:szCs w:val="20"/>
          <w:color w:val="auto"/>
        </w:rPr>
      </w:pPr>
    </w:p>
    <w:p>
      <w:pPr>
        <w:ind w:left="520" w:right="100" w:hanging="512"/>
        <w:spacing w:after="0" w:line="369"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(Amounts</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in</w:t>
            </w: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Thousands)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loan under the credit facility</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134,853</w:t>
            </w: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224,853</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Term loan under the credit facility</w:t>
            </w:r>
          </w:p>
        </w:tc>
        <w:tc>
          <w:tcPr>
            <w:tcW w:w="940" w:type="dxa"/>
            <w:vAlign w:val="bottom"/>
          </w:tcPr>
          <w:p>
            <w:pPr>
              <w:spacing w:after="0"/>
              <w:rPr>
                <w:sz w:val="20"/>
                <w:szCs w:val="20"/>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unamortized issuance costs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(3,081 )</w:t>
            </w:r>
          </w:p>
        </w:tc>
        <w:tc>
          <w:tcPr>
            <w:tcW w:w="6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(3,941 )</w:t>
            </w:r>
          </w:p>
        </w:tc>
      </w:tr>
      <w:tr>
        <w:trPr>
          <w:trHeight w:val="236"/>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131,772</w:t>
            </w:r>
          </w:p>
        </w:tc>
        <w:tc>
          <w:tcPr>
            <w:tcW w:w="28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220,912</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current maturities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Long-term debt</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131,772</w:t>
            </w:r>
          </w:p>
        </w:tc>
        <w:tc>
          <w:tcPr>
            <w:tcW w:w="28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220,912</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1625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On October 31, 2018, the Company entered into the Amended and Restated Credit Agreement, dated as of October 31, 2018, with certain lenders and Capital One, National Association, as a lender and as agent for all lenders, as amended by the First Amendment to Amended and Restated Credit Agreement, dated as of September 12, 2019, and as further amended by the Second Amendment to Amended and Restated Credit Agreement, dated as of July 30, 2021 (as amended, the “Credit Agreement”; as used throughout this Annual Report on Form 10-K, “credit facility” shall mean the credit facility evidenced by the Credit Agreement). The credit facility consists of a $600.0 million revolving credit facility and a $125.0 million incremental loan facility, which incremental loan facility may be for term loans or an increase to the revolving loan commitments. The maturity of this credit facility is July 30, 2026. 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192"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6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credit facility.</w:t>
      </w:r>
    </w:p>
    <w:p>
      <w:pPr>
        <w:spacing w:after="0" w:line="170"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December 31, 2022, the Company was in compliance with all financial covenants under the Credit Agreement.</w:t>
      </w:r>
    </w:p>
    <w:p>
      <w:pPr>
        <w:spacing w:after="0" w:line="16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drew approximately $47.0 million under its credit facility to fund, in part, the JourneyCare and Apple Home acquisitions. At December 31, 2022, the Company had a total of $134.9 million of revolving loans, with an interest rate of 6.13%, outstanding on its credit facility. After giving effect to the amount drawn on its credit facility, approximately $8.2 million of outstanding letters of credit and borrowing limits based on an advance multiple of Adjusted EBITDA (as defined in the Credit Agreement), the Company had $380.2 million of capacity and $237.2 million available for borrowing under its credit facility.</w:t>
      </w:r>
    </w:p>
    <w:p>
      <w:pPr>
        <w:spacing w:after="0" w:line="18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Company drew approximately $29.0 million under its credit facility to fund the acquisition of Armada on August 1, 2021. At December 31, 2021, the Company had a total of $224.9 million of revolving loans, with an interest rate of 2.10%, outstanding on its credit facility. After giving effect to the amount drawn on its credit facility, approximately $8.2 million of outstanding letters of credit and borrowing limits based on an advance multiple of Adjusted EBITDA (as defined in the Credit Agreement), the Company had $376.6 million of capacity and $143.6 million available for borrowing under its credit facility.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current and deferred federal and state income tax provision from continuing operations, are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80" w:type="dxa"/>
            <w:vAlign w:val="bottom"/>
            <w:gridSpan w:val="6"/>
          </w:tcPr>
          <w:p>
            <w:pPr>
              <w:jc w:val="center"/>
              <w:ind w:left="93"/>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(Amounts in Thousands)</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8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Federal</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7,075</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4,603</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Deferred</w:t>
            </w: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(3,690 )</w:t>
            </w:r>
          </w:p>
        </w:tc>
      </w:tr>
      <w:tr>
        <w:trPr>
          <w:trHeight w:val="237"/>
        </w:trPr>
        <w:tc>
          <w:tcPr>
            <w:tcW w:w="6640" w:type="dxa"/>
            <w:vAlign w:val="bottom"/>
          </w:tcPr>
          <w:p>
            <w:pPr>
              <w:ind w:left="200"/>
              <w:spacing w:after="0"/>
              <w:rPr>
                <w:sz w:val="20"/>
                <w:szCs w:val="20"/>
                <w:color w:val="auto"/>
              </w:rPr>
            </w:pPr>
            <w:r>
              <w:rPr>
                <w:rFonts w:ascii="Arial" w:cs="Arial" w:eastAsia="Arial" w:hAnsi="Arial"/>
                <w:sz w:val="18"/>
                <w:szCs w:val="18"/>
                <w:color w:val="auto"/>
              </w:rPr>
              <w:t>State</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(1,043 )</w:t>
            </w:r>
          </w:p>
        </w:tc>
      </w:tr>
      <w:tr>
        <w:trPr>
          <w:trHeight w:val="27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82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14,146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15,272</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The tax effects of certain temporary differences between the Company’s book and tax bases of assets and liabilities give rise to significant portions of the deferred income tax assets (liabilities) at December 31, 2022 and 2021. The deferred tax assets (liabilities)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0"/>
              </w:rPr>
              <w:t>(Amounts in Thousands)</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Long-term</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 allowances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11,623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compensation</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Accrued workers’ compensation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Transaction costs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Government stimulus advances</w:t>
            </w:r>
          </w:p>
        </w:tc>
        <w:tc>
          <w:tcPr>
            <w:tcW w:w="94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Restructuring costs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Total long-term deferred tax assets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38,230</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Long-term</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Goodwill and intangible assets</w:t>
            </w:r>
          </w:p>
        </w:tc>
        <w:tc>
          <w:tcPr>
            <w:tcW w:w="9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(34,310 )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(26,097 )</w:t>
            </w: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Operating lease assets, net</w:t>
            </w:r>
          </w:p>
        </w:tc>
        <w:tc>
          <w:tcPr>
            <w:tcW w:w="9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(10,323 )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(9,571 )</w:t>
            </w: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(3,123 )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(3,415 )</w:t>
            </w: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Insurance premiums</w:t>
            </w:r>
          </w:p>
        </w:tc>
        <w:tc>
          <w:tcPr>
            <w:tcW w:w="9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(916 )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(876 )</w:t>
            </w:r>
          </w:p>
        </w:tc>
      </w:tr>
      <w:tr>
        <w:trPr>
          <w:trHeight w:val="237"/>
        </w:trPr>
        <w:tc>
          <w:tcPr>
            <w:tcW w:w="772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long-term deferred tax liabilities</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(48,672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(39,959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20" w:type="dxa"/>
            <w:vAlign w:val="bottom"/>
          </w:tcPr>
          <w:p>
            <w:pPr>
              <w:ind w:left="200"/>
              <w:spacing w:after="0"/>
              <w:rPr>
                <w:sz w:val="20"/>
                <w:szCs w:val="20"/>
                <w:color w:val="auto"/>
              </w:rPr>
            </w:pPr>
            <w:r>
              <w:rPr>
                <w:rFonts w:ascii="Arial" w:cs="Arial" w:eastAsia="Arial" w:hAnsi="Arial"/>
                <w:sz w:val="18"/>
                <w:szCs w:val="18"/>
                <w:color w:val="auto"/>
              </w:rPr>
              <w:t>Total net deferred tax (liabilities) assets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(5,710 )</w:t>
            </w:r>
          </w:p>
        </w:tc>
        <w:tc>
          <w:tcPr>
            <w:tcW w:w="160" w:type="dxa"/>
            <w:vAlign w:val="bottom"/>
          </w:tcPr>
          <w:p>
            <w:pPr>
              <w:spacing w:after="0"/>
              <w:rPr>
                <w:sz w:val="20"/>
                <w:szCs w:val="20"/>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(1,729 )</w:t>
            </w: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-1439545</wp:posOffset>
            </wp:positionV>
            <wp:extent cx="68580" cy="1625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1625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7145020" cy="3644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4">
                      <a:extLst>
                        <a:ext uri="{28A0092B-C50C-407E-A947-70E740481C1C}"/>
                      </a:extLst>
                    </a:blip>
                    <a:srcRect/>
                    <a:stretch>
                      <a:fillRect/>
                    </a:stretch>
                  </pic:blipFill>
                  <pic:spPr bwMode="auto">
                    <a:xfrm>
                      <a:off x="0" y="0"/>
                      <a:ext cx="7145020" cy="364490"/>
                    </a:xfrm>
                    <a:prstGeom prst="rect">
                      <a:avLst/>
                    </a:prstGeom>
                    <a:noFill/>
                  </pic:spPr>
                </pic:pic>
              </a:graphicData>
            </a:graphic>
          </wp:anchor>
        </w:drawing>
      </w:r>
    </w:p>
    <w:p>
      <w:pPr>
        <w:spacing w:after="0" w:line="209" w:lineRule="exact"/>
        <w:rPr>
          <w:sz w:val="20"/>
          <w:szCs w:val="20"/>
          <w:color w:val="auto"/>
        </w:rPr>
      </w:pPr>
    </w:p>
    <w:p>
      <w:pPr>
        <w:jc w:val="both"/>
        <w:ind w:right="600" w:firstLine="509"/>
        <w:spacing w:after="0" w:line="263" w:lineRule="auto"/>
        <w:rPr>
          <w:sz w:val="20"/>
          <w:szCs w:val="20"/>
          <w:color w:val="auto"/>
        </w:rPr>
      </w:pPr>
      <w:r>
        <w:rPr>
          <w:rFonts w:ascii="Arial" w:cs="Arial" w:eastAsia="Arial" w:hAnsi="Arial"/>
          <w:sz w:val="18"/>
          <w:szCs w:val="18"/>
          <w:color w:val="auto"/>
        </w:rPr>
        <w:t>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all available evidence in making this assessment.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reconciliation for continuing operations of the statutory federal tax rate of 21.0% to the effective income tax rate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6400" w:type="dxa"/>
            <w:vAlign w:val="bottom"/>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income tax at statutory rate</w:t>
            </w: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State and local taxes, net of federal benefit</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162(m) disallowance for executive compensation</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Nondeductible penalties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Excess tax benefit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(0.4 )</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(2.0 )</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(5.6 )</w:t>
            </w:r>
          </w:p>
        </w:tc>
        <w:tc>
          <w:tcPr>
            <w:tcW w:w="20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Jobs tax credits, net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(5.1 )</w:t>
            </w:r>
          </w:p>
        </w:tc>
        <w:tc>
          <w:tcPr>
            <w:tcW w:w="3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(4.1 )</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(5.1 )</w:t>
            </w:r>
          </w:p>
        </w:tc>
        <w:tc>
          <w:tcPr>
            <w:tcW w:w="200" w:type="dxa"/>
            <w:vAlign w:val="bottom"/>
          </w:tcPr>
          <w:p>
            <w:pPr>
              <w:spacing w:after="0"/>
              <w:rPr>
                <w:sz w:val="20"/>
                <w:szCs w:val="20"/>
                <w:color w:val="auto"/>
              </w:rPr>
            </w:pPr>
          </w:p>
        </w:tc>
      </w:tr>
      <w:tr>
        <w:trPr>
          <w:trHeight w:val="249"/>
        </w:trPr>
        <w:tc>
          <w:tcPr>
            <w:tcW w:w="7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Nondeductible permanent items</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Federal/state return to provision</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c>
          <w:tcPr>
            <w:tcW w:w="3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20"/>
                <w:szCs w:val="20"/>
                <w:color w:val="auto"/>
              </w:rPr>
            </w:pPr>
          </w:p>
        </w:tc>
      </w:tr>
      <w:tr>
        <w:trPr>
          <w:trHeight w:val="243"/>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(0.1 )</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(0.1 )</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(0.1 )</w:t>
            </w:r>
          </w:p>
        </w:tc>
        <w:tc>
          <w:tcPr>
            <w:tcW w:w="200" w:type="dxa"/>
            <w:vAlign w:val="bottom"/>
            <w:shd w:val="clear" w:color="auto" w:fill="CFF0FC"/>
          </w:tcPr>
          <w:p>
            <w:pPr>
              <w:spacing w:after="0"/>
              <w:rPr>
                <w:sz w:val="21"/>
                <w:szCs w:val="21"/>
                <w:color w:val="auto"/>
              </w:rPr>
            </w:pPr>
          </w:p>
        </w:tc>
      </w:tr>
      <w:tr>
        <w:trPr>
          <w:trHeight w:val="243"/>
        </w:trPr>
        <w:tc>
          <w:tcPr>
            <w:tcW w:w="64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Effective income tax rate</w:t>
            </w:r>
          </w:p>
        </w:tc>
        <w:tc>
          <w:tcPr>
            <w:tcW w:w="8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77470" cy="1885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-187960</wp:posOffset>
            </wp:positionV>
            <wp:extent cx="68580" cy="1885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effective income tax rate was 23.5%, 25.2% and 21.0% for the years ended December 31, 2022, 2021 and 2020, respectively. The difference between our federal statutory and effective income tax rates is principally due to the inclusion of state taxes and non-deductible compensation, offset by an excess tax benefit and the use of federal employment tax credits. The excess tax benefit is a discrete item, primarily related to the vesting of equity shares, which requires the Company to recognize the benefit fully in the period.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is subject to taxation in the jurisdictions in which it operates. The Company continues to remain subject to examination by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authorities for the years 2019 through 2021 and for various state authorities for the years 2017 through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Options and Restricted Stock Awards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Board approved the 2017 Omnibus Incentive Plan (“the 2017 Plan”) as of April 27, 2017, which was approved by our shareholders on June 14, 2017. The 2017 Plan was intended to replace our existing incentive compensation plan, the 2009 Stock Incentive Plan (“the 2009 Plan”). All awards are now granted from the 2017 Plan. Outstanding awards under the 2009 Plan will continue to be governed by the 2009 Plan and the agreements under which they were granted.</w:t>
      </w:r>
    </w:p>
    <w:p>
      <w:pPr>
        <w:spacing w:after="0" w:line="18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2017 Plan allows us to grant performance-based incentive awards and equity-based awards (each an “Award”) to eligible employees, directors and consultants in the form of Stock Options, Stock Appreciation Rights, Restricted Stock, Deferred Stock Units/Restricted Stock Units, Other Stock Units or Performance Awards. The Company’s Board believes that the 2017 Plan is necessary to continue the Company’s effectiveness in attracting, motivating and retaining employees, directors and consultants with appropriate experience and to increase the grantees’ alignment of interest with the Company’s shareholders.</w:t>
      </w:r>
    </w:p>
    <w:p>
      <w:pPr>
        <w:spacing w:after="0" w:line="18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Under the 2017 Plan, Awards may be made in shares of our common stock. Subject to adjustment as provided by the terms of the 2017 Plan, the maximum aggregate number of shares of common stock with respect to which awards may be granted under the 2017 Plan will be 1,182,270, less the number of shares subject to awards that are granted pursuant to the 2009 Plan after March 31, 2017. The aggregate awards granted during any calendar year to any single Participant cannot exceed (i) 500,000 shares subject to stock options or stock appreciation rights (“SARs”) or (ii) 300,000 shares subject to Awards denominated in shares of common stock (whether or not settled in common stock). These individual annual limitations are cumulative in that any shares of common stock or cash for which Awards are permitted to be granted to a Participant during a fiscal year are not covered by an Award in that fiscal year, the number of shares of common stock will automatically increase in the subsequent fiscal years during the term of the 2017 Plan until the earlier of the time the increase has been granted to the Participant, or the end of the third fiscal year following the year to which such increase relates. At December 31, 2022, there were 350,317 shares of common stock available for future grant under the 2017 Plan.</w:t>
      </w:r>
    </w:p>
    <w:p>
      <w:pPr>
        <w:spacing w:after="0" w:line="16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Any shares of common stock subject to an Award under the 2017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 Additionally, any shares of common stock subject to an Award under the 2009 Plan that are forfeited, canceled, settled in cash or otherwise terminated without a distribution of shares to a participant, or that are delivered by attestation or withheld by the Company in connection with an option exercise or the payment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any required income tax withholding upon an option exercise or the vesting of restricted stock, will be deemed available for Awards under the 2017 Plan.</w:t>
      </w:r>
    </w:p>
    <w:p>
      <w:pPr>
        <w:spacing w:after="0" w:line="24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Stock options are awarded with a strike price equal to the fair market value based on the closing price of our common stock on the date of grant. Options granted typically vest over a service period ranging from three to four years and expire ten years from the date of grant. Restricted shares typically vest over a service period ranging from one to four years and expire ten years from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exercise prices of stock options outstanding on December 31, 2022 range from $19.71 to $92.00. Restricted stock awards are full-value awards.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weighted average exercise price for the year ended December 31, 2022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48"/>
        </w:trPr>
        <w:tc>
          <w:tcPr>
            <w:tcW w:w="7720" w:type="dxa"/>
            <w:vAlign w:val="bottom"/>
          </w:tcPr>
          <w:p>
            <w:pPr>
              <w:spacing w:after="0"/>
              <w:rPr>
                <w:sz w:val="12"/>
                <w:szCs w:val="12"/>
                <w:color w:val="auto"/>
              </w:rPr>
            </w:pPr>
          </w:p>
        </w:tc>
        <w:tc>
          <w:tcPr>
            <w:tcW w:w="12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(Amounts in</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85"/>
        </w:trPr>
        <w:tc>
          <w:tcPr>
            <w:tcW w:w="7720" w:type="dxa"/>
            <w:vAlign w:val="bottom"/>
          </w:tcPr>
          <w:p>
            <w:pPr>
              <w:spacing w:after="0"/>
              <w:rPr>
                <w:sz w:val="16"/>
                <w:szCs w:val="16"/>
                <w:color w:val="auto"/>
              </w:rPr>
            </w:pPr>
          </w:p>
        </w:tc>
        <w:tc>
          <w:tcPr>
            <w:tcW w:w="12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0"/>
              </w:rPr>
              <w:t>Thousands)</w:t>
            </w:r>
          </w:p>
        </w:tc>
        <w:tc>
          <w:tcPr>
            <w:tcW w:w="3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beginning of period</w:t>
            </w:r>
          </w:p>
        </w:tc>
        <w:tc>
          <w:tcPr>
            <w:tcW w:w="12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493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FF0FC"/>
          </w:tcPr>
          <w:p>
            <w:pPr>
              <w:spacing w:after="0"/>
              <w:rPr>
                <w:sz w:val="20"/>
                <w:szCs w:val="20"/>
                <w:color w:val="auto"/>
              </w:rPr>
            </w:pPr>
          </w:p>
        </w:tc>
      </w:tr>
      <w:tr>
        <w:trPr>
          <w:trHeight w:val="237"/>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88.42</w:t>
            </w:r>
          </w:p>
        </w:tc>
        <w:tc>
          <w:tcPr>
            <w:tcW w:w="100" w:type="dxa"/>
            <w:vAlign w:val="bottom"/>
          </w:tcPr>
          <w:p>
            <w:pPr>
              <w:spacing w:after="0"/>
              <w:rPr>
                <w:sz w:val="20"/>
                <w:szCs w:val="20"/>
                <w:color w:val="auto"/>
              </w:rPr>
            </w:pPr>
          </w:p>
        </w:tc>
      </w:tr>
      <w:tr>
        <w:trPr>
          <w:trHeight w:val="249"/>
        </w:trPr>
        <w:tc>
          <w:tcPr>
            <w:tcW w:w="89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(63 )</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FF0FC"/>
          </w:tcPr>
          <w:p>
            <w:pPr>
              <w:spacing w:after="0"/>
              <w:rPr>
                <w:sz w:val="21"/>
                <w:szCs w:val="21"/>
                <w:color w:val="auto"/>
              </w:rPr>
            </w:pPr>
          </w:p>
        </w:tc>
      </w:tr>
      <w:tr>
        <w:trPr>
          <w:trHeight w:val="237"/>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Forfeited/Cancelled</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end of period</w:t>
            </w:r>
          </w:p>
        </w:tc>
        <w:tc>
          <w:tcPr>
            <w:tcW w:w="122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468</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weighted-average estimated fair value of employee stock options granted was calculated using the Black-Scholes Option Pricing Model in 2022 and 2021. The Company did not grant any stock options in 2020. The related assumptions follow: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1860" w:type="dxa"/>
            <w:vAlign w:val="bottom"/>
          </w:tcPr>
          <w:p>
            <w:pPr>
              <w:jc w:val="center"/>
              <w:ind w:left="456"/>
              <w:spacing w:after="0"/>
              <w:rPr>
                <w:sz w:val="20"/>
                <w:szCs w:val="20"/>
                <w:color w:val="auto"/>
              </w:rPr>
            </w:pPr>
            <w:r>
              <w:rPr>
                <w:rFonts w:ascii="Arial" w:cs="Arial" w:eastAsia="Arial" w:hAnsi="Arial"/>
                <w:sz w:val="14"/>
                <w:szCs w:val="14"/>
                <w:b w:val="1"/>
                <w:bCs w:val="1"/>
                <w:color w:val="auto"/>
                <w:w w:val="89"/>
              </w:rPr>
              <w:t>2022</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20" w:type="dxa"/>
            <w:vAlign w:val="bottom"/>
          </w:tcPr>
          <w:p>
            <w:pPr>
              <w:jc w:val="center"/>
              <w:ind w:right="415"/>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40" w:type="dxa"/>
            <w:vAlign w:val="bottom"/>
          </w:tcPr>
          <w:p>
            <w:pPr>
              <w:ind w:left="5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85"/>
        </w:trPr>
        <w:tc>
          <w:tcPr>
            <w:tcW w:w="3280" w:type="dxa"/>
            <w:vAlign w:val="bottom"/>
          </w:tcPr>
          <w:p>
            <w:pPr>
              <w:spacing w:after="0"/>
              <w:rPr>
                <w:sz w:val="16"/>
                <w:szCs w:val="16"/>
                <w:color w:val="auto"/>
              </w:rPr>
            </w:pPr>
          </w:p>
        </w:tc>
        <w:tc>
          <w:tcPr>
            <w:tcW w:w="1860" w:type="dxa"/>
            <w:vAlign w:val="bottom"/>
            <w:tcBorders>
              <w:bottom w:val="single" w:sz="8" w:color="auto"/>
            </w:tcBorders>
          </w:tcPr>
          <w:p>
            <w:pPr>
              <w:jc w:val="center"/>
              <w:ind w:left="456"/>
              <w:spacing w:after="0"/>
              <w:rPr>
                <w:sz w:val="20"/>
                <w:szCs w:val="20"/>
                <w:color w:val="auto"/>
              </w:rPr>
            </w:pPr>
            <w:r>
              <w:rPr>
                <w:rFonts w:ascii="Arial" w:cs="Arial" w:eastAsia="Arial" w:hAnsi="Arial"/>
                <w:sz w:val="14"/>
                <w:szCs w:val="14"/>
                <w:b w:val="1"/>
                <w:bCs w:val="1"/>
                <w:color w:val="auto"/>
                <w:w w:val="97"/>
              </w:rPr>
              <w:t>Grants</w:t>
            </w: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Grants</w:t>
            </w:r>
          </w:p>
        </w:tc>
        <w:tc>
          <w:tcPr>
            <w:tcW w:w="3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Grants</w:t>
            </w:r>
          </w:p>
        </w:tc>
        <w:tc>
          <w:tcPr>
            <w:tcW w:w="100" w:type="dxa"/>
            <w:vAlign w:val="bottom"/>
          </w:tcPr>
          <w:p>
            <w:pPr>
              <w:spacing w:after="0"/>
              <w:rPr>
                <w:sz w:val="16"/>
                <w:szCs w:val="16"/>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fair value</w:t>
            </w:r>
          </w:p>
        </w:tc>
        <w:tc>
          <w:tcPr>
            <w:tcW w:w="1860" w:type="dxa"/>
            <w:vAlign w:val="bottom"/>
            <w:shd w:val="clear" w:color="auto" w:fill="CFF0FC"/>
          </w:tcPr>
          <w:p>
            <w:pPr>
              <w:jc w:val="right"/>
              <w:ind w:right="1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w:t>
            </w: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3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ind w:left="1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Risk-free discount rate</w:t>
            </w:r>
          </w:p>
        </w:tc>
        <w:tc>
          <w:tcPr>
            <w:tcW w:w="1860" w:type="dxa"/>
            <w:vAlign w:val="bottom"/>
          </w:tcPr>
          <w:p>
            <w:pPr>
              <w:jc w:val="center"/>
              <w:ind w:left="456"/>
              <w:spacing w:after="0"/>
              <w:rPr>
                <w:sz w:val="20"/>
                <w:szCs w:val="20"/>
                <w:color w:val="auto"/>
              </w:rPr>
            </w:pPr>
            <w:r>
              <w:rPr>
                <w:rFonts w:ascii="Arial" w:cs="Arial" w:eastAsia="Arial" w:hAnsi="Arial"/>
                <w:sz w:val="18"/>
                <w:szCs w:val="18"/>
                <w:color w:val="auto"/>
                <w:w w:val="91"/>
              </w:rPr>
              <w:t>1.76% - 2.86%</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jc w:val="center"/>
              <w:ind w:right="415"/>
              <w:spacing w:after="0"/>
              <w:rPr>
                <w:sz w:val="20"/>
                <w:szCs w:val="20"/>
                <w:color w:val="auto"/>
              </w:rPr>
            </w:pPr>
            <w:r>
              <w:rPr>
                <w:rFonts w:ascii="Arial" w:cs="Arial" w:eastAsia="Arial" w:hAnsi="Arial"/>
                <w:sz w:val="18"/>
                <w:szCs w:val="18"/>
                <w:color w:val="auto"/>
                <w:w w:val="90"/>
              </w:rPr>
              <w:t>0.65%</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tcPr>
          <w:p>
            <w:pPr>
              <w:ind w:left="1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w:t>
            </w:r>
          </w:p>
        </w:tc>
        <w:tc>
          <w:tcPr>
            <w:tcW w:w="1860" w:type="dxa"/>
            <w:vAlign w:val="bottom"/>
            <w:shd w:val="clear" w:color="auto" w:fill="CFF0FC"/>
          </w:tcPr>
          <w:p>
            <w:pPr>
              <w:jc w:val="center"/>
              <w:ind w:left="456"/>
              <w:spacing w:after="0"/>
              <w:rPr>
                <w:sz w:val="20"/>
                <w:szCs w:val="20"/>
                <w:color w:val="auto"/>
              </w:rPr>
            </w:pPr>
            <w:r>
              <w:rPr>
                <w:rFonts w:ascii="Arial" w:cs="Arial" w:eastAsia="Arial" w:hAnsi="Arial"/>
                <w:sz w:val="18"/>
                <w:szCs w:val="18"/>
                <w:color w:val="auto"/>
                <w:w w:val="86"/>
              </w:rPr>
              <w:t>4.2 years</w:t>
            </w:r>
          </w:p>
        </w:tc>
        <w:tc>
          <w:tcPr>
            <w:tcW w:w="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92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rPr>
              <w:t>4.1 years</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ind w:left="1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tcPr>
          <w:p>
            <w:pPr>
              <w:ind w:left="1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4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1860" w:type="dxa"/>
            <w:vAlign w:val="bottom"/>
            <w:shd w:val="clear" w:color="auto" w:fill="CFF0FC"/>
          </w:tcPr>
          <w:p>
            <w:pPr>
              <w:jc w:val="center"/>
              <w:ind w:left="456"/>
              <w:spacing w:after="0"/>
              <w:rPr>
                <w:sz w:val="20"/>
                <w:szCs w:val="20"/>
                <w:color w:val="auto"/>
              </w:rPr>
            </w:pPr>
            <w:r>
              <w:rPr>
                <w:rFonts w:ascii="Arial" w:cs="Arial" w:eastAsia="Arial" w:hAnsi="Arial"/>
                <w:sz w:val="18"/>
                <w:szCs w:val="18"/>
                <w:color w:val="auto"/>
                <w:w w:val="88"/>
              </w:rPr>
              <w:t>43%</w:t>
            </w:r>
          </w:p>
        </w:tc>
        <w:tc>
          <w:tcPr>
            <w:tcW w:w="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920" w:type="dxa"/>
            <w:vAlign w:val="bottom"/>
            <w:shd w:val="clear" w:color="auto" w:fill="CFF0FC"/>
          </w:tcPr>
          <w:p>
            <w:pPr>
              <w:jc w:val="center"/>
              <w:ind w:right="415"/>
              <w:spacing w:after="0"/>
              <w:rPr>
                <w:sz w:val="20"/>
                <w:szCs w:val="20"/>
                <w:color w:val="auto"/>
              </w:rPr>
            </w:pPr>
            <w:r>
              <w:rPr>
                <w:rFonts w:ascii="Arial" w:cs="Arial" w:eastAsia="Arial" w:hAnsi="Arial"/>
                <w:sz w:val="18"/>
                <w:szCs w:val="18"/>
                <w:color w:val="auto"/>
                <w:w w:val="94"/>
              </w:rPr>
              <w:t>45%</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40" w:type="dxa"/>
            <w:vAlign w:val="bottom"/>
            <w:shd w:val="clear" w:color="auto" w:fill="CFF0FC"/>
          </w:tcPr>
          <w:p>
            <w:pPr>
              <w:ind w:left="1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bl>
    <w:p>
      <w:pPr>
        <w:spacing w:after="0" w:line="229"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Stock option compensation expense totaled $1.2 million, $1.4 million and $2.0 million for the years ended December 31, 2022, 2021 and 2020, respectively. As of December 31, 2022, there was $1.9 million of total unrecognized compensation cost that is expected to be recognized over a weighted average period of 2.3 years.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intrinsic value of vested and outstanding stock options was $24.1 million and $1.0 million, respectively, as of December 31,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there were 390,026 and 78,125 shares of stock options vested and unvested, respectively.</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intrinsic value of stock options exercised during the years ended December 31, 2022, 2021 and 2020 was $3.5 million, $1.8 million and $7.5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unvested restricted stock awards activity and weighted average grant date fair value for the year ended December 31, 2022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Restricted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Awards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0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(Amounts in</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2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0"/>
              </w:rPr>
              <w:t>Thousands)</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awards, beginning of period</w:t>
            </w:r>
          </w:p>
        </w:tc>
        <w:tc>
          <w:tcPr>
            <w:tcW w:w="12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(74 )</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awards, end of period</w:t>
            </w:r>
          </w:p>
        </w:tc>
        <w:tc>
          <w:tcPr>
            <w:tcW w:w="120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restricted stock awards that vested during the year ended December 31, 2022 was $5.4 million.</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Restricted stock award compensation expense totaled $9.4 million, $8.0 million and $4.0 million for the years ended December 31, 2022, 2021 and 2020, respectively. As of December 31, 2022, there was $10.9 million of total unrecognized compensation cost that is expected to be recognized over a weighted average period of 1.7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401(k) retirement plan is a defined contribution plan that provides for matching contributions by the Company to all non-union employees. Matching contributions are discretionary and subject to change by management. Under the provisions of the 401(k) plan, employees can contribute up to the maximum percentage and limits allowable under the U.S. Revenue Code. The Company provided contributions totaling $0.4 million, $0.4 million and $0.3 million for the years ended December 31, 2022, 2021 and 2020, respectively.</w:t>
      </w:r>
    </w:p>
    <w:p>
      <w:pPr>
        <w:spacing w:after="0" w:line="291" w:lineRule="exact"/>
        <w:rPr>
          <w:sz w:val="20"/>
          <w:szCs w:val="20"/>
          <w:color w:val="auto"/>
        </w:rPr>
      </w:pPr>
    </w:p>
    <w:p>
      <w:pPr>
        <w:ind w:left="460" w:right="8420" w:hanging="452"/>
        <w:spacing w:after="0" w:line="425" w:lineRule="auto"/>
        <w:tabs>
          <w:tab w:leader="none" w:pos="27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ind w:left="520"/>
        <w:spacing w:after="0"/>
        <w:rPr>
          <w:rFonts w:ascii="Arial" w:cs="Arial" w:eastAsia="Arial" w:hAnsi="Arial"/>
          <w:sz w:val="16"/>
          <w:szCs w:val="16"/>
          <w:b w:val="1"/>
          <w:bCs w:val="1"/>
          <w:color w:val="auto"/>
        </w:rPr>
      </w:pPr>
      <w:r>
        <w:rPr>
          <w:rFonts w:ascii="Arial" w:cs="Arial" w:eastAsia="Arial" w:hAnsi="Arial"/>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40" w:firstLine="539"/>
        <w:spacing w:after="0" w:line="291" w:lineRule="auto"/>
        <w:rPr>
          <w:sz w:val="20"/>
          <w:szCs w:val="20"/>
          <w:color w:val="auto"/>
        </w:rPr>
      </w:pPr>
      <w:r>
        <w:rPr>
          <w:rFonts w:ascii="Arial" w:cs="Arial" w:eastAsia="Arial" w:hAnsi="Arial"/>
          <w:sz w:val="16"/>
          <w:szCs w:val="16"/>
          <w:color w:val="auto"/>
        </w:rPr>
        <w:t>On June 2, 2021, the Company received a $6.5 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p>
    <w:p>
      <w:pPr>
        <w:spacing w:after="0" w:line="166" w:lineRule="exact"/>
        <w:rPr>
          <w:sz w:val="20"/>
          <w:szCs w:val="20"/>
          <w:color w:val="auto"/>
        </w:rPr>
      </w:pPr>
    </w:p>
    <w:p>
      <w:pPr>
        <w:ind w:right="760" w:firstLine="539"/>
        <w:spacing w:after="0" w:line="277" w:lineRule="auto"/>
        <w:rPr>
          <w:sz w:val="20"/>
          <w:szCs w:val="20"/>
          <w:color w:val="auto"/>
        </w:rPr>
      </w:pPr>
      <w:r>
        <w:rPr>
          <w:rFonts w:ascii="Arial" w:cs="Arial" w:eastAsia="Arial" w:hAnsi="Arial"/>
          <w:sz w:val="18"/>
          <w:szCs w:val="18"/>
          <w:color w:val="auto"/>
        </w:rPr>
        <w:t>It is the opinion of management that the outcome of pending legal and/or administrative proceedings will not have a material effect on the Company’s Consolidated Balance Sheets and Consolidated Statements of Income.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Concentration of Cash</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 owns financial instruments that potentially subject the Company to significant concentrations of credit risk, including cash. The Company maintains cash with financial institutions which, at times, may exceed federally insured limits. The Company believes it is not exposed to any significant credit risk on cash.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the segments. The Company operates as a multi-state provider of three distinct but related business segments providing in-home services.</w:t>
      </w:r>
    </w:p>
    <w:p>
      <w:pPr>
        <w:spacing w:after="0" w:line="22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8"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tables below set forth information about the Company’s reportable segments for the years ended December 31, 2022, 2021 and 2020 along with the items necessary to reconcile the segment information to the totals reported in the accompanying consolidated financial statements. Segment assets are not reviewed by the Company’s chief operating decision maker function and therefore are not disclosed below.</w:t>
      </w:r>
    </w:p>
    <w:p>
      <w:pPr>
        <w:spacing w:after="0" w:line="165"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December 31, 2022</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Personal Care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Home Health</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706,507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201,772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951,120</w:t>
            </w:r>
          </w:p>
        </w:tc>
        <w:tc>
          <w:tcPr>
            <w:tcW w:w="100" w:type="dxa"/>
            <w:vAlign w:val="bottom"/>
            <w:shd w:val="clear" w:color="auto" w:fill="CFF0FC"/>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520,617</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100,956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651,381</w:t>
            </w:r>
          </w:p>
        </w:tc>
        <w:tc>
          <w:tcPr>
            <w:tcW w:w="100" w:type="dxa"/>
            <w:vAlign w:val="bottom"/>
          </w:tcPr>
          <w:p>
            <w:pPr>
              <w:spacing w:after="0"/>
              <w:rPr>
                <w:sz w:val="21"/>
                <w:szCs w:val="2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185,890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100,816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299,739</w:t>
            </w:r>
          </w:p>
        </w:tc>
        <w:tc>
          <w:tcPr>
            <w:tcW w:w="100" w:type="dxa"/>
            <w:vAlign w:val="bottom"/>
            <w:shd w:val="clear" w:color="auto" w:fill="CFF0FC"/>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60,532</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49,742</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120,525</w:t>
            </w:r>
          </w:p>
        </w:tc>
        <w:tc>
          <w:tcPr>
            <w:tcW w:w="100" w:type="dxa"/>
            <w:vAlign w:val="bottom"/>
          </w:tcPr>
          <w:p>
            <w:pPr>
              <w:spacing w:after="0"/>
              <w:rPr>
                <w:sz w:val="21"/>
                <w:szCs w:val="21"/>
                <w:color w:val="auto"/>
              </w:rPr>
            </w:pPr>
          </w:p>
        </w:tc>
      </w:tr>
      <w:tr>
        <w:trPr>
          <w:trHeight w:val="277"/>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125,358</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51,074</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179,214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32"/>
        </w:trPr>
        <w:tc>
          <w:tcPr>
            <w:tcW w:w="5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December 31, 2021</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Personal Care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Home Health</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685,854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152,253</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864,499</w:t>
            </w:r>
          </w:p>
        </w:tc>
        <w:tc>
          <w:tcPr>
            <w:tcW w:w="100" w:type="dxa"/>
            <w:vAlign w:val="bottom"/>
            <w:shd w:val="clear" w:color="auto" w:fill="CFF0FC"/>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502,024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75,186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17,441</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594,651</w:t>
            </w:r>
          </w:p>
        </w:tc>
        <w:tc>
          <w:tcPr>
            <w:tcW w:w="100" w:type="dxa"/>
            <w:vAlign w:val="bottom"/>
          </w:tcPr>
          <w:p>
            <w:pPr>
              <w:spacing w:after="0"/>
              <w:rPr>
                <w:sz w:val="21"/>
                <w:szCs w:val="2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183,830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269,848</w:t>
            </w:r>
          </w:p>
        </w:tc>
        <w:tc>
          <w:tcPr>
            <w:tcW w:w="100" w:type="dxa"/>
            <w:vAlign w:val="bottom"/>
            <w:shd w:val="clear" w:color="auto" w:fill="CFF0FC"/>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34,632</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101,910</w:t>
            </w:r>
          </w:p>
        </w:tc>
        <w:tc>
          <w:tcPr>
            <w:tcW w:w="100" w:type="dxa"/>
            <w:vAlign w:val="bottom"/>
          </w:tcPr>
          <w:p>
            <w:pPr>
              <w:spacing w:after="0"/>
              <w:rPr>
                <w:sz w:val="21"/>
                <w:szCs w:val="21"/>
                <w:color w:val="auto"/>
              </w:rPr>
            </w:pPr>
          </w:p>
        </w:tc>
      </w:tr>
      <w:tr>
        <w:trPr>
          <w:trHeight w:val="276"/>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122,265</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42,435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32"/>
        </w:trPr>
        <w:tc>
          <w:tcPr>
            <w:tcW w:w="5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December 31, 2020</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(Amounts in Thousands)</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Personal Care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Home Health</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101,297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100" w:type="dxa"/>
            <w:vAlign w:val="bottom"/>
            <w:shd w:val="clear" w:color="auto" w:fill="CFF0FC"/>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480,191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47,197</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w:t>
            </w:r>
          </w:p>
        </w:tc>
        <w:tc>
          <w:tcPr>
            <w:tcW w:w="100" w:type="dxa"/>
            <w:vAlign w:val="bottom"/>
          </w:tcPr>
          <w:p>
            <w:pPr>
              <w:spacing w:after="0"/>
              <w:rPr>
                <w:sz w:val="21"/>
                <w:szCs w:val="21"/>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100" w:type="dxa"/>
            <w:vAlign w:val="bottom"/>
            <w:shd w:val="clear" w:color="auto" w:fill="CFF0FC"/>
          </w:tcPr>
          <w:p>
            <w:pPr>
              <w:spacing w:after="0"/>
              <w:rPr>
                <w:sz w:val="20"/>
                <w:szCs w:val="20"/>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60,468</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89,635</w:t>
            </w:r>
          </w:p>
        </w:tc>
        <w:tc>
          <w:tcPr>
            <w:tcW w:w="100" w:type="dxa"/>
            <w:vAlign w:val="bottom"/>
          </w:tcPr>
          <w:p>
            <w:pPr>
              <w:spacing w:after="0"/>
              <w:rPr>
                <w:sz w:val="21"/>
                <w:szCs w:val="21"/>
                <w:color w:val="auto"/>
              </w:rPr>
            </w:pPr>
          </w:p>
        </w:tc>
      </w:tr>
      <w:tr>
        <w:trPr>
          <w:trHeight w:val="277"/>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106,574</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-2596515</wp:posOffset>
            </wp:positionV>
            <wp:extent cx="2700020" cy="4972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4">
                      <a:extLst>
                        <a:ext uri="{28A0092B-C50C-407E-A947-70E740481C1C}"/>
                      </a:extLst>
                    </a:blip>
                    <a:srcRect/>
                    <a:stretch>
                      <a:fillRect/>
                    </a:stretch>
                  </pic:blipFill>
                  <pic:spPr bwMode="auto">
                    <a:xfrm>
                      <a:off x="0" y="0"/>
                      <a:ext cx="2700020" cy="4972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-1310640</wp:posOffset>
            </wp:positionV>
            <wp:extent cx="2700020" cy="4972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5">
                      <a:extLst>
                        <a:ext uri="{28A0092B-C50C-407E-A947-70E740481C1C}"/>
                      </a:extLst>
                    </a:blip>
                    <a:srcRect/>
                    <a:stretch>
                      <a:fillRect/>
                    </a:stretch>
                  </pic:blipFill>
                  <pic:spPr bwMode="auto">
                    <a:xfrm>
                      <a:off x="0" y="0"/>
                      <a:ext cx="2700020" cy="4972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center"/>
              <w:ind w:left="575"/>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(Amounts in Thousands)</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reconciliation: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Total segment 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179,214</w:t>
            </w:r>
          </w:p>
        </w:tc>
        <w:tc>
          <w:tcPr>
            <w:tcW w:w="120" w:type="dxa"/>
            <w:vAlign w:val="bottom"/>
          </w:tcPr>
          <w:p>
            <w:pPr>
              <w:spacing w:after="0"/>
              <w:rPr>
                <w:sz w:val="20"/>
                <w:szCs w:val="20"/>
                <w:color w:val="auto"/>
              </w:rPr>
            </w:pP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167,938</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136,602</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Items not allocated at segment level:</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general and administrative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96,417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12,051</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(268 )</w:t>
            </w:r>
          </w:p>
        </w:tc>
        <w:tc>
          <w:tcPr>
            <w:tcW w:w="3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(624 )</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0"/>
                <w:szCs w:val="20"/>
                <w:color w:val="auto"/>
              </w:rPr>
            </w:pPr>
          </w:p>
        </w:tc>
      </w:tr>
      <w:tr>
        <w:trPr>
          <w:trHeight w:val="28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60,171</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60,398</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Significant Payors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2022, 2021 and 2020, the Company’s revenue by payor type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158"/>
              <w:spacing w:after="0"/>
              <w:rPr>
                <w:sz w:val="20"/>
                <w:szCs w:val="20"/>
                <w:color w:val="auto"/>
              </w:rPr>
            </w:pPr>
            <w:r>
              <w:rPr>
                <w:rFonts w:ascii="Arial" w:cs="Arial" w:eastAsia="Arial" w:hAnsi="Arial"/>
                <w:sz w:val="14"/>
                <w:szCs w:val="14"/>
                <w:b w:val="1"/>
                <w:bCs w:val="1"/>
                <w:color w:val="auto"/>
                <w:w w:val="93"/>
              </w:rPr>
              <w:t>Personal Care</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For the Years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restart"/>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6"/>
                <w:szCs w:val="16"/>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local and other governmental</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programs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348,234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338,325</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324,670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311,801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287,032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pay</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Commercial insurance</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120" w:type="dxa"/>
            <w:vAlign w:val="bottom"/>
          </w:tcPr>
          <w:p>
            <w:pPr>
              <w:ind w:left="20"/>
              <w:spacing w:after="0"/>
              <w:rPr>
                <w:sz w:val="20"/>
                <w:szCs w:val="20"/>
                <w:color w:val="auto"/>
              </w:rPr>
            </w:pPr>
            <w:r>
              <w:rPr>
                <w:rFonts w:ascii="Arial" w:cs="Arial" w:eastAsia="Arial" w:hAnsi="Arial"/>
                <w:sz w:val="18"/>
                <w:szCs w:val="18"/>
                <w:color w:val="auto"/>
                <w:w w:val="96"/>
              </w:rPr>
              <w:t>Total personal care segment net service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706,507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200" w:type="dxa"/>
            <w:vAlign w:val="bottom"/>
            <w:gridSpan w:val="2"/>
            <w:vMerge w:val="restart"/>
          </w:tcPr>
          <w:p>
            <w:pPr>
              <w:jc w:val="right"/>
              <w:ind w:right="2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685,854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647,233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3" w:lineRule="exact"/>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4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center"/>
              <w:ind w:left="597"/>
              <w:spacing w:after="0"/>
              <w:rPr>
                <w:sz w:val="20"/>
                <w:szCs w:val="20"/>
                <w:color w:val="auto"/>
              </w:rPr>
            </w:pPr>
            <w:r>
              <w:rPr>
                <w:rFonts w:ascii="Arial" w:cs="Arial" w:eastAsia="Arial" w:hAnsi="Arial"/>
                <w:sz w:val="14"/>
                <w:szCs w:val="14"/>
                <w:b w:val="1"/>
                <w:bCs w:val="1"/>
                <w:color w:val="auto"/>
                <w:w w:val="88"/>
              </w:rPr>
              <w:t>Hospice</w:t>
            </w: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For the Years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5"/>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6"/>
                <w:szCs w:val="16"/>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183,407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142,086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94,068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4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4,503</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8"/>
                <w:szCs w:val="18"/>
                <w:color w:val="auto"/>
              </w:rPr>
              <w:t>Total hospice segment net service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201,772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152,253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101,297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3" w:lineRule="exact"/>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4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center"/>
              <w:ind w:right="178"/>
              <w:spacing w:after="0"/>
              <w:rPr>
                <w:sz w:val="20"/>
                <w:szCs w:val="20"/>
                <w:color w:val="auto"/>
              </w:rPr>
            </w:pPr>
            <w:r>
              <w:rPr>
                <w:rFonts w:ascii="Arial" w:cs="Arial" w:eastAsia="Arial" w:hAnsi="Arial"/>
                <w:sz w:val="14"/>
                <w:szCs w:val="14"/>
                <w:b w:val="1"/>
                <w:bCs w:val="1"/>
                <w:color w:val="auto"/>
                <w:w w:val="95"/>
              </w:rPr>
              <w:t>Home Health</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For the Years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5"/>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6"/>
                <w:szCs w:val="16"/>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31,505</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20,700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4,457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1,235</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8"/>
                <w:szCs w:val="18"/>
                <w:color w:val="auto"/>
                <w:w w:val="99"/>
              </w:rPr>
              <w:t>Total home health segment net service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42,841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26,392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200" w:type="dxa"/>
            <w:vAlign w:val="bottom"/>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ind w:left="20"/>
              <w:spacing w:after="0" w:line="203" w:lineRule="exact"/>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4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F-29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-3968115</wp:posOffset>
            </wp:positionV>
            <wp:extent cx="76835" cy="3003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2">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-3968115</wp:posOffset>
            </wp:positionV>
            <wp:extent cx="77470" cy="3003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3">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-3968115</wp:posOffset>
            </wp:positionV>
            <wp:extent cx="68580" cy="3003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-3968115</wp:posOffset>
            </wp:positionV>
            <wp:extent cx="68580" cy="3003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5">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-3968115</wp:posOffset>
            </wp:positionV>
            <wp:extent cx="68580" cy="3003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-3968115</wp:posOffset>
            </wp:positionV>
            <wp:extent cx="68580" cy="3003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-2382520</wp:posOffset>
            </wp:positionV>
            <wp:extent cx="76835" cy="3003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8">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-2382520</wp:posOffset>
            </wp:positionV>
            <wp:extent cx="77470" cy="3003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9">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-2382520</wp:posOffset>
            </wp:positionV>
            <wp:extent cx="68580" cy="3003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0">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-2382520</wp:posOffset>
            </wp:positionV>
            <wp:extent cx="68580" cy="3003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1">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-2382520</wp:posOffset>
            </wp:positionV>
            <wp:extent cx="68580" cy="3003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2">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-2382520</wp:posOffset>
            </wp:positionV>
            <wp:extent cx="68580" cy="3003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-796290</wp:posOffset>
            </wp:positionV>
            <wp:extent cx="76835" cy="3003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4">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-796290</wp:posOffset>
            </wp:positionV>
            <wp:extent cx="77470" cy="3003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5">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-796290</wp:posOffset>
            </wp:positionV>
            <wp:extent cx="68580" cy="3003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6">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-796290</wp:posOffset>
            </wp:positionV>
            <wp:extent cx="68580" cy="3003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7">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-796290</wp:posOffset>
            </wp:positionV>
            <wp:extent cx="68580" cy="3003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8">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-796290</wp:posOffset>
            </wp:positionV>
            <wp:extent cx="68580" cy="3003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6"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derives a significant amount of its revenue from its operations in Illinois, New Mexico and New York. The percentages of segment revenue for each of these significant states for 2022, 2021 and 2020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Illinois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Mexico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other states</w:t>
      </w:r>
    </w:p>
    <w:p>
      <w:pPr>
        <w:spacing w:after="0" w:line="50"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Total personal care segment net service revenues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Personal Care</w:t>
            </w: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w w:val="93"/>
              </w:rPr>
              <w:t>For the Years Ended December 31,</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6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360,778</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328,619</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288,326</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86,592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99,732</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115,510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105,315</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97,784</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153,822</w:t>
            </w:r>
          </w:p>
        </w:tc>
        <w:tc>
          <w:tcPr>
            <w:tcW w:w="24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159,719</w:t>
            </w:r>
          </w:p>
        </w:tc>
        <w:tc>
          <w:tcPr>
            <w:tcW w:w="2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156,779</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706,507</w:t>
            </w:r>
          </w:p>
        </w:tc>
        <w:tc>
          <w:tcPr>
            <w:tcW w:w="2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685,854</w:t>
            </w:r>
          </w:p>
        </w:tc>
        <w:tc>
          <w:tcPr>
            <w:tcW w:w="24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-916305</wp:posOffset>
            </wp:positionV>
            <wp:extent cx="7132320" cy="1543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-607695</wp:posOffset>
            </wp:positionV>
            <wp:extent cx="7132320" cy="1543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-290830</wp:posOffset>
            </wp:positionV>
            <wp:extent cx="7132320" cy="291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68"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Hospice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494601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6">
                      <a:extLst>
                        <a:ext uri="{28A0092B-C50C-407E-A947-70E740481C1C}"/>
                      </a:extLst>
                    </a:blip>
                    <a:srcRect/>
                    <a:stretch>
                      <a:fillRect/>
                    </a:stretch>
                  </pic:blipFill>
                  <pic:spPr bwMode="auto">
                    <a:xfrm>
                      <a:off x="0" y="0"/>
                      <a:ext cx="4946015" cy="889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860" w:space="300"/>
            <w:col w:w="80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Ohio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Mexico</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Illinois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other states</w:t>
      </w:r>
    </w:p>
    <w:p>
      <w:pPr>
        <w:spacing w:after="0" w:line="50"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Total hospice segment net service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For the Years Ended December 31,</w:t>
            </w: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961"/>
              <w:spacing w:after="0"/>
              <w:rPr>
                <w:sz w:val="20"/>
                <w:szCs w:val="20"/>
                <w:color w:val="auto"/>
              </w:rPr>
            </w:pPr>
            <w:r>
              <w:rPr>
                <w:rFonts w:ascii="Arial" w:cs="Arial" w:eastAsia="Arial" w:hAnsi="Arial"/>
                <w:sz w:val="14"/>
                <w:szCs w:val="14"/>
                <w:b w:val="1"/>
                <w:bCs w:val="1"/>
                <w:color w:val="auto"/>
                <w:w w:val="83"/>
              </w:rPr>
              <w:t>2022</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4"/>
                <w:szCs w:val="14"/>
                <w:b w:val="1"/>
                <w:bCs w:val="1"/>
                <w:color w:val="auto"/>
                <w:w w:val="83"/>
              </w:rPr>
              <w:t>2020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2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4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70,503</w:t>
            </w:r>
          </w:p>
        </w:tc>
        <w:tc>
          <w:tcPr>
            <w:tcW w:w="24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61,415</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36,063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47,181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53,366</w:t>
            </w:r>
          </w:p>
        </w:tc>
        <w:tc>
          <w:tcPr>
            <w:tcW w:w="2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54,775</w:t>
            </w:r>
          </w:p>
        </w:tc>
        <w:tc>
          <w:tcPr>
            <w:tcW w:w="2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58,649</w:t>
            </w: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201,772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152,253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101,297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-916305</wp:posOffset>
            </wp:positionV>
            <wp:extent cx="7132320" cy="154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-607695</wp:posOffset>
            </wp:positionV>
            <wp:extent cx="7132320" cy="154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-290830</wp:posOffset>
            </wp:positionV>
            <wp:extent cx="7132320" cy="291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2440" w:space="720"/>
            <w:col w:w="8080"/>
          </w:cols>
          <w:pgMar w:left="320" w:top="121" w:right="339" w:bottom="1440" w:gutter="0" w:footer="0" w:header="0"/>
          <w:type w:val="continuous"/>
        </w:sectPr>
      </w:pPr>
    </w:p>
    <w:p>
      <w:pPr>
        <w:ind w:right="100" w:firstLine="509"/>
        <w:spacing w:after="0" w:line="277" w:lineRule="auto"/>
        <w:rPr>
          <w:sz w:val="20"/>
          <w:szCs w:val="20"/>
          <w:color w:val="auto"/>
        </w:rPr>
      </w:pPr>
      <w:r>
        <w:rPr>
          <w:rFonts w:ascii="Arial" w:cs="Arial" w:eastAsia="Arial" w:hAnsi="Arial"/>
          <w:sz w:val="18"/>
          <w:szCs w:val="18"/>
          <w:color w:val="auto"/>
        </w:rPr>
        <w:t>With the acquisition of Queen City Hospice in late 2020, the Company expanded its hospice services in the state of Ohio, and with the JourneyCare acquisition in 2022, the Company also expanded its hospice services in the state of Illinois.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Home Health</w:t>
            </w: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w w:val="93"/>
              </w:rPr>
              <w:t>For the Years Ended December 31,</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9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6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6"/>
                <w:szCs w:val="16"/>
                <w:color w:val="auto"/>
              </w:rPr>
            </w:pPr>
          </w:p>
        </w:tc>
        <w:tc>
          <w:tcPr>
            <w:tcW w:w="1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New Mexico</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34,111</w:t>
            </w:r>
          </w:p>
        </w:tc>
        <w:tc>
          <w:tcPr>
            <w:tcW w:w="24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24,735</w:t>
            </w:r>
          </w:p>
        </w:tc>
        <w:tc>
          <w:tcPr>
            <w:tcW w:w="24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Illinois</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1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home health segment net service</w:t>
            </w:r>
          </w:p>
        </w:tc>
        <w:tc>
          <w:tcPr>
            <w:tcW w:w="2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42,841</w:t>
            </w:r>
          </w:p>
        </w:tc>
        <w:tc>
          <w:tcPr>
            <w:tcW w:w="24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26,392</w:t>
            </w:r>
          </w:p>
        </w:tc>
        <w:tc>
          <w:tcPr>
            <w:tcW w:w="2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16,245</w:t>
            </w:r>
          </w:p>
        </w:tc>
        <w:tc>
          <w:tcPr>
            <w:tcW w:w="220" w:type="dxa"/>
            <w:vAlign w:val="bottom"/>
            <w:tcBorders>
              <w:top w:val="single" w:sz="8" w:color="CFF0F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line="203" w:lineRule="exact"/>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6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4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-299720</wp:posOffset>
            </wp:positionV>
            <wp:extent cx="76835" cy="3003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0">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-299720</wp:posOffset>
            </wp:positionV>
            <wp:extent cx="76835" cy="3003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1">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-299720</wp:posOffset>
            </wp:positionV>
            <wp:extent cx="76835" cy="3003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2">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-299720</wp:posOffset>
            </wp:positionV>
            <wp:extent cx="68580" cy="3003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-299720</wp:posOffset>
            </wp:positionV>
            <wp:extent cx="68580" cy="3003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4">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-299720</wp:posOffset>
            </wp:positionV>
            <wp:extent cx="68580" cy="3003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5">
                      <a:extLst>
                        <a:ext uri="{28A0092B-C50C-407E-A947-70E740481C1C}"/>
                      </a:extLst>
                    </a:blip>
                    <a:srcRect/>
                    <a:stretch>
                      <a:fillRect/>
                    </a:stretch>
                  </pic:blipFill>
                  <pic:spPr bwMode="auto">
                    <a:xfrm>
                      <a:off x="0" y="0"/>
                      <a:ext cx="68580" cy="30035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the acquisition of Summit in 2021, the Company expanded its home health services in the state of Illinois.</w:t>
      </w:r>
    </w:p>
    <w:p>
      <w:pPr>
        <w:spacing w:after="0" w:line="225"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A substantial portion of the Company’s revenue and accounts receivable are derived from services performed for state and local governmental agencies. We derive a significant amount of our net service revenues in Illinois, which represented 43.8%, 38.2% and 37.7% of our net service revenues for the years ended December 31, 2022, 2021 and 2020, respectively. The Illinois Department on Aging, the largest payor program for the Company’s Illinois personal care operations, accounted for 20.7%, 21.4% and 23.0% of the Company’s net service revenues for 2022, 2021 and 2020, respectively.</w:t>
      </w:r>
    </w:p>
    <w:p>
      <w:pPr>
        <w:spacing w:after="0" w:line="15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18.0% and 16.1% of the Company’s net accounts receivable at December 31, 2022 and 2021, respectively.</w:t>
      </w:r>
    </w:p>
    <w:p>
      <w:pPr>
        <w:spacing w:after="0" w:line="170"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In 2019, New York initiated a new Request For Offer (“RFO”) process to competitively procure CDPAP fiscal intermediaries. The Company was not selected in the initial RFO process. We submitted a formal protest in response to the selection process,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was filed and accepted in March 2021. The New York fiscal year 2023 state budget, passed in April 2022, amends the current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submits an attestation and supporting information to the New York State Department of Health no later than November 29, 2022. The Company submitted an attestation on November 22, 2022. Under this provision, the Company is allowed to continue to contract with all of its current payors for CDPAP services, as of the contract award date, which is anticipated to be April 1, 2023. The Company continues to assess the future of its participation in this program. Given the current profitability of the program, the Company has suspended materially all of its new fee-for-service patient admissions through County Social Service Departments in the CDPAP program.</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recognized approximately $39.2 million from the program for the year ended December 31, 2022.</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14. Government Actions to Mitigate COVID-19’s Impact</w:t>
      </w:r>
    </w:p>
    <w:p>
      <w:pPr>
        <w:spacing w:after="0" w:line="117" w:lineRule="exact"/>
        <w:rPr>
          <w:sz w:val="20"/>
          <w:szCs w:val="20"/>
          <w:color w:val="auto"/>
        </w:rPr>
      </w:pPr>
    </w:p>
    <w:p>
      <w:pPr>
        <w:ind w:right="60" w:firstLine="554"/>
        <w:spacing w:after="0" w:line="275" w:lineRule="auto"/>
        <w:rPr>
          <w:sz w:val="20"/>
          <w:szCs w:val="20"/>
          <w:color w:val="auto"/>
        </w:rPr>
      </w:pPr>
      <w:r>
        <w:rPr>
          <w:rFonts w:ascii="Arial" w:cs="Arial" w:eastAsia="Arial" w:hAnsi="Arial"/>
          <w:sz w:val="17"/>
          <w:szCs w:val="17"/>
          <w:color w:val="auto"/>
        </w:rPr>
        <w:t>In March 2020, the World Health Organization declared the novel coronavirus (“COVID-19”) outbreak a global pandemic. The COVID-19 pandemic continues to cause disruption in the economy, in terms of increased costs and disruptions in the labor market. Although vaccines and booster shots for the COVID-19 virus have become widely available in the United States, COVID-19 has continued to result in a significant number of hospitalizations, and the future course of the pandemic remains uncertain, particularly due to the spread of COVID-19 variants. We will continue to closely monitor the impact of COVID-19 on all aspects of our business, including the impacts to our employees, patients and suppliers.</w:t>
      </w:r>
    </w:p>
    <w:p>
      <w:pPr>
        <w:spacing w:after="0" w:line="284"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have taken dramatic actions to provide liquidity to businesses and the banking system in the United States. One of the primary sources of relief for healthcare providers is the CARES Act, which was expanded by the Paycheck Protection Program and Health Care Enhancement (“PPPHCE”) Act, and the Consolidated Appropriations Act (“CAA”). The American Rescue Plan Act of 2021 (“ARPA”), one relief package with numerous provisions that affect healthcare providers, was signed into law in March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ARPA</w:t>
      </w:r>
    </w:p>
    <w:p>
      <w:pPr>
        <w:spacing w:after="0" w:line="225" w:lineRule="exact"/>
        <w:rPr>
          <w:sz w:val="20"/>
          <w:szCs w:val="20"/>
          <w:color w:val="auto"/>
        </w:rPr>
      </w:pPr>
    </w:p>
    <w:p>
      <w:pPr>
        <w:ind w:firstLine="569"/>
        <w:spacing w:after="0" w:line="255" w:lineRule="auto"/>
        <w:rPr>
          <w:sz w:val="20"/>
          <w:szCs w:val="20"/>
          <w:color w:val="auto"/>
        </w:rPr>
      </w:pPr>
      <w:r>
        <w:rPr>
          <w:rFonts w:ascii="Arial" w:cs="Arial" w:eastAsia="Arial" w:hAnsi="Arial"/>
          <w:sz w:val="18"/>
          <w:szCs w:val="18"/>
          <w:color w:val="auto"/>
        </w:rPr>
        <w:t>ARPA provides for $350 billion in relief funding for eligible state, local, territorial, and Tribal governments to mitigate the fiscal effects of the COVID-19 public health emergency. Additionally, the law provides for a 10-percentage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92" w:lineRule="exact"/>
        <w:rPr>
          <w:sz w:val="20"/>
          <w:szCs w:val="20"/>
          <w:color w:val="auto"/>
        </w:rPr>
      </w:pPr>
    </w:p>
    <w:p>
      <w:pPr>
        <w:ind w:right="40" w:firstLine="569"/>
        <w:spacing w:after="0" w:line="287" w:lineRule="auto"/>
        <w:rPr>
          <w:sz w:val="20"/>
          <w:szCs w:val="20"/>
          <w:color w:val="auto"/>
        </w:rPr>
      </w:pPr>
      <w:r>
        <w:rPr>
          <w:rFonts w:ascii="Arial" w:cs="Arial" w:eastAsia="Arial" w:hAnsi="Arial"/>
          <w:sz w:val="16"/>
          <w:szCs w:val="16"/>
          <w:color w:val="auto"/>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year ended December 31, 2021, the Company received state funding provided by the ARPA in aggregate amount of $1.0 million. The Company recorded revenue of $1.0 million and related costs of service revenue of $0.7 million for a state which met the revenue recognition criteria. During the twelve months ended December 31, 2022, the Company received state funding provided by the ARPA in an aggregate amount of $23.4 million. The Company recorded revenue of $1.9 million and related cost of service revenues of $1.5 million for certain states that met the revenue recognition criteria. The Company deferred the remaining $21.5 million, which was received from states with specific spending plans and reporting requirements. The Company utilized $8.6 million of these funds during the twelve months ended December 31 2022, primarily for caregivers and adding support to recruiting and retention efforts, $7.0 million included as a reduction of cost of service revenues and $1.6 million included as a reduction of general and administrative expenses in the Company’s Consolidated Statements of Income. As of December 31, 2022, the deferred portion of ARPA funding was $12.9 million, which is included within Government stimulus advances on the Company’s Consolidated Balance Sheets.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Provider Relief Funds</w:t>
      </w:r>
    </w:p>
    <w:p>
      <w:pPr>
        <w:spacing w:after="0" w:line="225" w:lineRule="exact"/>
        <w:rPr>
          <w:sz w:val="20"/>
          <w:szCs w:val="20"/>
          <w:color w:val="auto"/>
        </w:rPr>
      </w:pPr>
    </w:p>
    <w:p>
      <w:pPr>
        <w:jc w:val="both"/>
        <w:ind w:right="260" w:firstLine="569"/>
        <w:spacing w:after="0" w:line="263" w:lineRule="auto"/>
        <w:rPr>
          <w:sz w:val="20"/>
          <w:szCs w:val="20"/>
          <w:color w:val="auto"/>
        </w:rPr>
      </w:pPr>
      <w:r>
        <w:rPr>
          <w:rFonts w:ascii="Arial" w:cs="Arial" w:eastAsia="Arial" w:hAnsi="Arial"/>
          <w:sz w:val="18"/>
          <w:szCs w:val="18"/>
          <w:color w:val="auto"/>
        </w:rPr>
        <w:t>In addition, the CARES Act authorized funding to be distributed through the Provider Relief Fund to eligible providers, including public entities and Medicare- and/or Medicaid-enrolled providers. In November 2020, the Company received grants in an aggregate principal amount of $13.7 million from the Provider Relief Fund. The Company utilized $12.3 million remaining of these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funds during the year ended December 31, 2021 for healthcare related expenses, including retention payments, attributable to COVID-19 that were unreimbursed by other sources. The Company documented the use of such funds in 2021 in reports to the U.S. Department of Health and Human Services (“HHS”), as required, and submitted the reports to HHS prior to the deadline of March 31, 2022. During the year ended December 31, 2022, we submitted an unmodified audit report to HHS for 2021 in accordance with Generally Accepted Government Auditing Standards, as required for commercial organizations that received and expended total awards of $750,000 or more.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sequester</w:t>
      </w:r>
    </w:p>
    <w:p>
      <w:pPr>
        <w:spacing w:after="0" w:line="225" w:lineRule="exact"/>
        <w:rPr>
          <w:sz w:val="20"/>
          <w:szCs w:val="20"/>
          <w:color w:val="auto"/>
        </w:rPr>
      </w:pPr>
    </w:p>
    <w:p>
      <w:pPr>
        <w:ind w:right="140" w:firstLine="569"/>
        <w:spacing w:after="0" w:line="311" w:lineRule="auto"/>
        <w:rPr>
          <w:sz w:val="20"/>
          <w:szCs w:val="20"/>
          <w:color w:val="auto"/>
        </w:rPr>
      </w:pPr>
      <w:r>
        <w:rPr>
          <w:rFonts w:ascii="Arial" w:cs="Arial" w:eastAsia="Arial" w:hAnsi="Arial"/>
          <w:sz w:val="16"/>
          <w:szCs w:val="16"/>
          <w:color w:val="auto"/>
        </w:rPr>
        <w:t>The CARES Act and related laws temporarily lifted the Medicare sequester which would have otherwise reduced payments to Medicare providers by 2%, as required by the Budget Control Act of 2011, from May 1, 2020, through March 31, 2022. The sequestration payment adjustment was phased back in with a 1% reduction beginning April 1, 2022, and returned to 2% on July 1, 2022. These sequestration cuts have been extended through 2032.</w:t>
      </w:r>
    </w:p>
    <w:p>
      <w:pPr>
        <w:spacing w:after="0" w:line="149" w:lineRule="exact"/>
        <w:rPr>
          <w:sz w:val="20"/>
          <w:szCs w:val="20"/>
          <w:color w:val="auto"/>
        </w:rPr>
      </w:pPr>
    </w:p>
    <w:p>
      <w:pPr>
        <w:ind w:right="100" w:firstLine="569"/>
        <w:spacing w:after="0" w:line="263" w:lineRule="auto"/>
        <w:rPr>
          <w:sz w:val="20"/>
          <w:szCs w:val="20"/>
          <w:color w:val="auto"/>
        </w:rPr>
      </w:pPr>
      <w:r>
        <w:rPr>
          <w:rFonts w:ascii="Arial" w:cs="Arial" w:eastAsia="Arial" w:hAnsi="Arial"/>
          <w:sz w:val="18"/>
          <w:szCs w:val="18"/>
          <w:color w:val="auto"/>
        </w:rPr>
        <w:t>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delayed implementation of this payment reduction until 2025.</w:t>
      </w:r>
    </w:p>
    <w:p>
      <w:pPr>
        <w:spacing w:after="0" w:line="184" w:lineRule="exact"/>
        <w:rPr>
          <w:sz w:val="20"/>
          <w:szCs w:val="20"/>
          <w:color w:val="auto"/>
        </w:rPr>
      </w:pPr>
    </w:p>
    <w:p>
      <w:pPr>
        <w:ind w:right="160" w:firstLine="569"/>
        <w:spacing w:after="0" w:line="263" w:lineRule="auto"/>
        <w:rPr>
          <w:sz w:val="20"/>
          <w:szCs w:val="20"/>
          <w:color w:val="auto"/>
        </w:rPr>
      </w:pPr>
      <w:r>
        <w:rPr>
          <w:rFonts w:ascii="Arial" w:cs="Arial" w:eastAsia="Arial" w:hAnsi="Arial"/>
          <w:sz w:val="18"/>
          <w:szCs w:val="18"/>
          <w:color w:val="auto"/>
        </w:rPr>
        <w:t>In the hospice segment, Medicare sequester relief resulted in an increase in net service revenues of $1.4 million and $2.9 million for the years ended December 31, 2022 and 2021, respectively. In the home health segment, Medicare sequester relief resulted in an increase in net service revenues of $0.3 million and $0.5 million for the years ended December 31, 2022 and 2021,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CARES Act also provides for certain federal income and other tax changes, including the deferral of the employer portion of Social Security payroll taxes through December 31, 2021. The payroll tax deferral requires that the deferred payroll taxes be paid over two years, with half of the eligible deferred amount required to be paid by December 31, 2021 and the other half by December 31, 2022.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repaid $4.1 million and $3.0 million as of December 31, 2022 and 2021 respectively.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Government stimulus advances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(Amounts</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Thousands)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tax deferral</w:t>
            </w:r>
          </w:p>
        </w:tc>
        <w:tc>
          <w:tcPr>
            <w:tcW w:w="368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FF0FC"/>
          </w:tcPr>
          <w:p>
            <w:pPr>
              <w:spacing w:after="0"/>
              <w:rPr>
                <w:sz w:val="20"/>
                <w:szCs w:val="20"/>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ARPA funds</w:t>
            </w:r>
          </w:p>
        </w:tc>
        <w:tc>
          <w:tcPr>
            <w:tcW w:w="3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12,912</w:t>
            </w: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7"/>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government stimulus advances</w:t>
            </w:r>
          </w:p>
        </w:tc>
        <w:tc>
          <w:tcPr>
            <w:tcW w:w="36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2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4060" w:type="dxa"/>
            <w:vAlign w:val="bottom"/>
          </w:tcPr>
          <w:p>
            <w:pPr>
              <w:spacing w:after="0"/>
              <w:rPr>
                <w:sz w:val="24"/>
                <w:szCs w:val="24"/>
                <w:color w:val="auto"/>
              </w:rPr>
            </w:pPr>
          </w:p>
        </w:tc>
        <w:tc>
          <w:tcPr>
            <w:tcW w:w="4600" w:type="dxa"/>
            <w:vAlign w:val="bottom"/>
            <w:gridSpan w:val="2"/>
          </w:tcPr>
          <w:p>
            <w:pPr>
              <w:jc w:val="right"/>
              <w:ind w:right="2776"/>
              <w:spacing w:after="0"/>
              <w:rPr>
                <w:sz w:val="20"/>
                <w:szCs w:val="20"/>
                <w:color w:val="auto"/>
              </w:rPr>
            </w:pPr>
            <w:r>
              <w:rPr>
                <w:rFonts w:ascii="Arial" w:cs="Arial" w:eastAsia="Arial" w:hAnsi="Arial"/>
                <w:sz w:val="18"/>
                <w:szCs w:val="18"/>
                <w:color w:val="auto"/>
              </w:rPr>
              <w:t>F-32</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-521970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-504825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ind w:left="4200"/>
              <w:spacing w:after="0"/>
              <w:rPr>
                <w:sz w:val="20"/>
                <w:szCs w:val="20"/>
                <w:color w:val="auto"/>
              </w:rPr>
            </w:pPr>
            <w:r>
              <w:rPr>
                <w:rFonts w:ascii="Arial" w:cs="Arial" w:eastAsia="Arial" w:hAnsi="Arial"/>
                <w:sz w:val="16"/>
                <w:szCs w:val="16"/>
                <w:b w:val="1"/>
                <w:bCs w:val="1"/>
                <w:color w:val="auto"/>
                <w:w w:val="92"/>
              </w:rPr>
              <w:t>Exhibit 21.1</w:t>
            </w:r>
          </w:p>
        </w:tc>
      </w:tr>
      <w:tr>
        <w:trPr>
          <w:trHeight w:val="418"/>
        </w:trPr>
        <w:tc>
          <w:tcPr>
            <w:tcW w:w="3720" w:type="dxa"/>
            <w:vAlign w:val="bottom"/>
          </w:tcPr>
          <w:p>
            <w:pPr>
              <w:spacing w:after="0"/>
              <w:rPr>
                <w:sz w:val="24"/>
                <w:szCs w:val="24"/>
                <w:color w:val="auto"/>
              </w:rPr>
            </w:pPr>
          </w:p>
        </w:tc>
        <w:tc>
          <w:tcPr>
            <w:tcW w:w="7520" w:type="dxa"/>
            <w:vAlign w:val="bottom"/>
            <w:gridSpan w:val="2"/>
          </w:tcPr>
          <w:p>
            <w:pPr>
              <w:ind w:left="460"/>
              <w:spacing w:after="0"/>
              <w:rPr>
                <w:sz w:val="20"/>
                <w:szCs w:val="20"/>
                <w:color w:val="auto"/>
              </w:rPr>
            </w:pPr>
            <w:r>
              <w:rPr>
                <w:rFonts w:ascii="Arial" w:cs="Arial" w:eastAsia="Arial" w:hAnsi="Arial"/>
                <w:sz w:val="16"/>
                <w:szCs w:val="16"/>
                <w:b w:val="1"/>
                <w:bCs w:val="1"/>
                <w:color w:val="auto"/>
              </w:rPr>
              <w:t>SUBSIDIARIES OF THE REGISTRANT</w:t>
            </w:r>
          </w:p>
        </w:tc>
      </w:tr>
      <w:tr>
        <w:trPr>
          <w:trHeight w:val="411"/>
        </w:trPr>
        <w:tc>
          <w:tcPr>
            <w:tcW w:w="3720" w:type="dxa"/>
            <w:vAlign w:val="bottom"/>
          </w:tcPr>
          <w:p>
            <w:pPr>
              <w:spacing w:after="0"/>
              <w:rPr>
                <w:sz w:val="24"/>
                <w:szCs w:val="24"/>
                <w:color w:val="auto"/>
              </w:rPr>
            </w:pPr>
          </w:p>
        </w:tc>
        <w:tc>
          <w:tcPr>
            <w:tcW w:w="2480" w:type="dxa"/>
            <w:vAlign w:val="bottom"/>
          </w:tcPr>
          <w:p>
            <w:pPr>
              <w:jc w:val="center"/>
              <w:ind w:left="599"/>
              <w:spacing w:after="0"/>
              <w:rPr>
                <w:sz w:val="20"/>
                <w:szCs w:val="20"/>
                <w:color w:val="auto"/>
              </w:rPr>
            </w:pPr>
            <w:r>
              <w:rPr>
                <w:rFonts w:ascii="Arial" w:cs="Arial" w:eastAsia="Arial" w:hAnsi="Arial"/>
                <w:sz w:val="16"/>
                <w:szCs w:val="16"/>
                <w:b w:val="1"/>
                <w:bCs w:val="1"/>
                <w:color w:val="auto"/>
                <w:w w:val="88"/>
              </w:rPr>
              <w:t>State of</w:t>
            </w:r>
          </w:p>
        </w:tc>
        <w:tc>
          <w:tcPr>
            <w:tcW w:w="5040" w:type="dxa"/>
            <w:vAlign w:val="bottom"/>
          </w:tcPr>
          <w:p>
            <w:pPr>
              <w:spacing w:after="0"/>
              <w:rPr>
                <w:sz w:val="24"/>
                <w:szCs w:val="24"/>
                <w:color w:val="auto"/>
              </w:rPr>
            </w:pPr>
          </w:p>
        </w:tc>
      </w:tr>
      <w:tr>
        <w:trPr>
          <w:trHeight w:val="2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Subsidiary</w:t>
            </w:r>
          </w:p>
        </w:tc>
        <w:tc>
          <w:tcPr>
            <w:tcW w:w="248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w w:val="93"/>
              </w:rPr>
              <w:t>Incorporation</w:t>
            </w:r>
          </w:p>
        </w:tc>
        <w:tc>
          <w:tcPr>
            <w:tcW w:w="50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8"/>
              </w:rPr>
              <w:t>Doing Business As Name</w:t>
            </w: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A Plus Health Care,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89"/>
              </w:rPr>
              <w:t>Montana</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2"/>
              </w:rPr>
              <w:t>A-Plus HealthCare</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Addus HealthCare,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8"/>
              </w:rPr>
              <w:t>Illinois</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3"/>
              </w:rPr>
              <w:t>Addus HomeCare; Arcadia Home Care &amp; Staffing</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Addus HealthCare (Delaware),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1"/>
              </w:rPr>
              <w:t>Addus HomeCare Delaware</w:t>
            </w:r>
          </w:p>
        </w:tc>
      </w:tr>
      <w:tr>
        <w:trPr>
          <w:trHeight w:val="432"/>
        </w:trPr>
        <w:tc>
          <w:tcPr>
            <w:tcW w:w="3720" w:type="dxa"/>
            <w:vAlign w:val="bottom"/>
          </w:tcPr>
          <w:p>
            <w:pPr>
              <w:ind w:left="20"/>
              <w:spacing w:after="0"/>
              <w:rPr>
                <w:sz w:val="20"/>
                <w:szCs w:val="20"/>
                <w:color w:val="auto"/>
              </w:rPr>
            </w:pPr>
            <w:r>
              <w:rPr>
                <w:rFonts w:ascii="Arial" w:cs="Arial" w:eastAsia="Arial" w:hAnsi="Arial"/>
                <w:sz w:val="16"/>
                <w:szCs w:val="16"/>
                <w:color w:val="auto"/>
              </w:rPr>
              <w:t>Addus HealthCare (Idaho),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1"/>
              </w:rPr>
              <w:t>Addus HomeCare</w:t>
            </w:r>
          </w:p>
        </w:tc>
      </w:tr>
      <w:tr>
        <w:trPr>
          <w:trHeight w:val="432"/>
        </w:trPr>
        <w:tc>
          <w:tcPr>
            <w:tcW w:w="3720" w:type="dxa"/>
            <w:vAlign w:val="bottom"/>
          </w:tcPr>
          <w:p>
            <w:pPr>
              <w:ind w:left="20"/>
              <w:spacing w:after="0"/>
              <w:rPr>
                <w:sz w:val="20"/>
                <w:szCs w:val="20"/>
                <w:color w:val="auto"/>
              </w:rPr>
            </w:pPr>
            <w:r>
              <w:rPr>
                <w:rFonts w:ascii="Arial" w:cs="Arial" w:eastAsia="Arial" w:hAnsi="Arial"/>
                <w:sz w:val="16"/>
                <w:szCs w:val="16"/>
                <w:color w:val="auto"/>
              </w:rPr>
              <w:t>Addus HealthCare (South Carolina),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3"/>
              </w:rPr>
              <w:t>Addus HomeCare; Arcadia Home Care &amp; Staffing</w:t>
            </w:r>
          </w:p>
        </w:tc>
      </w:tr>
      <w:tr>
        <w:trPr>
          <w:trHeight w:val="432"/>
        </w:trPr>
        <w:tc>
          <w:tcPr>
            <w:tcW w:w="3720" w:type="dxa"/>
            <w:vAlign w:val="bottom"/>
          </w:tcPr>
          <w:p>
            <w:pPr>
              <w:ind w:left="20"/>
              <w:spacing w:after="0"/>
              <w:rPr>
                <w:sz w:val="20"/>
                <w:szCs w:val="20"/>
                <w:color w:val="auto"/>
              </w:rPr>
            </w:pPr>
            <w:r>
              <w:rPr>
                <w:rFonts w:ascii="Arial" w:cs="Arial" w:eastAsia="Arial" w:hAnsi="Arial"/>
                <w:sz w:val="16"/>
                <w:szCs w:val="16"/>
                <w:color w:val="auto"/>
              </w:rPr>
              <w:t>Addus Home Office,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rPr>
              <w:t>N/A</w:t>
            </w:r>
          </w:p>
        </w:tc>
      </w:tr>
      <w:tr>
        <w:trPr>
          <w:trHeight w:val="226"/>
        </w:trPr>
        <w:tc>
          <w:tcPr>
            <w:tcW w:w="3720" w:type="dxa"/>
            <w:vAlign w:val="bottom"/>
          </w:tcPr>
          <w:p>
            <w:pPr>
              <w:ind w:left="20"/>
              <w:spacing w:after="0"/>
              <w:rPr>
                <w:sz w:val="20"/>
                <w:szCs w:val="20"/>
                <w:color w:val="auto"/>
              </w:rPr>
            </w:pPr>
            <w:r>
              <w:rPr>
                <w:rFonts w:ascii="Arial" w:cs="Arial" w:eastAsia="Arial" w:hAnsi="Arial"/>
                <w:sz w:val="16"/>
                <w:szCs w:val="16"/>
                <w:color w:val="auto"/>
              </w:rPr>
              <w:t>Addus Hospice of Illinois,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199"/>
              <w:spacing w:after="0"/>
              <w:rPr>
                <w:sz w:val="20"/>
                <w:szCs w:val="20"/>
                <w:color w:val="auto"/>
              </w:rPr>
            </w:pPr>
            <w:r>
              <w:rPr>
                <w:rFonts w:ascii="Arial" w:cs="Arial" w:eastAsia="Arial" w:hAnsi="Arial"/>
                <w:sz w:val="16"/>
                <w:szCs w:val="16"/>
                <w:color w:val="auto"/>
                <w:w w:val="91"/>
              </w:rPr>
              <w:t>JourneyCare – Barrington; JourneyCare – Glenview JourneyCare –</w:t>
            </w:r>
          </w:p>
        </w:tc>
      </w:tr>
      <w:tr>
        <w:trPr>
          <w:trHeight w:val="206"/>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4"/>
              </w:rPr>
              <w:t>Crystal Lake</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Addus Nurse Care,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3"/>
              </w:rPr>
              <w:t>Sun City Caregivers; Lifestyle Options</w:t>
            </w:r>
          </w:p>
        </w:tc>
      </w:tr>
      <w:tr>
        <w:trPr>
          <w:trHeight w:val="432"/>
        </w:trPr>
        <w:tc>
          <w:tcPr>
            <w:tcW w:w="3720" w:type="dxa"/>
            <w:vAlign w:val="bottom"/>
          </w:tcPr>
          <w:p>
            <w:pPr>
              <w:ind w:left="20"/>
              <w:spacing w:after="0"/>
              <w:rPr>
                <w:sz w:val="20"/>
                <w:szCs w:val="20"/>
                <w:color w:val="auto"/>
              </w:rPr>
            </w:pPr>
            <w:r>
              <w:rPr>
                <w:rFonts w:ascii="Arial" w:cs="Arial" w:eastAsia="Arial" w:hAnsi="Arial"/>
                <w:sz w:val="16"/>
                <w:szCs w:val="16"/>
                <w:color w:val="auto"/>
              </w:rPr>
              <w:t>Alamo Area Home Hospice, LP</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82"/>
              </w:rPr>
              <w:t>Texas</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4"/>
              </w:rPr>
              <w:t>Alamo Hospice</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Alliance Home Health Care,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6"/>
              </w:rPr>
              <w:t>New Mexico</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2"/>
              </w:rPr>
              <w:t>Ambercare Home Health; Ambercare</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Ambercare Corporation</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6"/>
              </w:rPr>
              <w:t>New Mexico</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rPr>
              <w:t>N/A</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Ambercare Home Health Care Corporation</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6"/>
              </w:rPr>
              <w:t>New Mexico</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0"/>
              </w:rPr>
              <w:t>Ambercare Home Health; Ambercare Personal Care Services</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Ambercare Hospice,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6"/>
              </w:rPr>
              <w:t>New Mexico</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1"/>
              </w:rPr>
              <w:t>Ambercare</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Apple Home Healthcare, LTD</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8"/>
              </w:rPr>
              <w:t>Illinois</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3"/>
              </w:rPr>
              <w:t>Apple Home Health</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Armada Hospice of New Mexico,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5"/>
              </w:rPr>
              <w:t>Armada Hospice of New Mexico, LLC</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Armada Hospice of Santa Fe,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2"/>
              </w:rPr>
              <w:t>Armada Hospice of Santa Fe, LLC</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Armada Skilled Home Care of New Mexico,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1"/>
              </w:rPr>
              <w:t>Ambercare Home Health</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Coastal Nursecare of Florida,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8"/>
              </w:rPr>
              <w:t>Florida</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2"/>
              </w:rPr>
              <w:t>Carestaff</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County Homemakers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2"/>
              </w:rPr>
              <w:t>Pennsylvania</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4"/>
              </w:rPr>
              <w:t>Arcadia Home Care &amp; Staffing</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Cura Partners,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85"/>
              </w:rPr>
              <w:t>Tennessee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1"/>
              </w:rPr>
              <w:t>Addus HomeCare</w:t>
            </w:r>
          </w:p>
        </w:tc>
      </w:tr>
      <w:tr>
        <w:trPr>
          <w:trHeight w:val="432"/>
        </w:trPr>
        <w:tc>
          <w:tcPr>
            <w:tcW w:w="3720" w:type="dxa"/>
            <w:vAlign w:val="bottom"/>
          </w:tcPr>
          <w:p>
            <w:pPr>
              <w:ind w:left="20"/>
              <w:spacing w:after="0"/>
              <w:rPr>
                <w:sz w:val="20"/>
                <w:szCs w:val="20"/>
                <w:color w:val="auto"/>
              </w:rPr>
            </w:pPr>
            <w:r>
              <w:rPr>
                <w:rFonts w:ascii="Arial" w:cs="Arial" w:eastAsia="Arial" w:hAnsi="Arial"/>
                <w:sz w:val="16"/>
                <w:szCs w:val="16"/>
                <w:color w:val="auto"/>
              </w:rPr>
              <w:t>Hospice Partners of America,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2"/>
              </w:rPr>
              <w:t>Hospice Partners of America</w:t>
            </w:r>
          </w:p>
        </w:tc>
      </w:tr>
      <w:tr>
        <w:trPr>
          <w:trHeight w:val="226"/>
        </w:trPr>
        <w:tc>
          <w:tcPr>
            <w:tcW w:w="3720" w:type="dxa"/>
            <w:vAlign w:val="bottom"/>
          </w:tcPr>
          <w:p>
            <w:pPr>
              <w:ind w:left="20"/>
              <w:spacing w:after="0"/>
              <w:rPr>
                <w:sz w:val="20"/>
                <w:szCs w:val="20"/>
                <w:color w:val="auto"/>
              </w:rPr>
            </w:pPr>
            <w:r>
              <w:rPr>
                <w:rFonts w:ascii="Arial" w:cs="Arial" w:eastAsia="Arial" w:hAnsi="Arial"/>
                <w:sz w:val="16"/>
                <w:szCs w:val="16"/>
                <w:color w:val="auto"/>
              </w:rPr>
              <w:t>Hospice Partners of America Holding,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19"/>
              <w:spacing w:after="0"/>
              <w:rPr>
                <w:sz w:val="20"/>
                <w:szCs w:val="20"/>
                <w:color w:val="auto"/>
              </w:rPr>
            </w:pPr>
            <w:r>
              <w:rPr>
                <w:rFonts w:ascii="Arial" w:cs="Arial" w:eastAsia="Arial" w:hAnsi="Arial"/>
                <w:sz w:val="16"/>
                <w:szCs w:val="16"/>
                <w:color w:val="auto"/>
                <w:w w:val="93"/>
              </w:rPr>
              <w:t>Alamo Hospice of Conroe; Alamo Hospice of Waco; Hospice of</w:t>
            </w:r>
          </w:p>
        </w:tc>
      </w:tr>
      <w:tr>
        <w:trPr>
          <w:trHeight w:val="206"/>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7"/>
              </w:rPr>
              <w:t>Virginia</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Hospice Partners of Texas,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0"/>
              </w:rPr>
              <w:t>Hospice Partners of Texas</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House Calls of New Mexico,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6"/>
              </w:rPr>
              <w:t>New Mexico</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4"/>
              </w:rPr>
              <w:t>House Calls of New Mexico</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HPA Idaho,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89"/>
              </w:rPr>
              <w:t>Idaho</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3"/>
              </w:rPr>
              <w:t>Harrison’s Hope; Harrison’s Hope Twin Falls</w:t>
            </w:r>
          </w:p>
        </w:tc>
      </w:tr>
      <w:tr>
        <w:trPr>
          <w:trHeight w:val="226"/>
        </w:trPr>
        <w:tc>
          <w:tcPr>
            <w:tcW w:w="3720" w:type="dxa"/>
            <w:vAlign w:val="bottom"/>
          </w:tcPr>
          <w:p>
            <w:pPr>
              <w:ind w:left="20"/>
              <w:spacing w:after="0"/>
              <w:rPr>
                <w:sz w:val="20"/>
                <w:szCs w:val="20"/>
                <w:color w:val="auto"/>
              </w:rPr>
            </w:pPr>
            <w:r>
              <w:rPr>
                <w:rFonts w:ascii="Arial" w:cs="Arial" w:eastAsia="Arial" w:hAnsi="Arial"/>
                <w:sz w:val="16"/>
                <w:szCs w:val="16"/>
                <w:color w:val="auto"/>
              </w:rPr>
              <w:t>HPA Medical Management,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199"/>
              <w:spacing w:after="0"/>
              <w:rPr>
                <w:sz w:val="20"/>
                <w:szCs w:val="20"/>
                <w:color w:val="auto"/>
              </w:rPr>
            </w:pPr>
            <w:r>
              <w:rPr>
                <w:rFonts w:ascii="Arial" w:cs="Arial" w:eastAsia="Arial" w:hAnsi="Arial"/>
                <w:sz w:val="16"/>
                <w:szCs w:val="16"/>
                <w:color w:val="auto"/>
                <w:w w:val="91"/>
              </w:rPr>
              <w:t>Alamo Supportive Care; Serenity Supportive Care; JourneyCare</w:t>
            </w:r>
          </w:p>
        </w:tc>
      </w:tr>
      <w:tr>
        <w:trPr>
          <w:trHeight w:val="206"/>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3"/>
              </w:rPr>
              <w:t>Palliative Care, Hospice of Virginia Supportive Care</w:t>
            </w:r>
          </w:p>
        </w:tc>
      </w:tr>
      <w:tr>
        <w:trPr>
          <w:trHeight w:val="459"/>
        </w:trPr>
        <w:tc>
          <w:tcPr>
            <w:tcW w:w="3720" w:type="dxa"/>
            <w:vAlign w:val="bottom"/>
          </w:tcPr>
          <w:p>
            <w:pPr>
              <w:ind w:left="20"/>
              <w:spacing w:after="0"/>
              <w:rPr>
                <w:sz w:val="20"/>
                <w:szCs w:val="20"/>
                <w:color w:val="auto"/>
              </w:rPr>
            </w:pPr>
            <w:r>
              <w:rPr>
                <w:rFonts w:ascii="Arial" w:cs="Arial" w:eastAsia="Arial" w:hAnsi="Arial"/>
                <w:sz w:val="16"/>
                <w:szCs w:val="16"/>
                <w:color w:val="auto"/>
              </w:rPr>
              <w:t>H&amp;PC of America,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7"/>
              </w:rPr>
              <w:t>H&amp;PC of America</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Miracle City Hospice,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5"/>
              </w:rPr>
              <w:t>Miracle City Hospice</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New Capital Partners II-HS,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3"/>
              </w:rPr>
              <w:t>New Capital Partners II-HS</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Options Service,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2"/>
              </w:rPr>
              <w:t>Colorado</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0"/>
              </w:rPr>
              <w:t>Ambercare Personal Care Services</w:t>
            </w:r>
          </w:p>
        </w:tc>
      </w:tr>
      <w:tr>
        <w:trPr>
          <w:trHeight w:val="432"/>
        </w:trPr>
        <w:tc>
          <w:tcPr>
            <w:tcW w:w="3720" w:type="dxa"/>
            <w:vAlign w:val="bottom"/>
          </w:tcPr>
          <w:p>
            <w:pPr>
              <w:ind w:left="20"/>
              <w:spacing w:after="0"/>
              <w:rPr>
                <w:sz w:val="20"/>
                <w:szCs w:val="20"/>
                <w:color w:val="auto"/>
              </w:rPr>
            </w:pPr>
            <w:r>
              <w:rPr>
                <w:rFonts w:ascii="Arial" w:cs="Arial" w:eastAsia="Arial" w:hAnsi="Arial"/>
                <w:sz w:val="16"/>
                <w:szCs w:val="16"/>
                <w:color w:val="auto"/>
              </w:rPr>
              <w:t>PHC Acquisition Corporation</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California</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1"/>
              </w:rPr>
              <w:t>Addus HomeCare</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PRAC Holdings,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4"/>
              </w:rPr>
              <w:t>Arcadia Home Care &amp; Staffing</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Priority Home Health Care,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Ohio</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1"/>
              </w:rPr>
              <w:t>Addus HomeCare</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Professional Reliable Nursing Service,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California</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4"/>
              </w:rPr>
              <w:t>Arcadia Home Care &amp; Staffing</w:t>
            </w:r>
          </w:p>
        </w:tc>
      </w:tr>
      <w:tr>
        <w:trPr>
          <w:trHeight w:val="226"/>
        </w:trPr>
        <w:tc>
          <w:tcPr>
            <w:tcW w:w="3720" w:type="dxa"/>
            <w:vAlign w:val="bottom"/>
          </w:tcPr>
          <w:p>
            <w:pPr>
              <w:ind w:left="20"/>
              <w:spacing w:after="0"/>
              <w:rPr>
                <w:sz w:val="20"/>
                <w:szCs w:val="20"/>
                <w:color w:val="auto"/>
              </w:rPr>
            </w:pPr>
            <w:r>
              <w:rPr>
                <w:rFonts w:ascii="Arial" w:cs="Arial" w:eastAsia="Arial" w:hAnsi="Arial"/>
                <w:sz w:val="16"/>
                <w:szCs w:val="16"/>
                <w:color w:val="auto"/>
              </w:rPr>
              <w:t>Queen City Hospice,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19"/>
              <w:spacing w:after="0"/>
              <w:rPr>
                <w:sz w:val="20"/>
                <w:szCs w:val="20"/>
                <w:color w:val="auto"/>
              </w:rPr>
            </w:pPr>
            <w:r>
              <w:rPr>
                <w:rFonts w:ascii="Arial" w:cs="Arial" w:eastAsia="Arial" w:hAnsi="Arial"/>
                <w:sz w:val="16"/>
                <w:szCs w:val="16"/>
                <w:color w:val="auto"/>
                <w:w w:val="93"/>
              </w:rPr>
              <w:t>Queen City Hospice; Day City Hospice; Capital City Hospice, Queen</w:t>
            </w:r>
          </w:p>
        </w:tc>
      </w:tr>
      <w:tr>
        <w:trPr>
          <w:trHeight w:val="206"/>
        </w:trPr>
        <w:tc>
          <w:tcPr>
            <w:tcW w:w="3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1"/>
              </w:rPr>
              <w:t>City Hospice East</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Serenity Palliative Care and Hospice,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4"/>
              </w:rPr>
              <w:t>Delaware</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2"/>
              </w:rPr>
              <w:t>Serenity Hospice</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SLHC,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5"/>
              </w:rPr>
              <w:t>Arizona</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2"/>
              </w:rPr>
              <w:t>SunLife Home Care</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South Shore Home Health Service, Inc.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7"/>
              </w:rPr>
              <w:t>New York</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w w:val="91"/>
              </w:rPr>
              <w:t>Addus HomeCare</w:t>
            </w:r>
          </w:p>
        </w:tc>
      </w:tr>
      <w:tr>
        <w:trPr>
          <w:trHeight w:val="230"/>
        </w:trPr>
        <w:tc>
          <w:tcPr>
            <w:tcW w:w="3720" w:type="dxa"/>
            <w:vAlign w:val="bottom"/>
          </w:tcPr>
          <w:p>
            <w:pPr>
              <w:ind w:left="20"/>
              <w:spacing w:after="0"/>
              <w:rPr>
                <w:sz w:val="20"/>
                <w:szCs w:val="20"/>
                <w:color w:val="auto"/>
              </w:rPr>
            </w:pPr>
            <w:r>
              <w:rPr>
                <w:rFonts w:ascii="Arial" w:cs="Arial" w:eastAsia="Arial" w:hAnsi="Arial"/>
                <w:sz w:val="16"/>
                <w:szCs w:val="16"/>
                <w:color w:val="auto"/>
              </w:rPr>
              <w:t>Summit Home Health,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98"/>
              </w:rPr>
              <w:t>Illinois</w:t>
            </w:r>
          </w:p>
        </w:tc>
        <w:tc>
          <w:tcPr>
            <w:tcW w:w="5040" w:type="dxa"/>
            <w:vAlign w:val="bottom"/>
          </w:tcPr>
          <w:p>
            <w:pPr>
              <w:jc w:val="center"/>
              <w:ind w:left="259"/>
              <w:spacing w:after="0"/>
              <w:rPr>
                <w:sz w:val="20"/>
                <w:szCs w:val="20"/>
                <w:color w:val="auto"/>
              </w:rPr>
            </w:pPr>
            <w:r>
              <w:rPr>
                <w:rFonts w:ascii="Arial" w:cs="Arial" w:eastAsia="Arial" w:hAnsi="Arial"/>
                <w:sz w:val="16"/>
                <w:szCs w:val="16"/>
                <w:color w:val="auto"/>
                <w:w w:val="93"/>
              </w:rPr>
              <w:t>Addus Home Health</w:t>
            </w:r>
          </w:p>
        </w:tc>
      </w:tr>
      <w:tr>
        <w:trPr>
          <w:trHeight w:val="229"/>
        </w:trPr>
        <w:tc>
          <w:tcPr>
            <w:tcW w:w="3720" w:type="dxa"/>
            <w:vAlign w:val="bottom"/>
          </w:tcPr>
          <w:p>
            <w:pPr>
              <w:ind w:left="20"/>
              <w:spacing w:after="0"/>
              <w:rPr>
                <w:sz w:val="20"/>
                <w:szCs w:val="20"/>
                <w:color w:val="auto"/>
              </w:rPr>
            </w:pPr>
            <w:r>
              <w:rPr>
                <w:rFonts w:ascii="Arial" w:cs="Arial" w:eastAsia="Arial" w:hAnsi="Arial"/>
                <w:sz w:val="16"/>
                <w:szCs w:val="16"/>
                <w:color w:val="auto"/>
              </w:rPr>
              <w:t>TR&amp;B, LLC</w:t>
            </w:r>
          </w:p>
        </w:tc>
        <w:tc>
          <w:tcPr>
            <w:tcW w:w="2480" w:type="dxa"/>
            <w:vAlign w:val="bottom"/>
          </w:tcPr>
          <w:p>
            <w:pPr>
              <w:jc w:val="center"/>
              <w:ind w:left="599"/>
              <w:spacing w:after="0"/>
              <w:rPr>
                <w:sz w:val="20"/>
                <w:szCs w:val="20"/>
                <w:color w:val="auto"/>
              </w:rPr>
            </w:pPr>
            <w:r>
              <w:rPr>
                <w:rFonts w:ascii="Arial" w:cs="Arial" w:eastAsia="Arial" w:hAnsi="Arial"/>
                <w:sz w:val="16"/>
                <w:szCs w:val="16"/>
                <w:color w:val="auto"/>
                <w:w w:val="82"/>
              </w:rPr>
              <w:t>Texas</w:t>
            </w:r>
          </w:p>
        </w:tc>
        <w:tc>
          <w:tcPr>
            <w:tcW w:w="5040" w:type="dxa"/>
            <w:vAlign w:val="bottom"/>
          </w:tcPr>
          <w:p>
            <w:pPr>
              <w:jc w:val="center"/>
              <w:ind w:left="239"/>
              <w:spacing w:after="0"/>
              <w:rPr>
                <w:sz w:val="20"/>
                <w:szCs w:val="20"/>
                <w:color w:val="auto"/>
              </w:rPr>
            </w:pPr>
            <w:r>
              <w:rPr>
                <w:rFonts w:ascii="Arial" w:cs="Arial" w:eastAsia="Arial" w:hAnsi="Arial"/>
                <w:sz w:val="16"/>
                <w:szCs w:val="16"/>
                <w:color w:val="auto"/>
              </w:rPr>
              <w:t>TR&amp;B</w:t>
            </w:r>
          </w:p>
        </w:tc>
      </w:tr>
    </w:tbl>
    <w:p>
      <w:pPr>
        <w:spacing w:after="0" w:line="212"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Pursuant to Item 601(b)(21)(ii) of Regulation S-K, certain subsidiaries have been omitted because, when considered in the aggregate, they do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333-267253) and on Form S-8 (Nos. 333-219946, 333-190433, and 333-164413) of Addus HomeCare Corporation of our report dated February 28, 2023 relating to the financial statements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Chief Executive Officer and Chairman of the Board of Addus HomeCare Corporation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00" w:hanging="512"/>
        <w:spacing w:after="0" w:line="26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20" w:right="32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6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40" w:hanging="503"/>
        <w:spacing w:after="0" w:line="263"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60" w:hanging="512"/>
        <w:spacing w:after="0" w:line="342"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360" w:hanging="503"/>
        <w:spacing w:after="0" w:line="277" w:lineRule="auto"/>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00" w:lineRule="exact"/>
        <w:rPr>
          <w:sz w:val="20"/>
          <w:szCs w:val="20"/>
          <w:color w:val="auto"/>
        </w:rPr>
      </w:pPr>
    </w:p>
    <w:p>
      <w:pPr>
        <w:spacing w:after="0" w:line="282" w:lineRule="exact"/>
        <w:rPr>
          <w:sz w:val="20"/>
          <w:szCs w:val="20"/>
          <w:color w:val="auto"/>
        </w:rPr>
      </w:pPr>
    </w:p>
    <w:p>
      <w:pPr>
        <w:ind w:left="1880"/>
        <w:spacing w:after="0"/>
        <w:tabs>
          <w:tab w:leader="none" w:pos="2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54901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R. Dirk Allison</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Poff, Chief Financial Officer of Addus HomeCare Corporation,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00" w:hanging="512"/>
        <w:spacing w:after="0" w:line="263"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20" w:right="32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60" w:hanging="503"/>
        <w:spacing w:after="0" w:line="342"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40" w:hanging="503"/>
        <w:spacing w:after="0" w:line="263"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60" w:hanging="512"/>
        <w:spacing w:after="0" w:line="342"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360" w:hanging="503"/>
        <w:spacing w:after="0" w:line="277" w:lineRule="auto"/>
        <w:tabs>
          <w:tab w:leader="none" w:pos="10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2023</w:t>
      </w:r>
    </w:p>
    <w:p>
      <w:pPr>
        <w:spacing w:after="0" w:line="239" w:lineRule="exact"/>
        <w:rPr>
          <w:sz w:val="20"/>
          <w:szCs w:val="20"/>
          <w:color w:val="auto"/>
        </w:rPr>
      </w:pPr>
    </w:p>
    <w:p>
      <w:pPr>
        <w:ind w:left="1320"/>
        <w:spacing w:after="0"/>
        <w:tabs>
          <w:tab w:leader="none" w:pos="1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54901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7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Brian Poff</w:t>
      </w:r>
    </w:p>
    <w:p>
      <w:pPr>
        <w:spacing w:after="0" w:line="3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In connection with the Annual Report on Form 10-K for the fiscal year ended December 31, 2022 of Addus HomeCare Corporation (the “Company”) as filed with the Securities and Exchange Commission on the date hereof (the “Report”), I, R. Dirk Allison, Chief Executive Officer and Chairman of the Board of the Company, certify, pursuant to 18 U.S.C. Section 1350, as adopted pursuant to Section 906 of the Sarbanes-Oxley Act of 2002, that:</w:t>
      </w:r>
    </w:p>
    <w:p>
      <w:pPr>
        <w:spacing w:after="0" w:line="79"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5500" w:val="left"/>
          <w:tab w:leader="none" w:pos="7720" w:val="left"/>
          <w:tab w:leader="none" w:pos="80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6"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R. Dirk Allison</w:t>
      </w:r>
    </w:p>
    <w:p>
      <w:pPr>
        <w:spacing w:after="0" w:line="36"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720" w:firstLine="509"/>
        <w:spacing w:after="0" w:line="311" w:lineRule="auto"/>
        <w:rPr>
          <w:sz w:val="20"/>
          <w:szCs w:val="20"/>
          <w:color w:val="auto"/>
        </w:rPr>
      </w:pPr>
      <w:r>
        <w:rPr>
          <w:rFonts w:ascii="Arial" w:cs="Arial" w:eastAsia="Arial" w:hAnsi="Arial"/>
          <w:sz w:val="16"/>
          <w:szCs w:val="16"/>
          <w:color w:val="auto"/>
        </w:rPr>
        <w:t>In connection with the Annual Report on Form 10-K for the fiscal year ended December 31, 2022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5500" w:val="left"/>
          <w:tab w:leader="none" w:pos="7320" w:val="left"/>
          <w:tab w:leader="none" w:pos="76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5755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6"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Brian Poff</w:t>
      </w:r>
    </w:p>
    <w:p>
      <w:pPr>
        <w:spacing w:after="0" w:line="36"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2)"/>
      <w:numFmt w:val="lowerLetter"/>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
      <w:numFmt w:val="bullet"/>
      <w:start w:val="1"/>
    </w:lvl>
    <w:lvl w:ilvl="1">
      <w:lvlJc w:val="left"/>
      <w:lvlText w:val="%2"/>
      <w:numFmt w:val="decimal"/>
      <w:start w:val="104"/>
    </w:lvl>
  </w:abstractNum>
  <w:abstractNum w:abstractNumId="25">
    <w:nsid w:val="3A95F874"/>
    <w:multiLevelType w:val="hybridMultilevel"/>
    <w:lvl w:ilvl="0">
      <w:lvlJc w:val="left"/>
      <w:lvlText w:val="**"/>
      <w:numFmt w:val="bullet"/>
      <w:start w:val="1"/>
    </w:lvl>
    <w:lvl w:ilvl="1">
      <w:lvlJc w:val="left"/>
      <w:lvlText w:val="%2"/>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50"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10" Type="http://schemas.openxmlformats.org/officeDocument/2006/relationships/image" Target="media/image268.png"/><Relationship Id="rId311" Type="http://schemas.openxmlformats.org/officeDocument/2006/relationships/image" Target="media/image269.png"/><Relationship Id="rId312" Type="http://schemas.openxmlformats.org/officeDocument/2006/relationships/image" Target="media/image270.png"/><Relationship Id="rId313"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1" Type="http://schemas.openxmlformats.org/officeDocument/2006/relationships/image" Target="media/image284.png"/><Relationship Id="rId332" Type="http://schemas.openxmlformats.org/officeDocument/2006/relationships/image" Target="media/image285.png"/><Relationship Id="rId333"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3" Type="http://schemas.openxmlformats.org/officeDocument/2006/relationships/image" Target="media/image294.png"/><Relationship Id="rId344"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2" Type="http://schemas.openxmlformats.org/officeDocument/2006/relationships/image" Target="media/image300.png"/><Relationship Id="rId353" Type="http://schemas.openxmlformats.org/officeDocument/2006/relationships/image" Target="media/image301.png"/><Relationship Id="rId355" Type="http://schemas.openxmlformats.org/officeDocument/2006/relationships/image" Target="media/image302.png"/><Relationship Id="rId356" Type="http://schemas.openxmlformats.org/officeDocument/2006/relationships/image" Target="media/image303.png"/><Relationship Id="rId357" Type="http://schemas.openxmlformats.org/officeDocument/2006/relationships/image" Target="media/image304.png"/><Relationship Id="rId358" Type="http://schemas.openxmlformats.org/officeDocument/2006/relationships/image" Target="media/image305.png"/><Relationship Id="rId360" Type="http://schemas.openxmlformats.org/officeDocument/2006/relationships/image" Target="media/image306.png"/><Relationship Id="rId361" Type="http://schemas.openxmlformats.org/officeDocument/2006/relationships/image" Target="media/image307.png"/><Relationship Id="rId362" Type="http://schemas.openxmlformats.org/officeDocument/2006/relationships/image" Target="media/image308.png"/><Relationship Id="rId363" Type="http://schemas.openxmlformats.org/officeDocument/2006/relationships/image" Target="media/image309.png"/><Relationship Id="rId364" Type="http://schemas.openxmlformats.org/officeDocument/2006/relationships/image" Target="media/image310.png"/><Relationship Id="rId365" Type="http://schemas.openxmlformats.org/officeDocument/2006/relationships/image" Target="media/image311.png"/><Relationship Id="rId366" Type="http://schemas.openxmlformats.org/officeDocument/2006/relationships/image" Target="media/image312.png"/><Relationship Id="rId373" Type="http://schemas.openxmlformats.org/officeDocument/2006/relationships/image" Target="media/image313.png"/><Relationship Id="rId374" Type="http://schemas.openxmlformats.org/officeDocument/2006/relationships/image" Target="media/image314.png"/><Relationship Id="rId375" Type="http://schemas.openxmlformats.org/officeDocument/2006/relationships/image" Target="media/image315.png"/><Relationship Id="rId376" Type="http://schemas.openxmlformats.org/officeDocument/2006/relationships/image" Target="media/image316.png"/><Relationship Id="rId377" Type="http://schemas.openxmlformats.org/officeDocument/2006/relationships/image" Target="media/image317.png"/><Relationship Id="rId378" Type="http://schemas.openxmlformats.org/officeDocument/2006/relationships/image" Target="media/image318.png"/><Relationship Id="rId379" Type="http://schemas.openxmlformats.org/officeDocument/2006/relationships/image" Target="media/image319.png"/><Relationship Id="rId380" Type="http://schemas.openxmlformats.org/officeDocument/2006/relationships/image" Target="media/image320.png"/><Relationship Id="rId381" Type="http://schemas.openxmlformats.org/officeDocument/2006/relationships/image" Target="media/image321.png"/><Relationship Id="rId382" Type="http://schemas.openxmlformats.org/officeDocument/2006/relationships/image" Target="media/image322.png"/><Relationship Id="rId383" Type="http://schemas.openxmlformats.org/officeDocument/2006/relationships/image" Target="media/image323.png"/><Relationship Id="rId384" Type="http://schemas.openxmlformats.org/officeDocument/2006/relationships/image" Target="media/image324.png"/><Relationship Id="rId385" Type="http://schemas.openxmlformats.org/officeDocument/2006/relationships/image" Target="media/image325.png"/><Relationship Id="rId386" Type="http://schemas.openxmlformats.org/officeDocument/2006/relationships/image" Target="media/image326.png"/><Relationship Id="rId387" Type="http://schemas.openxmlformats.org/officeDocument/2006/relationships/image" Target="media/image327.png"/><Relationship Id="rId388" Type="http://schemas.openxmlformats.org/officeDocument/2006/relationships/image" Target="media/image328.png"/><Relationship Id="rId389" Type="http://schemas.openxmlformats.org/officeDocument/2006/relationships/image" Target="media/image329.png"/><Relationship Id="rId390" Type="http://schemas.openxmlformats.org/officeDocument/2006/relationships/image" Target="media/image330.png"/><Relationship Id="rId391" Type="http://schemas.openxmlformats.org/officeDocument/2006/relationships/image" Target="media/image331.png"/><Relationship Id="rId392" Type="http://schemas.openxmlformats.org/officeDocument/2006/relationships/image" Target="media/image332.png"/><Relationship Id="rId393" Type="http://schemas.openxmlformats.org/officeDocument/2006/relationships/image" Target="media/image333.png"/><Relationship Id="rId394" Type="http://schemas.openxmlformats.org/officeDocument/2006/relationships/image" Target="media/image334.png"/><Relationship Id="rId395" Type="http://schemas.openxmlformats.org/officeDocument/2006/relationships/image" Target="media/image335.png"/><Relationship Id="rId396" Type="http://schemas.openxmlformats.org/officeDocument/2006/relationships/image" Target="media/image336.png"/><Relationship Id="rId397" Type="http://schemas.openxmlformats.org/officeDocument/2006/relationships/image" Target="media/image337.png"/><Relationship Id="rId398" Type="http://schemas.openxmlformats.org/officeDocument/2006/relationships/image" Target="media/image338.png"/><Relationship Id="rId399" Type="http://schemas.openxmlformats.org/officeDocument/2006/relationships/image" Target="media/image339.png"/><Relationship Id="rId400" Type="http://schemas.openxmlformats.org/officeDocument/2006/relationships/image" Target="media/image340.png"/><Relationship Id="rId401" Type="http://schemas.openxmlformats.org/officeDocument/2006/relationships/image" Target="media/image341.png"/><Relationship Id="rId402" Type="http://schemas.openxmlformats.org/officeDocument/2006/relationships/image" Target="media/image342.png"/><Relationship Id="rId403" Type="http://schemas.openxmlformats.org/officeDocument/2006/relationships/image" Target="media/image343.png"/><Relationship Id="rId404" Type="http://schemas.openxmlformats.org/officeDocument/2006/relationships/image" Target="media/image344.png"/><Relationship Id="rId405" Type="http://schemas.openxmlformats.org/officeDocument/2006/relationships/image" Target="media/image345.png"/><Relationship Id="rId406" Type="http://schemas.openxmlformats.org/officeDocument/2006/relationships/image" Target="media/image346.png"/><Relationship Id="rId407" Type="http://schemas.openxmlformats.org/officeDocument/2006/relationships/image" Target="media/image347.png"/><Relationship Id="rId408" Type="http://schemas.openxmlformats.org/officeDocument/2006/relationships/image" Target="media/image348.png"/><Relationship Id="rId409" Type="http://schemas.openxmlformats.org/officeDocument/2006/relationships/image" Target="media/image349.png"/><Relationship Id="rId410" Type="http://schemas.openxmlformats.org/officeDocument/2006/relationships/image" Target="media/image350.png"/><Relationship Id="rId411" Type="http://schemas.openxmlformats.org/officeDocument/2006/relationships/image" Target="media/image351.png"/><Relationship Id="rId412" Type="http://schemas.openxmlformats.org/officeDocument/2006/relationships/image" Target="media/image352.png"/><Relationship Id="rId413" Type="http://schemas.openxmlformats.org/officeDocument/2006/relationships/image" Target="media/image353.png"/><Relationship Id="rId414" Type="http://schemas.openxmlformats.org/officeDocument/2006/relationships/image" Target="media/image354.png"/><Relationship Id="rId415" Type="http://schemas.openxmlformats.org/officeDocument/2006/relationships/image" Target="media/image355.png"/><Relationship Id="rId416" Type="http://schemas.openxmlformats.org/officeDocument/2006/relationships/image" Target="media/image356.png"/><Relationship Id="rId417" Type="http://schemas.openxmlformats.org/officeDocument/2006/relationships/image" Target="media/image357.png"/><Relationship Id="rId418" Type="http://schemas.openxmlformats.org/officeDocument/2006/relationships/image" Target="media/image358.png"/><Relationship Id="rId419" Type="http://schemas.openxmlformats.org/officeDocument/2006/relationships/image" Target="media/image359.png"/><Relationship Id="rId420" Type="http://schemas.openxmlformats.org/officeDocument/2006/relationships/image" Target="media/image360.png"/><Relationship Id="rId421" Type="http://schemas.openxmlformats.org/officeDocument/2006/relationships/image" Target="media/image361.png"/><Relationship Id="rId422" Type="http://schemas.openxmlformats.org/officeDocument/2006/relationships/image" Target="media/image362.png"/><Relationship Id="rId423" Type="http://schemas.openxmlformats.org/officeDocument/2006/relationships/image" Target="media/image363.png"/><Relationship Id="rId424" Type="http://schemas.openxmlformats.org/officeDocument/2006/relationships/image" Target="media/image364.png"/><Relationship Id="rId425" Type="http://schemas.openxmlformats.org/officeDocument/2006/relationships/image" Target="media/image365.png"/><Relationship Id="rId426" Type="http://schemas.openxmlformats.org/officeDocument/2006/relationships/image" Target="media/image366.png"/><Relationship Id="rId427" Type="http://schemas.openxmlformats.org/officeDocument/2006/relationships/image" Target="media/image367.png"/><Relationship Id="rId428" Type="http://schemas.openxmlformats.org/officeDocument/2006/relationships/image" Target="media/image368.png"/><Relationship Id="rId429" Type="http://schemas.openxmlformats.org/officeDocument/2006/relationships/image" Target="media/image369.png"/><Relationship Id="rId430" Type="http://schemas.openxmlformats.org/officeDocument/2006/relationships/image" Target="media/image370.png"/><Relationship Id="rId431" Type="http://schemas.openxmlformats.org/officeDocument/2006/relationships/image" Target="media/image371.png"/><Relationship Id="rId432" Type="http://schemas.openxmlformats.org/officeDocument/2006/relationships/image" Target="media/image372.png"/><Relationship Id="rId433" Type="http://schemas.openxmlformats.org/officeDocument/2006/relationships/image" Target="media/image373.png"/><Relationship Id="rId434" Type="http://schemas.openxmlformats.org/officeDocument/2006/relationships/image" Target="media/image374.png"/><Relationship Id="rId435" Type="http://schemas.openxmlformats.org/officeDocument/2006/relationships/image" Target="media/image375.png"/><Relationship Id="rId436" Type="http://schemas.openxmlformats.org/officeDocument/2006/relationships/image" Target="media/image376.png"/><Relationship Id="rId437" Type="http://schemas.openxmlformats.org/officeDocument/2006/relationships/image" Target="media/image377.png"/><Relationship Id="rId438" Type="http://schemas.openxmlformats.org/officeDocument/2006/relationships/image" Target="media/image378.png"/><Relationship Id="rId439" Type="http://schemas.openxmlformats.org/officeDocument/2006/relationships/image" Target="media/image379.png"/><Relationship Id="rId440" Type="http://schemas.openxmlformats.org/officeDocument/2006/relationships/image" Target="media/image380.png"/><Relationship Id="rId441" Type="http://schemas.openxmlformats.org/officeDocument/2006/relationships/image" Target="media/image381.png"/><Relationship Id="rId442" Type="http://schemas.openxmlformats.org/officeDocument/2006/relationships/image" Target="media/image382.png"/><Relationship Id="rId443" Type="http://schemas.openxmlformats.org/officeDocument/2006/relationships/image" Target="media/image383.png"/><Relationship Id="rId444" Type="http://schemas.openxmlformats.org/officeDocument/2006/relationships/image" Target="media/image384.png"/><Relationship Id="rId445" Type="http://schemas.openxmlformats.org/officeDocument/2006/relationships/image" Target="media/image385.png"/><Relationship Id="rId446" Type="http://schemas.openxmlformats.org/officeDocument/2006/relationships/image" Target="media/image386.png"/><Relationship Id="rId447" Type="http://schemas.openxmlformats.org/officeDocument/2006/relationships/image" Target="media/image387.png"/><Relationship Id="rId448" Type="http://schemas.openxmlformats.org/officeDocument/2006/relationships/image" Target="media/image388.png"/><Relationship Id="rId449" Type="http://schemas.openxmlformats.org/officeDocument/2006/relationships/image" Target="media/image389.png"/><Relationship Id="rId450" Type="http://schemas.openxmlformats.org/officeDocument/2006/relationships/image" Target="media/image390.png"/><Relationship Id="rId451" Type="http://schemas.openxmlformats.org/officeDocument/2006/relationships/image" Target="media/image391.png"/><Relationship Id="rId452" Type="http://schemas.openxmlformats.org/officeDocument/2006/relationships/image" Target="media/image392.png"/><Relationship Id="rId453" Type="http://schemas.openxmlformats.org/officeDocument/2006/relationships/image" Target="media/image393.png"/><Relationship Id="rId454" Type="http://schemas.openxmlformats.org/officeDocument/2006/relationships/image" Target="media/image394.png"/><Relationship Id="rId455" Type="http://schemas.openxmlformats.org/officeDocument/2006/relationships/image" Target="media/image395.png"/><Relationship Id="rId456" Type="http://schemas.openxmlformats.org/officeDocument/2006/relationships/image" Target="media/image396.png"/><Relationship Id="rId457" Type="http://schemas.openxmlformats.org/officeDocument/2006/relationships/image" Target="media/image397.png"/><Relationship Id="rId458" Type="http://schemas.openxmlformats.org/officeDocument/2006/relationships/image" Target="media/image398.png"/><Relationship Id="rId459" Type="http://schemas.openxmlformats.org/officeDocument/2006/relationships/image" Target="media/image399.png"/><Relationship Id="rId460" Type="http://schemas.openxmlformats.org/officeDocument/2006/relationships/image" Target="media/image400.png"/><Relationship Id="rId461" Type="http://schemas.openxmlformats.org/officeDocument/2006/relationships/image" Target="media/image401.png"/><Relationship Id="rId462" Type="http://schemas.openxmlformats.org/officeDocument/2006/relationships/image" Target="media/image402.png"/><Relationship Id="rId463" Type="http://schemas.openxmlformats.org/officeDocument/2006/relationships/image" Target="media/image403.png"/><Relationship Id="rId464" Type="http://schemas.openxmlformats.org/officeDocument/2006/relationships/image" Target="media/image404.png"/><Relationship Id="rId465" Type="http://schemas.openxmlformats.org/officeDocument/2006/relationships/image" Target="media/image405.png"/><Relationship Id="rId466" Type="http://schemas.openxmlformats.org/officeDocument/2006/relationships/image" Target="media/image406.png"/><Relationship Id="rId467" Type="http://schemas.openxmlformats.org/officeDocument/2006/relationships/image" Target="media/image407.png"/><Relationship Id="rId468" Type="http://schemas.openxmlformats.org/officeDocument/2006/relationships/image" Target="media/image408.png"/><Relationship Id="rId469" Type="http://schemas.openxmlformats.org/officeDocument/2006/relationships/image" Target="media/image409.png"/><Relationship Id="rId470" Type="http://schemas.openxmlformats.org/officeDocument/2006/relationships/image" Target="media/image410.png"/><Relationship Id="rId471" Type="http://schemas.openxmlformats.org/officeDocument/2006/relationships/image" Target="media/image411.png"/><Relationship Id="rId472" Type="http://schemas.openxmlformats.org/officeDocument/2006/relationships/image" Target="media/image412.png"/><Relationship Id="rId473" Type="http://schemas.openxmlformats.org/officeDocument/2006/relationships/image" Target="media/image413.png"/><Relationship Id="rId474" Type="http://schemas.openxmlformats.org/officeDocument/2006/relationships/image" Target="media/image414.png"/><Relationship Id="rId475" Type="http://schemas.openxmlformats.org/officeDocument/2006/relationships/image" Target="media/image415.png"/><Relationship Id="rId476" Type="http://schemas.openxmlformats.org/officeDocument/2006/relationships/image" Target="media/image416.png"/><Relationship Id="rId477" Type="http://schemas.openxmlformats.org/officeDocument/2006/relationships/image" Target="media/image417.png"/><Relationship Id="rId478" Type="http://schemas.openxmlformats.org/officeDocument/2006/relationships/image" Target="media/image418.png"/><Relationship Id="rId479" Type="http://schemas.openxmlformats.org/officeDocument/2006/relationships/image" Target="media/image419.png"/><Relationship Id="rId480" Type="http://schemas.openxmlformats.org/officeDocument/2006/relationships/image" Target="media/image420.png"/><Relationship Id="rId481" Type="http://schemas.openxmlformats.org/officeDocument/2006/relationships/image" Target="media/image421.png"/><Relationship Id="rId482" Type="http://schemas.openxmlformats.org/officeDocument/2006/relationships/image" Target="media/image422.png"/><Relationship Id="rId483" Type="http://schemas.openxmlformats.org/officeDocument/2006/relationships/image" Target="media/image423.png"/><Relationship Id="rId484" Type="http://schemas.openxmlformats.org/officeDocument/2006/relationships/image" Target="media/image424.png"/><Relationship Id="rId485" Type="http://schemas.openxmlformats.org/officeDocument/2006/relationships/image" Target="media/image425.png"/><Relationship Id="rId486" Type="http://schemas.openxmlformats.org/officeDocument/2006/relationships/image" Target="media/image426.png"/><Relationship Id="rId487" Type="http://schemas.openxmlformats.org/officeDocument/2006/relationships/image" Target="media/image427.png"/><Relationship Id="rId488" Type="http://schemas.openxmlformats.org/officeDocument/2006/relationships/image" Target="media/image428.png"/><Relationship Id="rId489" Type="http://schemas.openxmlformats.org/officeDocument/2006/relationships/image" Target="media/image429.png"/><Relationship Id="rId490" Type="http://schemas.openxmlformats.org/officeDocument/2006/relationships/image" Target="media/image430.png"/><Relationship Id="rId491" Type="http://schemas.openxmlformats.org/officeDocument/2006/relationships/image" Target="media/image431.png"/><Relationship Id="rId492" Type="http://schemas.openxmlformats.org/officeDocument/2006/relationships/image" Target="media/image432.png"/><Relationship Id="rId493" Type="http://schemas.openxmlformats.org/officeDocument/2006/relationships/image" Target="media/image433.png"/><Relationship Id="rId494" Type="http://schemas.openxmlformats.org/officeDocument/2006/relationships/image" Target="media/image434.png"/><Relationship Id="rId495" Type="http://schemas.openxmlformats.org/officeDocument/2006/relationships/image" Target="media/image435.png"/><Relationship Id="rId496" Type="http://schemas.openxmlformats.org/officeDocument/2006/relationships/image" Target="media/image436.png"/><Relationship Id="rId497" Type="http://schemas.openxmlformats.org/officeDocument/2006/relationships/image" Target="media/image437.png"/><Relationship Id="rId498" Type="http://schemas.openxmlformats.org/officeDocument/2006/relationships/image" Target="media/image438.png"/><Relationship Id="rId499" Type="http://schemas.openxmlformats.org/officeDocument/2006/relationships/image" Target="media/image439.png"/><Relationship Id="rId500" Type="http://schemas.openxmlformats.org/officeDocument/2006/relationships/image" Target="media/image440.png"/><Relationship Id="rId501" Type="http://schemas.openxmlformats.org/officeDocument/2006/relationships/image" Target="media/image441.png"/><Relationship Id="rId502" Type="http://schemas.openxmlformats.org/officeDocument/2006/relationships/image" Target="media/image442.png"/><Relationship Id="rId503" Type="http://schemas.openxmlformats.org/officeDocument/2006/relationships/image" Target="media/image443.png"/><Relationship Id="rId504" Type="http://schemas.openxmlformats.org/officeDocument/2006/relationships/image" Target="media/image444.png"/><Relationship Id="rId505" Type="http://schemas.openxmlformats.org/officeDocument/2006/relationships/image" Target="media/image445.png"/><Relationship Id="rId506" Type="http://schemas.openxmlformats.org/officeDocument/2006/relationships/image" Target="media/image446.png"/><Relationship Id="rId507" Type="http://schemas.openxmlformats.org/officeDocument/2006/relationships/image" Target="media/image447.png"/><Relationship Id="rId508" Type="http://schemas.openxmlformats.org/officeDocument/2006/relationships/image" Target="media/image448.png"/><Relationship Id="rId509" Type="http://schemas.openxmlformats.org/officeDocument/2006/relationships/image" Target="media/image449.png"/><Relationship Id="rId510" Type="http://schemas.openxmlformats.org/officeDocument/2006/relationships/image" Target="media/image450.png"/><Relationship Id="rId511" Type="http://schemas.openxmlformats.org/officeDocument/2006/relationships/image" Target="media/image451.png"/><Relationship Id="rId512" Type="http://schemas.openxmlformats.org/officeDocument/2006/relationships/image" Target="media/image452.png"/><Relationship Id="rId513" Type="http://schemas.openxmlformats.org/officeDocument/2006/relationships/image" Target="media/image453.png"/><Relationship Id="rId514" Type="http://schemas.openxmlformats.org/officeDocument/2006/relationships/image" Target="media/image454.png"/><Relationship Id="rId515" Type="http://schemas.openxmlformats.org/officeDocument/2006/relationships/image" Target="media/image455.png"/><Relationship Id="rId516" Type="http://schemas.openxmlformats.org/officeDocument/2006/relationships/image" Target="media/image456.png"/><Relationship Id="rId517" Type="http://schemas.openxmlformats.org/officeDocument/2006/relationships/image" Target="media/image457.png"/><Relationship Id="rId518" Type="http://schemas.openxmlformats.org/officeDocument/2006/relationships/image" Target="media/image458.png"/><Relationship Id="rId519" Type="http://schemas.openxmlformats.org/officeDocument/2006/relationships/image" Target="media/image459.png"/><Relationship Id="rId520" Type="http://schemas.openxmlformats.org/officeDocument/2006/relationships/image" Target="media/image460.png"/><Relationship Id="rId521" Type="http://schemas.openxmlformats.org/officeDocument/2006/relationships/image" Target="media/image461.png"/><Relationship Id="rId522" Type="http://schemas.openxmlformats.org/officeDocument/2006/relationships/image" Target="media/image462.png"/><Relationship Id="rId523" Type="http://schemas.openxmlformats.org/officeDocument/2006/relationships/image" Target="media/image463.png"/><Relationship Id="rId524" Type="http://schemas.openxmlformats.org/officeDocument/2006/relationships/image" Target="media/image464.png"/><Relationship Id="rId525" Type="http://schemas.openxmlformats.org/officeDocument/2006/relationships/image" Target="media/image465.png"/><Relationship Id="rId526" Type="http://schemas.openxmlformats.org/officeDocument/2006/relationships/image" Target="media/image466.png"/><Relationship Id="rId527" Type="http://schemas.openxmlformats.org/officeDocument/2006/relationships/image" Target="media/image467.png"/><Relationship Id="rId528" Type="http://schemas.openxmlformats.org/officeDocument/2006/relationships/image" Target="media/image468.png"/><Relationship Id="rId529" Type="http://schemas.openxmlformats.org/officeDocument/2006/relationships/image" Target="media/image469.png"/><Relationship Id="rId530" Type="http://schemas.openxmlformats.org/officeDocument/2006/relationships/image" Target="media/image470.png"/><Relationship Id="rId531" Type="http://schemas.openxmlformats.org/officeDocument/2006/relationships/image" Target="media/image471.png"/><Relationship Id="rId532" Type="http://schemas.openxmlformats.org/officeDocument/2006/relationships/image" Target="media/image472.png"/><Relationship Id="rId533" Type="http://schemas.openxmlformats.org/officeDocument/2006/relationships/image" Target="media/image473.png"/><Relationship Id="rId534" Type="http://schemas.openxmlformats.org/officeDocument/2006/relationships/image" Target="media/image474.png"/><Relationship Id="rId535" Type="http://schemas.openxmlformats.org/officeDocument/2006/relationships/image" Target="media/image475.png"/><Relationship Id="rId536" Type="http://schemas.openxmlformats.org/officeDocument/2006/relationships/image" Target="media/image476.png"/><Relationship Id="rId537" Type="http://schemas.openxmlformats.org/officeDocument/2006/relationships/image" Target="media/image477.png"/><Relationship Id="rId538" Type="http://schemas.openxmlformats.org/officeDocument/2006/relationships/image" Target="media/image478.png"/><Relationship Id="rId539" Type="http://schemas.openxmlformats.org/officeDocument/2006/relationships/image" Target="media/image479.png"/><Relationship Id="rId540" Type="http://schemas.openxmlformats.org/officeDocument/2006/relationships/image" Target="media/image480.png"/><Relationship Id="rId541" Type="http://schemas.openxmlformats.org/officeDocument/2006/relationships/image" Target="media/image481.png"/><Relationship Id="rId542" Type="http://schemas.openxmlformats.org/officeDocument/2006/relationships/image" Target="media/image482.png"/><Relationship Id="rId543" Type="http://schemas.openxmlformats.org/officeDocument/2006/relationships/image" Target="media/image483.png"/><Relationship Id="rId544" Type="http://schemas.openxmlformats.org/officeDocument/2006/relationships/image" Target="media/image484.png"/><Relationship Id="rId545" Type="http://schemas.openxmlformats.org/officeDocument/2006/relationships/image" Target="media/image485.png"/><Relationship Id="rId546" Type="http://schemas.openxmlformats.org/officeDocument/2006/relationships/image" Target="media/image486.png"/><Relationship Id="rId547" Type="http://schemas.openxmlformats.org/officeDocument/2006/relationships/image" Target="media/image487.png"/><Relationship Id="rId548" Type="http://schemas.openxmlformats.org/officeDocument/2006/relationships/image" Target="media/image488.png"/><Relationship Id="rId549" Type="http://schemas.openxmlformats.org/officeDocument/2006/relationships/image" Target="media/image489.png"/><Relationship Id="rId550" Type="http://schemas.openxmlformats.org/officeDocument/2006/relationships/image" Target="media/image490.png"/><Relationship Id="rId551" Type="http://schemas.openxmlformats.org/officeDocument/2006/relationships/image" Target="media/image491.png"/><Relationship Id="rId552" Type="http://schemas.openxmlformats.org/officeDocument/2006/relationships/image" Target="media/image492.png"/><Relationship Id="rId553" Type="http://schemas.openxmlformats.org/officeDocument/2006/relationships/image" Target="media/image493.png"/><Relationship Id="rId554" Type="http://schemas.openxmlformats.org/officeDocument/2006/relationships/image" Target="media/image494.png"/><Relationship Id="rId555" Type="http://schemas.openxmlformats.org/officeDocument/2006/relationships/image" Target="media/image495.png"/><Relationship Id="rId556" Type="http://schemas.openxmlformats.org/officeDocument/2006/relationships/image" Target="media/image496.png"/><Relationship Id="rId557" Type="http://schemas.openxmlformats.org/officeDocument/2006/relationships/image" Target="media/image497.png"/><Relationship Id="rId558" Type="http://schemas.openxmlformats.org/officeDocument/2006/relationships/image" Target="media/image498.png"/><Relationship Id="rId559" Type="http://schemas.openxmlformats.org/officeDocument/2006/relationships/image" Target="media/image499.png"/><Relationship Id="rId560" Type="http://schemas.openxmlformats.org/officeDocument/2006/relationships/image" Target="media/image500.png"/><Relationship Id="rId561" Type="http://schemas.openxmlformats.org/officeDocument/2006/relationships/image" Target="media/image501.png"/><Relationship Id="rId562" Type="http://schemas.openxmlformats.org/officeDocument/2006/relationships/image" Target="media/image502.png"/><Relationship Id="rId563" Type="http://schemas.openxmlformats.org/officeDocument/2006/relationships/image" Target="media/image503.png"/><Relationship Id="rId564" Type="http://schemas.openxmlformats.org/officeDocument/2006/relationships/image" Target="media/image504.png"/><Relationship Id="rId565" Type="http://schemas.openxmlformats.org/officeDocument/2006/relationships/image" Target="media/image505.png"/><Relationship Id="rId566" Type="http://schemas.openxmlformats.org/officeDocument/2006/relationships/image" Target="media/image506.png"/><Relationship Id="rId567" Type="http://schemas.openxmlformats.org/officeDocument/2006/relationships/image" Target="media/image507.png"/><Relationship Id="rId568" Type="http://schemas.openxmlformats.org/officeDocument/2006/relationships/image" Target="media/image508.png"/><Relationship Id="rId569" Type="http://schemas.openxmlformats.org/officeDocument/2006/relationships/image" Target="media/image509.png"/><Relationship Id="rId570" Type="http://schemas.openxmlformats.org/officeDocument/2006/relationships/image" Target="media/image510.png"/><Relationship Id="rId571" Type="http://schemas.openxmlformats.org/officeDocument/2006/relationships/image" Target="media/image511.png"/><Relationship Id="rId572" Type="http://schemas.openxmlformats.org/officeDocument/2006/relationships/image" Target="media/image512.png"/><Relationship Id="rId573" Type="http://schemas.openxmlformats.org/officeDocument/2006/relationships/image" Target="media/image513.png"/><Relationship Id="rId574" Type="http://schemas.openxmlformats.org/officeDocument/2006/relationships/image" Target="media/image514.png"/><Relationship Id="rId575" Type="http://schemas.openxmlformats.org/officeDocument/2006/relationships/image" Target="media/image515.png"/><Relationship Id="rId576" Type="http://schemas.openxmlformats.org/officeDocument/2006/relationships/image" Target="media/image516.png"/><Relationship Id="rId577" Type="http://schemas.openxmlformats.org/officeDocument/2006/relationships/image" Target="media/image517.png"/><Relationship Id="rId578" Type="http://schemas.openxmlformats.org/officeDocument/2006/relationships/image" Target="media/image518.png"/><Relationship Id="rId579" Type="http://schemas.openxmlformats.org/officeDocument/2006/relationships/image" Target="media/image519.png"/><Relationship Id="rId580" Type="http://schemas.openxmlformats.org/officeDocument/2006/relationships/image" Target="media/image520.png"/><Relationship Id="rId581" Type="http://schemas.openxmlformats.org/officeDocument/2006/relationships/image" Target="media/image521.png"/><Relationship Id="rId582" Type="http://schemas.openxmlformats.org/officeDocument/2006/relationships/image" Target="media/image522.png"/><Relationship Id="rId583" Type="http://schemas.openxmlformats.org/officeDocument/2006/relationships/image" Target="media/image523.png"/><Relationship Id="rId584" Type="http://schemas.openxmlformats.org/officeDocument/2006/relationships/image" Target="media/image524.png"/><Relationship Id="rId585" Type="http://schemas.openxmlformats.org/officeDocument/2006/relationships/image" Target="media/image525.png"/><Relationship Id="rId586" Type="http://schemas.openxmlformats.org/officeDocument/2006/relationships/image" Target="media/image526.png"/><Relationship Id="rId587" Type="http://schemas.openxmlformats.org/officeDocument/2006/relationships/image" Target="media/image527.png"/><Relationship Id="rId588" Type="http://schemas.openxmlformats.org/officeDocument/2006/relationships/image" Target="media/image528.png"/><Relationship Id="rId589" Type="http://schemas.openxmlformats.org/officeDocument/2006/relationships/image" Target="media/image529.png"/><Relationship Id="rId590" Type="http://schemas.openxmlformats.org/officeDocument/2006/relationships/image" Target="media/image530.png"/><Relationship Id="rId591" Type="http://schemas.openxmlformats.org/officeDocument/2006/relationships/image" Target="media/image531.png"/><Relationship Id="rId592" Type="http://schemas.openxmlformats.org/officeDocument/2006/relationships/image" Target="media/image532.png"/><Relationship Id="rId593" Type="http://schemas.openxmlformats.org/officeDocument/2006/relationships/image" Target="media/image533.png"/><Relationship Id="rId594" Type="http://schemas.openxmlformats.org/officeDocument/2006/relationships/image" Target="media/image534.png"/><Relationship Id="rId595" Type="http://schemas.openxmlformats.org/officeDocument/2006/relationships/image" Target="media/image535.png"/><Relationship Id="rId596" Type="http://schemas.openxmlformats.org/officeDocument/2006/relationships/image" Target="media/image536.png"/><Relationship Id="rId597" Type="http://schemas.openxmlformats.org/officeDocument/2006/relationships/image" Target="media/image537.png"/><Relationship Id="rId598" Type="http://schemas.openxmlformats.org/officeDocument/2006/relationships/image" Target="media/image538.png"/><Relationship Id="rId599" Type="http://schemas.openxmlformats.org/officeDocument/2006/relationships/image" Target="media/image539.png"/><Relationship Id="rId600" Type="http://schemas.openxmlformats.org/officeDocument/2006/relationships/image" Target="media/image540.png"/><Relationship Id="rId601" Type="http://schemas.openxmlformats.org/officeDocument/2006/relationships/image" Target="media/image541.png"/><Relationship Id="rId602" Type="http://schemas.openxmlformats.org/officeDocument/2006/relationships/image" Target="media/image542.png"/><Relationship Id="rId603" Type="http://schemas.openxmlformats.org/officeDocument/2006/relationships/image" Target="media/image543.png"/><Relationship Id="rId604" Type="http://schemas.openxmlformats.org/officeDocument/2006/relationships/image" Target="media/image544.png"/><Relationship Id="rId605" Type="http://schemas.openxmlformats.org/officeDocument/2006/relationships/image" Target="media/image545.png"/><Relationship Id="rId606" Type="http://schemas.openxmlformats.org/officeDocument/2006/relationships/image" Target="media/image546.png"/><Relationship Id="rId607" Type="http://schemas.openxmlformats.org/officeDocument/2006/relationships/image" Target="media/image547.png"/><Relationship Id="rId608" Type="http://schemas.openxmlformats.org/officeDocument/2006/relationships/image" Target="media/image548.png"/><Relationship Id="rId609" Type="http://schemas.openxmlformats.org/officeDocument/2006/relationships/image" Target="media/image549.png"/><Relationship Id="rId610" Type="http://schemas.openxmlformats.org/officeDocument/2006/relationships/image" Target="media/image550.png"/><Relationship Id="rId611" Type="http://schemas.openxmlformats.org/officeDocument/2006/relationships/image" Target="media/image551.png"/><Relationship Id="rId612" Type="http://schemas.openxmlformats.org/officeDocument/2006/relationships/image" Target="media/image552.png"/><Relationship Id="rId613" Type="http://schemas.openxmlformats.org/officeDocument/2006/relationships/image" Target="media/image553.png"/><Relationship Id="rId614" Type="http://schemas.openxmlformats.org/officeDocument/2006/relationships/image" Target="media/image554.png"/><Relationship Id="rId615" Type="http://schemas.openxmlformats.org/officeDocument/2006/relationships/image" Target="media/image555.png"/><Relationship Id="rId616" Type="http://schemas.openxmlformats.org/officeDocument/2006/relationships/image" Target="media/image556.png"/><Relationship Id="rId617" Type="http://schemas.openxmlformats.org/officeDocument/2006/relationships/image" Target="media/image557.png"/><Relationship Id="rId618" Type="http://schemas.openxmlformats.org/officeDocument/2006/relationships/image" Target="media/image558.png"/><Relationship Id="rId619" Type="http://schemas.openxmlformats.org/officeDocument/2006/relationships/image" Target="media/image559.png"/><Relationship Id="rId620" Type="http://schemas.openxmlformats.org/officeDocument/2006/relationships/image" Target="media/image560.png"/><Relationship Id="rId621" Type="http://schemas.openxmlformats.org/officeDocument/2006/relationships/image" Target="media/image561.png"/><Relationship Id="rId622" Type="http://schemas.openxmlformats.org/officeDocument/2006/relationships/image" Target="media/image562.png"/><Relationship Id="rId623" Type="http://schemas.openxmlformats.org/officeDocument/2006/relationships/image" Target="media/image563.png"/><Relationship Id="rId624" Type="http://schemas.openxmlformats.org/officeDocument/2006/relationships/image" Target="media/image564.png"/><Relationship Id="rId625" Type="http://schemas.openxmlformats.org/officeDocument/2006/relationships/image" Target="media/image565.png"/><Relationship Id="rId626" Type="http://schemas.openxmlformats.org/officeDocument/2006/relationships/image" Target="media/image566.png"/><Relationship Id="rId627" Type="http://schemas.openxmlformats.org/officeDocument/2006/relationships/image" Target="media/image567.png"/><Relationship Id="rId628" Type="http://schemas.openxmlformats.org/officeDocument/2006/relationships/image" Target="media/image568.png"/><Relationship Id="rId629" Type="http://schemas.openxmlformats.org/officeDocument/2006/relationships/image" Target="media/image569.png"/><Relationship Id="rId630" Type="http://schemas.openxmlformats.org/officeDocument/2006/relationships/image" Target="media/image570.png"/><Relationship Id="rId631" Type="http://schemas.openxmlformats.org/officeDocument/2006/relationships/image" Target="media/image571.png"/><Relationship Id="rId632" Type="http://schemas.openxmlformats.org/officeDocument/2006/relationships/image" Target="media/image572.png"/><Relationship Id="rId633" Type="http://schemas.openxmlformats.org/officeDocument/2006/relationships/image" Target="media/image573.png"/><Relationship Id="rId634" Type="http://schemas.openxmlformats.org/officeDocument/2006/relationships/image" Target="media/image574.png"/><Relationship Id="rId635" Type="http://schemas.openxmlformats.org/officeDocument/2006/relationships/image" Target="media/image575.png"/><Relationship Id="rId636" Type="http://schemas.openxmlformats.org/officeDocument/2006/relationships/image" Target="media/image576.png"/><Relationship Id="rId637" Type="http://schemas.openxmlformats.org/officeDocument/2006/relationships/image" Target="media/image577.png"/><Relationship Id="rId638" Type="http://schemas.openxmlformats.org/officeDocument/2006/relationships/image" Target="media/image578.png"/><Relationship Id="rId639" Type="http://schemas.openxmlformats.org/officeDocument/2006/relationships/image" Target="media/image579.png"/><Relationship Id="rId640" Type="http://schemas.openxmlformats.org/officeDocument/2006/relationships/image" Target="media/image580.png"/><Relationship Id="rId641" Type="http://schemas.openxmlformats.org/officeDocument/2006/relationships/image" Target="media/image581.png"/><Relationship Id="rId642" Type="http://schemas.openxmlformats.org/officeDocument/2006/relationships/image" Target="media/image582.png"/><Relationship Id="rId643" Type="http://schemas.openxmlformats.org/officeDocument/2006/relationships/image" Target="media/image583.png"/><Relationship Id="rId644" Type="http://schemas.openxmlformats.org/officeDocument/2006/relationships/image" Target="media/image584.png"/><Relationship Id="rId645" Type="http://schemas.openxmlformats.org/officeDocument/2006/relationships/image" Target="media/image585.png"/><Relationship Id="rId646" Type="http://schemas.openxmlformats.org/officeDocument/2006/relationships/image" Target="media/image586.png"/><Relationship Id="rId647" Type="http://schemas.openxmlformats.org/officeDocument/2006/relationships/image" Target="media/image587.png"/><Relationship Id="rId648" Type="http://schemas.openxmlformats.org/officeDocument/2006/relationships/image" Target="media/image588.png"/><Relationship Id="rId649" Type="http://schemas.openxmlformats.org/officeDocument/2006/relationships/image" Target="media/image589.png"/><Relationship Id="rId650" Type="http://schemas.openxmlformats.org/officeDocument/2006/relationships/image" Target="media/image590.png"/><Relationship Id="rId651" Type="http://schemas.openxmlformats.org/officeDocument/2006/relationships/image" Target="media/image591.png"/><Relationship Id="rId652" Type="http://schemas.openxmlformats.org/officeDocument/2006/relationships/image" Target="media/image592.png"/><Relationship Id="rId653" Type="http://schemas.openxmlformats.org/officeDocument/2006/relationships/image" Target="media/image593.png"/><Relationship Id="rId654" Type="http://schemas.openxmlformats.org/officeDocument/2006/relationships/image" Target="media/image594.png"/><Relationship Id="rId655" Type="http://schemas.openxmlformats.org/officeDocument/2006/relationships/image" Target="media/image595.png"/><Relationship Id="rId656" Type="http://schemas.openxmlformats.org/officeDocument/2006/relationships/image" Target="media/image596.png"/><Relationship Id="rId657" Type="http://schemas.openxmlformats.org/officeDocument/2006/relationships/image" Target="media/image597.png"/><Relationship Id="rId658" Type="http://schemas.openxmlformats.org/officeDocument/2006/relationships/image" Target="media/image598.png"/><Relationship Id="rId659" Type="http://schemas.openxmlformats.org/officeDocument/2006/relationships/image" Target="media/image599.png"/><Relationship Id="rId660" Type="http://schemas.openxmlformats.org/officeDocument/2006/relationships/image" Target="media/image600.png"/><Relationship Id="rId661" Type="http://schemas.openxmlformats.org/officeDocument/2006/relationships/image" Target="media/image601.png"/><Relationship Id="rId662" Type="http://schemas.openxmlformats.org/officeDocument/2006/relationships/image" Target="media/image602.png"/><Relationship Id="rId663" Type="http://schemas.openxmlformats.org/officeDocument/2006/relationships/image" Target="media/image603.png"/><Relationship Id="rId664" Type="http://schemas.openxmlformats.org/officeDocument/2006/relationships/image" Target="media/image604.png"/><Relationship Id="rId665" Type="http://schemas.openxmlformats.org/officeDocument/2006/relationships/image" Target="media/image605.png"/><Relationship Id="rId666" Type="http://schemas.openxmlformats.org/officeDocument/2006/relationships/image" Target="media/image606.png"/><Relationship Id="rId667" Type="http://schemas.openxmlformats.org/officeDocument/2006/relationships/image" Target="media/image607.png"/><Relationship Id="rId668" Type="http://schemas.openxmlformats.org/officeDocument/2006/relationships/image" Target="media/image608.png"/><Relationship Id="rId669" Type="http://schemas.openxmlformats.org/officeDocument/2006/relationships/image" Target="media/image609.png"/><Relationship Id="rId670" Type="http://schemas.openxmlformats.org/officeDocument/2006/relationships/image" Target="media/image610.png"/><Relationship Id="rId671" Type="http://schemas.openxmlformats.org/officeDocument/2006/relationships/image" Target="media/image611.png"/><Relationship Id="rId672" Type="http://schemas.openxmlformats.org/officeDocument/2006/relationships/image" Target="media/image612.png"/><Relationship Id="rId673" Type="http://schemas.openxmlformats.org/officeDocument/2006/relationships/image" Target="media/image613.png"/><Relationship Id="rId674" Type="http://schemas.openxmlformats.org/officeDocument/2006/relationships/image" Target="media/image614.png"/><Relationship Id="rId675" Type="http://schemas.openxmlformats.org/officeDocument/2006/relationships/image" Target="media/image615.png"/><Relationship Id="rId224" Type="http://schemas.openxmlformats.org/officeDocument/2006/relationships/hyperlink" Target="https://www.sec.gov/Archives/edgar/data/1468328/000119312509238641/dex31.htm" TargetMode="External"/><Relationship Id="rId225" Type="http://schemas.openxmlformats.org/officeDocument/2006/relationships/hyperlink" Target="https://www.sec.gov/Archives/edgar/data/1468328/000119312513211165/d535575dex32.htm" TargetMode="External"/><Relationship Id="rId226" Type="http://schemas.openxmlformats.org/officeDocument/2006/relationships/hyperlink" Target="https://www.sec.gov/Archives/edgar/data/1468328/000119312509202215/dex41.htm" TargetMode="External"/><Relationship Id="rId227" Type="http://schemas.openxmlformats.org/officeDocument/2006/relationships/hyperlink" Target="https://www.sec.gov/Archives/edgar/data/1468328/000156459020038909/adus-ex42_1098.htm" TargetMode="External"/><Relationship Id="rId228" Type="http://schemas.openxmlformats.org/officeDocument/2006/relationships/hyperlink" Target="https://www.sec.gov/Archives/edgar/data/1468328/000119312509194976/dex101b.htm" TargetMode="External"/><Relationship Id="rId229" Type="http://schemas.openxmlformats.org/officeDocument/2006/relationships/hyperlink" Target="https://www.sec.gov/Archives/edgar/data/1468328/000119312509150710/dex1010.htm" TargetMode="External"/><Relationship Id="rId230" Type="http://schemas.openxmlformats.org/officeDocument/2006/relationships/hyperlink" Target="https://www.sec.gov/Archives/edgar/data/1468328/000119312509150710/dex1011.htm" TargetMode="External"/><Relationship Id="rId231" Type="http://schemas.openxmlformats.org/officeDocument/2006/relationships/hyperlink" Target="https://www.sec.gov/Archives/edgar/data/1468328/000119312509150710/dex1012.htm" TargetMode="External"/><Relationship Id="rId232" Type="http://schemas.openxmlformats.org/officeDocument/2006/relationships/hyperlink" Target="https://www.sec.gov/Archives/edgar/data/1468328/000119312509150710/dex1013.htm" TargetMode="External"/><Relationship Id="rId233" Type="http://schemas.openxmlformats.org/officeDocument/2006/relationships/hyperlink" Target="https://www.sec.gov/Archives/edgar/data/1468328/000119312509150710/dex1014.htm" TargetMode="External"/><Relationship Id="rId234" Type="http://schemas.openxmlformats.org/officeDocument/2006/relationships/hyperlink" Target="https://www.sec.gov/Archives/edgar/data/1468328/000119312509150710/dex1016.htm" TargetMode="External"/><Relationship Id="rId235" Type="http://schemas.openxmlformats.org/officeDocument/2006/relationships/hyperlink" Target="https://www.sec.gov/Archives/edgar/data/1468328/000119312509181308/dex1017.htm" TargetMode="External"/><Relationship Id="rId236" Type="http://schemas.openxmlformats.org/officeDocument/2006/relationships/hyperlink" Target="https://www.sec.gov/Archives/edgar/data/1468328/000119312509181308/dex1017a.htm" TargetMode="External"/><Relationship Id="rId237" Type="http://schemas.openxmlformats.org/officeDocument/2006/relationships/hyperlink" Target="https://www.sec.gov/Archives/edgar/data/1468328/000119312509181308/dex1017b.htm" TargetMode="External"/><Relationship Id="rId238" Type="http://schemas.openxmlformats.org/officeDocument/2006/relationships/hyperlink" Target="https://www.sec.gov/Archives/edgar/data/1468328/000119312509181308/dex1017c.htm" TargetMode="External"/><Relationship Id="rId239" Type="http://schemas.openxmlformats.org/officeDocument/2006/relationships/hyperlink" Target="https://www.sec.gov/Archives/edgar/data/1468328/000119312509194976/dex1020.htm" TargetMode="External"/><Relationship Id="rId240" Type="http://schemas.openxmlformats.org/officeDocument/2006/relationships/hyperlink" Target="https://www.sec.gov/Archives/edgar/data/1468328/000119312509194976/dex1020a.htm" TargetMode="External"/><Relationship Id="rId243" Type="http://schemas.openxmlformats.org/officeDocument/2006/relationships/hyperlink" Target="https://www.sec.gov/Archives/edgar/data/1468328/000119312509194976/dex1020b.htm" TargetMode="External"/><Relationship Id="rId246" Type="http://schemas.openxmlformats.org/officeDocument/2006/relationships/hyperlink" Target="https://www.sec.gov/Archives/edgar/data/1468328/000119312512152254/d330100dex991.htm" TargetMode="External"/><Relationship Id="rId249" Type="http://schemas.openxmlformats.org/officeDocument/2006/relationships/hyperlink" Target="https://www.sec.gov/Archives/edgar/data/1468328/000119312512152254/d330100dex992.htm" TargetMode="External"/><Relationship Id="rId251" Type="http://schemas.openxmlformats.org/officeDocument/2006/relationships/hyperlink" Target="https://www.sec.gov/Archives/edgar/data/1468328/000119312513042213/d480092dex991.htm" TargetMode="External"/><Relationship Id="rId255" Type="http://schemas.openxmlformats.org/officeDocument/2006/relationships/hyperlink" Target="https://www.sec.gov/Archives/edgar/data/1468328/000119312514442640/d838067dex991.htm" TargetMode="External"/><Relationship Id="rId258" Type="http://schemas.openxmlformats.org/officeDocument/2006/relationships/hyperlink" Target="https://www.sec.gov/Archives/edgar/data/1468328/000119312515179407/d915192dex101.htm" TargetMode="External"/><Relationship Id="rId262" Type="http://schemas.openxmlformats.org/officeDocument/2006/relationships/hyperlink" Target="https://www.sec.gov/Archives/edgar/data/1468328/000119312516515154/d135434dex101.htm" TargetMode="External"/><Relationship Id="rId265" Type="http://schemas.openxmlformats.org/officeDocument/2006/relationships/hyperlink" Target="https://www.sec.gov/Archives/edgar/data/1468328/000119312516605695/d341955dex991.htm" TargetMode="External"/><Relationship Id="rId268" Type="http://schemas.openxmlformats.org/officeDocument/2006/relationships/hyperlink" Target="https://www.sec.gov/Archives/edgar/data/1468328/000119312516489748/d142696dex992.htm" TargetMode="External"/><Relationship Id="rId271" Type="http://schemas.openxmlformats.org/officeDocument/2006/relationships/hyperlink" Target="https://www.sec.gov/Archives/edgar/data/1468328/000119312517012437/d312476dex101.htm" TargetMode="External"/><Relationship Id="rId274" Type="http://schemas.openxmlformats.org/officeDocument/2006/relationships/hyperlink" Target="https://www.sec.gov/Archives/edgar/data/1468328/000119312517164021/d382362dex103.htm" TargetMode="External"/><Relationship Id="rId285" Type="http://schemas.openxmlformats.org/officeDocument/2006/relationships/hyperlink" Target="https://www.sec.gov/Archives/edgar/data/1468328/000119312517205993/d397204dex101.htm" TargetMode="External"/><Relationship Id="rId288" Type="http://schemas.openxmlformats.org/officeDocument/2006/relationships/hyperlink" Target="https://www.sec.gov/Archives/edgar/data/1468328/000119312518082191/d453307dex1028.htm" TargetMode="External"/><Relationship Id="rId291" Type="http://schemas.openxmlformats.org/officeDocument/2006/relationships/hyperlink" Target="https://www.sec.gov/Archives/edgar/data/1468328/000119312518082191/d453307dex1029.htm" TargetMode="External"/><Relationship Id="rId294" Type="http://schemas.openxmlformats.org/officeDocument/2006/relationships/hyperlink" Target="https://www.sec.gov/Archives/edgar/data/1468328/000119312517251112/d377155dex107.htm" TargetMode="External"/><Relationship Id="rId297" Type="http://schemas.openxmlformats.org/officeDocument/2006/relationships/hyperlink" Target="https://www.sec.gov/Archives/edgar/data/1468328/000119312517242361/d421252dex101.htm" TargetMode="External"/><Relationship Id="rId300" Type="http://schemas.openxmlformats.org/officeDocument/2006/relationships/hyperlink" Target="https://www.sec.gov/Archives/edgar/data/1468328/000119312518070710/d536417dex101.htm" TargetMode="External"/><Relationship Id="rId309" Type="http://schemas.openxmlformats.org/officeDocument/2006/relationships/hyperlink" Target="https://www.sec.gov/Archives/edgar/data/1468328/000119312518322326/d581512dex102.htm" TargetMode="External"/><Relationship Id="rId314" Type="http://schemas.openxmlformats.org/officeDocument/2006/relationships/hyperlink" Target="https://www.sec.gov/Archives/edgar/data/1468328/000119312518322326/d581512dex103.htm" TargetMode="External"/><Relationship Id="rId318" Type="http://schemas.openxmlformats.org/officeDocument/2006/relationships/hyperlink" Target="https://www.sec.gov/Archives/edgar/data/1468328/000119312518322326/d581512dex104.htm" TargetMode="External"/><Relationship Id="rId322" Type="http://schemas.openxmlformats.org/officeDocument/2006/relationships/hyperlink" Target="https://www.sec.gov/Archives/edgar/data/1468328/000119312518322326/d581512dex105.htm" TargetMode="External"/><Relationship Id="rId326" Type="http://schemas.openxmlformats.org/officeDocument/2006/relationships/hyperlink" Target="https://www.sec.gov/Archives/edgar/data/1468328/000119312518322326/d581512dex106.htm" TargetMode="External"/><Relationship Id="rId330" Type="http://schemas.openxmlformats.org/officeDocument/2006/relationships/hyperlink" Target="https://www.sec.gov/Archives/edgar/data/1468328/000119312518322326/d581512dex107.htm" TargetMode="External"/><Relationship Id="rId334" Type="http://schemas.openxmlformats.org/officeDocument/2006/relationships/hyperlink" Target="https://www.sec.gov/Archives/edgar/data/1468328/000119312518322326/d581512dex108.htm" TargetMode="External"/><Relationship Id="rId342" Type="http://schemas.openxmlformats.org/officeDocument/2006/relationships/hyperlink" Target="https://www.sec.gov/Archives/edgar/data/1468328/000119312519100844/d732350dex992.htm" TargetMode="External"/><Relationship Id="rId345" Type="http://schemas.openxmlformats.org/officeDocument/2006/relationships/hyperlink" Target="https://www.sec.gov/Archives/edgar/data/1468328/000156459020038909/adus-ex1040_765.htm" TargetMode="External"/><Relationship Id="rId348" Type="http://schemas.openxmlformats.org/officeDocument/2006/relationships/hyperlink" Target="https://www.sec.gov/Archives/edgar/data/1468328/000156459020038909/adus-ex1041_766.htm" TargetMode="External"/><Relationship Id="rId351" Type="http://schemas.openxmlformats.org/officeDocument/2006/relationships/hyperlink" Target="https://www.sec.gov/Archives/edgar/data/1468328/000119312519200611/d778833dex101.htm" TargetMode="External"/><Relationship Id="rId354" Type="http://schemas.openxmlformats.org/officeDocument/2006/relationships/hyperlink" Target="https://www.sec.gov/Archives/edgar/data/1468328/000119312519236513/d24972dex21.htm" TargetMode="External"/><Relationship Id="rId359" Type="http://schemas.openxmlformats.org/officeDocument/2006/relationships/hyperlink" Target="https://www.sec.gov/Archives/edgar/data/1468328/000119312519244941/d801620dex101.htm" TargetMode="External"/><Relationship Id="rId367" Type="http://schemas.openxmlformats.org/officeDocument/2006/relationships/hyperlink" Target="https://www.sec.gov/Archives/edgar/data/1468328/000156459021009604/adus-ex1045_245.htm" TargetMode="External"/><Relationship Id="rId368" Type="http://schemas.openxmlformats.org/officeDocument/2006/relationships/hyperlink" Target="https://www.sec.gov/Archives/edgar/data/1468328/000156459021009604/adus-ex1046_341.htm" TargetMode="External"/><Relationship Id="rId369" Type="http://schemas.openxmlformats.org/officeDocument/2006/relationships/hyperlink" Target="https://www.sec.gov/Archives/edgar/data/1468328/000156459021040783/adus-ex101_208.htm" TargetMode="External"/><Relationship Id="rId370" Type="http://schemas.openxmlformats.org/officeDocument/2006/relationships/hyperlink" Target="https://www.sec.gov/Archives/edgar/data/1468328/000156459021040783/adus-ex102_269.htm" TargetMode="External"/><Relationship Id="rId371" Type="http://schemas.openxmlformats.org/officeDocument/2006/relationships/hyperlink" Target="https://www.sec.gov/Archives/edgar/data/1468328/000119312521236284/d213498dex101.htm" TargetMode="External"/><Relationship Id="rId372" Type="http://schemas.openxmlformats.org/officeDocument/2006/relationships/hyperlink" Target="https://www.sec.gov/Archives/edgar/data/1468328/000156459022007171/adus-ex1050_5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2023-02-28T19:42:07Z</dcterms:created>
  <dcterms:modified xsi:type="dcterms:W3CDTF">2023-02-28T19:42:07Z</dcterms:modified>
</cp:coreProperties>
</file>