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222885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7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UNITED STATES</w:t>
      </w:r>
    </w:p>
    <w:p>
      <w:pPr>
        <w:spacing w:after="0" w:line="3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2910840</wp:posOffset>
            </wp:positionH>
            <wp:positionV relativeFrom="paragraph">
              <wp:posOffset>55880</wp:posOffset>
            </wp:positionV>
            <wp:extent cx="132016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320165" cy="8890"/>
                    </a:xfrm>
                    <a:prstGeom prst="rect">
                      <a:avLst/>
                    </a:prstGeom>
                    <a:noFill/>
                  </pic:spPr>
                </pic:pic>
              </a:graphicData>
            </a:graphic>
          </wp:anchor>
        </w:drawing>
      </w:r>
    </w:p>
    <w:p>
      <w:pPr>
        <w:spacing w:after="0" w:line="108"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2910840</wp:posOffset>
            </wp:positionH>
            <wp:positionV relativeFrom="paragraph">
              <wp:posOffset>75565</wp:posOffset>
            </wp:positionV>
            <wp:extent cx="132016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320165" cy="8255"/>
                    </a:xfrm>
                    <a:prstGeom prst="rect">
                      <a:avLst/>
                    </a:prstGeom>
                    <a:noFill/>
                  </pic:spPr>
                </pic:pic>
              </a:graphicData>
            </a:graphic>
          </wp:anchor>
        </w:drawing>
      </w:r>
    </w:p>
    <w:p>
      <w:pPr>
        <w:spacing w:after="0" w:line="170" w:lineRule="exact"/>
        <w:rPr>
          <w:sz w:val="24"/>
          <w:szCs w:val="24"/>
          <w:color w:val="auto"/>
        </w:rPr>
      </w:pPr>
    </w:p>
    <w:p>
      <w:pPr>
        <w:ind w:left="500" w:hanging="492"/>
        <w:spacing w:after="0"/>
        <w:tabs>
          <w:tab w:leader="none" w:pos="500" w:val="left"/>
        </w:tabs>
        <w:numPr>
          <w:ilvl w:val="0"/>
          <w:numId w:val="1"/>
        </w:numPr>
        <w:rPr>
          <w:rFonts w:ascii="MS PGothic" w:cs="MS PGothic" w:eastAsia="MS PGothic" w:hAnsi="MS PGothic"/>
          <w:sz w:val="20"/>
          <w:szCs w:val="20"/>
          <w:color w:val="auto"/>
        </w:rPr>
      </w:pPr>
      <w:r>
        <w:rPr>
          <w:rFonts w:ascii="Arial" w:cs="Arial" w:eastAsia="Arial" w:hAnsi="Arial"/>
          <w:sz w:val="20"/>
          <w:szCs w:val="20"/>
          <w:b w:val="1"/>
          <w:bCs w:val="1"/>
          <w:color w:val="auto"/>
        </w:rPr>
        <w:t>QUARTERLY REPORT PURSUANT TO SECTION 13 OR 15(d) OF THE SECURITIES EXCHANGE ACT OF 1934</w:t>
      </w:r>
    </w:p>
    <w:p>
      <w:pPr>
        <w:spacing w:after="0" w:line="98" w:lineRule="exact"/>
        <w:rPr>
          <w:rFonts w:ascii="MS PGothic" w:cs="MS PGothic" w:eastAsia="MS PGothic" w:hAnsi="MS PGothic"/>
          <w:sz w:val="20"/>
          <w:szCs w:val="20"/>
          <w:color w:val="auto"/>
        </w:rPr>
      </w:pPr>
    </w:p>
    <w:p>
      <w:pPr>
        <w:ind w:left="3880"/>
        <w:spacing w:after="0"/>
        <w:rPr>
          <w:rFonts w:ascii="MS PGothic" w:cs="MS PGothic" w:eastAsia="MS PGothic" w:hAnsi="MS PGothic"/>
          <w:sz w:val="20"/>
          <w:szCs w:val="20"/>
          <w:color w:val="auto"/>
        </w:rPr>
      </w:pPr>
      <w:r>
        <w:rPr>
          <w:rFonts w:ascii="Arial" w:cs="Arial" w:eastAsia="Arial" w:hAnsi="Arial"/>
          <w:sz w:val="18"/>
          <w:szCs w:val="18"/>
          <w:b w:val="1"/>
          <w:bCs w:val="1"/>
          <w:color w:val="auto"/>
        </w:rPr>
        <w:t>For the quarterly period ended June 30, 2020</w:t>
      </w:r>
    </w:p>
    <w:p>
      <w:pPr>
        <w:spacing w:after="0" w:line="9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OR</w:t>
      </w:r>
    </w:p>
    <w:p>
      <w:pPr>
        <w:spacing w:after="0" w:line="86" w:lineRule="exact"/>
        <w:rPr>
          <w:sz w:val="24"/>
          <w:szCs w:val="24"/>
          <w:color w:val="auto"/>
        </w:rPr>
      </w:pPr>
    </w:p>
    <w:p>
      <w:pPr>
        <w:ind w:left="500" w:hanging="492"/>
        <w:spacing w:after="0"/>
        <w:tabs>
          <w:tab w:leader="none" w:pos="500" w:val="left"/>
        </w:tabs>
        <w:numPr>
          <w:ilvl w:val="0"/>
          <w:numId w:val="2"/>
        </w:numPr>
        <w:rPr>
          <w:rFonts w:ascii="MS PGothic" w:cs="MS PGothic" w:eastAsia="MS PGothic" w:hAnsi="MS PGothic"/>
          <w:sz w:val="20"/>
          <w:szCs w:val="20"/>
          <w:color w:val="auto"/>
        </w:rPr>
      </w:pPr>
      <w:r>
        <w:rPr>
          <w:rFonts w:ascii="Arial" w:cs="Arial" w:eastAsia="Arial" w:hAnsi="Arial"/>
          <w:sz w:val="20"/>
          <w:szCs w:val="20"/>
          <w:b w:val="1"/>
          <w:bCs w:val="1"/>
          <w:color w:val="auto"/>
        </w:rPr>
        <w:t>TRANSITION REPORT PURSUANT TO SECTION 13 OR 15(d) OF THE SECURITIES EXCHANGE ACT OF 1934</w:t>
      </w:r>
    </w:p>
    <w:p>
      <w:pPr>
        <w:spacing w:after="0" w:line="99" w:lineRule="exact"/>
        <w:rPr>
          <w:sz w:val="24"/>
          <w:szCs w:val="24"/>
          <w:color w:val="auto"/>
        </w:rPr>
      </w:pPr>
    </w:p>
    <w:p>
      <w:pPr>
        <w:ind w:left="3600"/>
        <w:spacing w:after="0"/>
        <w:tabs>
          <w:tab w:leader="none" w:pos="672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3"/>
          <w:szCs w:val="13"/>
          <w:b w:val="1"/>
          <w:bCs w:val="1"/>
          <w:color w:val="auto"/>
        </w:rPr>
        <w:t>to</w:t>
      </w:r>
    </w:p>
    <w:p>
      <w:pPr>
        <w:spacing w:after="0" w:line="7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Commission file number 001-34504</w:t>
      </w:r>
    </w:p>
    <w:p>
      <w:pPr>
        <w:spacing w:after="0" w:line="105" w:lineRule="exact"/>
        <w:rPr>
          <w:sz w:val="24"/>
          <w:szCs w:val="24"/>
          <w:color w:val="auto"/>
        </w:rPr>
      </w:pPr>
    </w:p>
    <w:p>
      <w:pPr>
        <w:jc w:val="center"/>
        <w:spacing w:after="0"/>
        <w:rPr>
          <w:sz w:val="20"/>
          <w:szCs w:val="20"/>
          <w:color w:val="auto"/>
        </w:rPr>
      </w:pPr>
      <w:r>
        <w:rPr>
          <w:rFonts w:ascii="Arial" w:cs="Arial" w:eastAsia="Arial" w:hAnsi="Arial"/>
          <w:sz w:val="43"/>
          <w:szCs w:val="43"/>
          <w:b w:val="1"/>
          <w:bCs w:val="1"/>
          <w:color w:val="auto"/>
        </w:rPr>
        <w:t>ADDUS HOMECARE CORPORATION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2910840</wp:posOffset>
            </wp:positionH>
            <wp:positionV relativeFrom="paragraph">
              <wp:posOffset>-294640</wp:posOffset>
            </wp:positionV>
            <wp:extent cx="132016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320165" cy="8255"/>
                    </a:xfrm>
                    <a:prstGeom prst="rect">
                      <a:avLst/>
                    </a:prstGeom>
                    <a:noFill/>
                  </pic:spPr>
                </pic:pic>
              </a:graphicData>
            </a:graphic>
          </wp:anchor>
        </w:drawing>
      </w:r>
    </w:p>
    <w:p>
      <w:pPr>
        <w:spacing w:after="0" w:line="3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68" w:lineRule="exact"/>
        <w:rPr>
          <w:sz w:val="24"/>
          <w:szCs w:val="24"/>
          <w:color w:val="auto"/>
        </w:rPr>
      </w:pPr>
    </w:p>
    <w:tbl>
      <w:tblPr>
        <w:tblLayout w:type="fixed"/>
        <w:tblInd w:w="1360" w:type="dxa"/>
        <w:tblCellMar>
          <w:top w:w="0" w:type="dxa"/>
          <w:left w:w="0" w:type="dxa"/>
          <w:bottom w:w="0" w:type="dxa"/>
          <w:right w:w="0" w:type="dxa"/>
        </w:tblCellMar>
      </w:tblPr>
      <w:tr>
        <w:trPr>
          <w:trHeight w:val="225"/>
        </w:trPr>
        <w:tc>
          <w:tcPr>
            <w:tcW w:w="3220" w:type="dxa"/>
            <w:vAlign w:val="bottom"/>
          </w:tcPr>
          <w:p>
            <w:pPr>
              <w:jc w:val="center"/>
              <w:ind w:right="170"/>
              <w:spacing w:after="0"/>
              <w:rPr>
                <w:sz w:val="20"/>
                <w:szCs w:val="20"/>
                <w:color w:val="auto"/>
              </w:rPr>
            </w:pPr>
            <w:r>
              <w:rPr>
                <w:rFonts w:ascii="Arial" w:cs="Arial" w:eastAsia="Arial" w:hAnsi="Arial"/>
                <w:sz w:val="18"/>
                <w:szCs w:val="18"/>
                <w:b w:val="1"/>
                <w:bCs w:val="1"/>
                <w:color w:val="auto"/>
                <w:w w:val="91"/>
              </w:rPr>
              <w:t>Delaware</w:t>
            </w:r>
          </w:p>
        </w:tc>
        <w:tc>
          <w:tcPr>
            <w:tcW w:w="2080" w:type="dxa"/>
            <w:vAlign w:val="bottom"/>
            <w:tcBorders>
              <w:top w:val="single" w:sz="8" w:color="auto"/>
            </w:tcBorders>
          </w:tcPr>
          <w:p>
            <w:pPr>
              <w:spacing w:after="0"/>
              <w:rPr>
                <w:sz w:val="19"/>
                <w:szCs w:val="19"/>
                <w:color w:val="auto"/>
              </w:rPr>
            </w:pPr>
          </w:p>
        </w:tc>
        <w:tc>
          <w:tcPr>
            <w:tcW w:w="2580" w:type="dxa"/>
            <w:vAlign w:val="bottom"/>
          </w:tcPr>
          <w:p>
            <w:pPr>
              <w:jc w:val="right"/>
              <w:ind w:right="190"/>
              <w:spacing w:after="0"/>
              <w:rPr>
                <w:sz w:val="20"/>
                <w:szCs w:val="20"/>
                <w:color w:val="auto"/>
              </w:rPr>
            </w:pPr>
            <w:r>
              <w:rPr>
                <w:rFonts w:ascii="Arial" w:cs="Arial" w:eastAsia="Arial" w:hAnsi="Arial"/>
                <w:sz w:val="18"/>
                <w:szCs w:val="18"/>
                <w:b w:val="1"/>
                <w:bCs w:val="1"/>
                <w:color w:val="auto"/>
              </w:rPr>
              <w:t>20-5340172</w:t>
            </w:r>
          </w:p>
        </w:tc>
        <w:tc>
          <w:tcPr>
            <w:tcW w:w="0" w:type="dxa"/>
            <w:vAlign w:val="bottom"/>
          </w:tcPr>
          <w:p>
            <w:pPr>
              <w:spacing w:after="0"/>
              <w:rPr>
                <w:sz w:val="1"/>
                <w:szCs w:val="1"/>
                <w:color w:val="auto"/>
              </w:rPr>
            </w:pPr>
          </w:p>
        </w:tc>
      </w:tr>
      <w:tr>
        <w:trPr>
          <w:trHeight w:val="216"/>
        </w:trPr>
        <w:tc>
          <w:tcPr>
            <w:tcW w:w="3220" w:type="dxa"/>
            <w:vAlign w:val="bottom"/>
          </w:tcPr>
          <w:p>
            <w:pPr>
              <w:jc w:val="center"/>
              <w:ind w:right="170"/>
              <w:spacing w:after="0"/>
              <w:rPr>
                <w:sz w:val="20"/>
                <w:szCs w:val="20"/>
                <w:color w:val="auto"/>
              </w:rPr>
            </w:pPr>
            <w:r>
              <w:rPr>
                <w:rFonts w:ascii="Arial" w:cs="Arial" w:eastAsia="Arial" w:hAnsi="Arial"/>
                <w:sz w:val="18"/>
                <w:szCs w:val="18"/>
                <w:b w:val="1"/>
                <w:bCs w:val="1"/>
                <w:color w:val="auto"/>
                <w:w w:val="90"/>
              </w:rPr>
              <w:t>(State or other jurisdiction of</w:t>
            </w:r>
          </w:p>
        </w:tc>
        <w:tc>
          <w:tcPr>
            <w:tcW w:w="2080" w:type="dxa"/>
            <w:vAlign w:val="bottom"/>
          </w:tcPr>
          <w:p>
            <w:pPr>
              <w:spacing w:after="0"/>
              <w:rPr>
                <w:sz w:val="18"/>
                <w:szCs w:val="18"/>
                <w:color w:val="auto"/>
              </w:rPr>
            </w:pPr>
          </w:p>
        </w:tc>
        <w:tc>
          <w:tcPr>
            <w:tcW w:w="2580" w:type="dxa"/>
            <w:vAlign w:val="bottom"/>
          </w:tcPr>
          <w:p>
            <w:pPr>
              <w:jc w:val="center"/>
              <w:ind w:left="1070"/>
              <w:spacing w:after="0"/>
              <w:rPr>
                <w:sz w:val="20"/>
                <w:szCs w:val="20"/>
                <w:color w:val="auto"/>
              </w:rPr>
            </w:pPr>
            <w:r>
              <w:rPr>
                <w:rFonts w:ascii="Arial" w:cs="Arial" w:eastAsia="Arial" w:hAnsi="Arial"/>
                <w:sz w:val="18"/>
                <w:szCs w:val="18"/>
                <w:b w:val="1"/>
                <w:bCs w:val="1"/>
                <w:color w:val="auto"/>
                <w:w w:val="94"/>
              </w:rPr>
              <w:t>(I.R.S. Employer</w:t>
            </w:r>
          </w:p>
        </w:tc>
        <w:tc>
          <w:tcPr>
            <w:tcW w:w="0" w:type="dxa"/>
            <w:vAlign w:val="bottom"/>
          </w:tcPr>
          <w:p>
            <w:pPr>
              <w:spacing w:after="0"/>
              <w:rPr>
                <w:sz w:val="1"/>
                <w:szCs w:val="1"/>
                <w:color w:val="auto"/>
              </w:rPr>
            </w:pPr>
          </w:p>
        </w:tc>
      </w:tr>
      <w:tr>
        <w:trPr>
          <w:trHeight w:val="234"/>
        </w:trPr>
        <w:tc>
          <w:tcPr>
            <w:tcW w:w="3220" w:type="dxa"/>
            <w:vAlign w:val="bottom"/>
          </w:tcPr>
          <w:p>
            <w:pPr>
              <w:jc w:val="center"/>
              <w:ind w:right="170"/>
              <w:spacing w:after="0"/>
              <w:rPr>
                <w:sz w:val="20"/>
                <w:szCs w:val="20"/>
                <w:color w:val="auto"/>
              </w:rPr>
            </w:pPr>
            <w:r>
              <w:rPr>
                <w:rFonts w:ascii="Arial" w:cs="Arial" w:eastAsia="Arial" w:hAnsi="Arial"/>
                <w:sz w:val="18"/>
                <w:szCs w:val="18"/>
                <w:b w:val="1"/>
                <w:bCs w:val="1"/>
                <w:color w:val="auto"/>
                <w:w w:val="91"/>
              </w:rPr>
              <w:t>incorporation or organization)</w:t>
            </w:r>
          </w:p>
        </w:tc>
        <w:tc>
          <w:tcPr>
            <w:tcW w:w="2080" w:type="dxa"/>
            <w:vAlign w:val="bottom"/>
          </w:tcPr>
          <w:p>
            <w:pPr>
              <w:spacing w:after="0"/>
              <w:rPr>
                <w:sz w:val="20"/>
                <w:szCs w:val="20"/>
                <w:color w:val="auto"/>
              </w:rPr>
            </w:pPr>
          </w:p>
        </w:tc>
        <w:tc>
          <w:tcPr>
            <w:tcW w:w="2580" w:type="dxa"/>
            <w:vAlign w:val="bottom"/>
          </w:tcPr>
          <w:p>
            <w:pPr>
              <w:jc w:val="center"/>
              <w:ind w:left="1070"/>
              <w:spacing w:after="0"/>
              <w:rPr>
                <w:sz w:val="20"/>
                <w:szCs w:val="20"/>
                <w:color w:val="auto"/>
              </w:rPr>
            </w:pPr>
            <w:r>
              <w:rPr>
                <w:rFonts w:ascii="Arial" w:cs="Arial" w:eastAsia="Arial" w:hAnsi="Arial"/>
                <w:sz w:val="18"/>
                <w:szCs w:val="18"/>
                <w:b w:val="1"/>
                <w:bCs w:val="1"/>
                <w:color w:val="auto"/>
                <w:w w:val="93"/>
              </w:rPr>
              <w:t>Identification No.)</w:t>
            </w:r>
          </w:p>
        </w:tc>
        <w:tc>
          <w:tcPr>
            <w:tcW w:w="0" w:type="dxa"/>
            <w:vAlign w:val="bottom"/>
          </w:tcPr>
          <w:p>
            <w:pPr>
              <w:spacing w:after="0"/>
              <w:rPr>
                <w:sz w:val="1"/>
                <w:szCs w:val="1"/>
                <w:color w:val="auto"/>
              </w:rPr>
            </w:pPr>
          </w:p>
        </w:tc>
      </w:tr>
      <w:tr>
        <w:trPr>
          <w:trHeight w:val="387"/>
        </w:trPr>
        <w:tc>
          <w:tcPr>
            <w:tcW w:w="3220" w:type="dxa"/>
            <w:vAlign w:val="bottom"/>
          </w:tcPr>
          <w:p>
            <w:pPr>
              <w:jc w:val="center"/>
              <w:ind w:right="170"/>
              <w:spacing w:after="0"/>
              <w:rPr>
                <w:sz w:val="20"/>
                <w:szCs w:val="20"/>
                <w:color w:val="auto"/>
              </w:rPr>
            </w:pPr>
            <w:r>
              <w:rPr>
                <w:rFonts w:ascii="Arial" w:cs="Arial" w:eastAsia="Arial" w:hAnsi="Arial"/>
                <w:sz w:val="18"/>
                <w:szCs w:val="18"/>
                <w:b w:val="1"/>
                <w:bCs w:val="1"/>
                <w:color w:val="auto"/>
                <w:w w:val="89"/>
              </w:rPr>
              <w:t>6303 Cowboys Way, Suite 600</w:t>
            </w:r>
          </w:p>
        </w:tc>
        <w:tc>
          <w:tcPr>
            <w:tcW w:w="2080" w:type="dxa"/>
            <w:vAlign w:val="bottom"/>
          </w:tcPr>
          <w:p>
            <w:pPr>
              <w:spacing w:after="0"/>
              <w:rPr>
                <w:sz w:val="24"/>
                <w:szCs w:val="24"/>
                <w:color w:val="auto"/>
              </w:rPr>
            </w:pPr>
          </w:p>
        </w:tc>
        <w:tc>
          <w:tcPr>
            <w:tcW w:w="2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3220" w:type="dxa"/>
            <w:vAlign w:val="bottom"/>
          </w:tcPr>
          <w:p>
            <w:pPr>
              <w:jc w:val="center"/>
              <w:ind w:right="150"/>
              <w:spacing w:after="0"/>
              <w:rPr>
                <w:sz w:val="20"/>
                <w:szCs w:val="20"/>
                <w:color w:val="auto"/>
              </w:rPr>
            </w:pPr>
            <w:r>
              <w:rPr>
                <w:rFonts w:ascii="Arial" w:cs="Arial" w:eastAsia="Arial" w:hAnsi="Arial"/>
                <w:sz w:val="18"/>
                <w:szCs w:val="18"/>
                <w:b w:val="1"/>
                <w:bCs w:val="1"/>
                <w:color w:val="auto"/>
                <w:w w:val="94"/>
              </w:rPr>
              <w:t>Frisco, TX</w:t>
            </w:r>
          </w:p>
        </w:tc>
        <w:tc>
          <w:tcPr>
            <w:tcW w:w="4660" w:type="dxa"/>
            <w:vAlign w:val="bottom"/>
            <w:gridSpan w:val="2"/>
          </w:tcPr>
          <w:p>
            <w:pPr>
              <w:jc w:val="right"/>
              <w:ind w:right="390"/>
              <w:spacing w:after="0"/>
              <w:rPr>
                <w:sz w:val="20"/>
                <w:szCs w:val="20"/>
                <w:color w:val="auto"/>
              </w:rPr>
            </w:pPr>
            <w:r>
              <w:rPr>
                <w:rFonts w:ascii="Arial" w:cs="Arial" w:eastAsia="Arial" w:hAnsi="Arial"/>
                <w:sz w:val="18"/>
                <w:szCs w:val="18"/>
                <w:b w:val="1"/>
                <w:bCs w:val="1"/>
                <w:color w:val="auto"/>
              </w:rPr>
              <w:t>75034</w:t>
            </w:r>
          </w:p>
        </w:tc>
        <w:tc>
          <w:tcPr>
            <w:tcW w:w="0" w:type="dxa"/>
            <w:vAlign w:val="bottom"/>
          </w:tcPr>
          <w:p>
            <w:pPr>
              <w:spacing w:after="0"/>
              <w:rPr>
                <w:sz w:val="1"/>
                <w:szCs w:val="1"/>
                <w:color w:val="auto"/>
              </w:rPr>
            </w:pPr>
          </w:p>
        </w:tc>
      </w:tr>
      <w:tr>
        <w:trPr>
          <w:trHeight w:val="234"/>
        </w:trPr>
        <w:tc>
          <w:tcPr>
            <w:tcW w:w="3220" w:type="dxa"/>
            <w:vAlign w:val="bottom"/>
          </w:tcPr>
          <w:p>
            <w:pPr>
              <w:jc w:val="center"/>
              <w:ind w:right="150"/>
              <w:spacing w:after="0"/>
              <w:rPr>
                <w:sz w:val="20"/>
                <w:szCs w:val="20"/>
                <w:color w:val="auto"/>
              </w:rPr>
            </w:pPr>
            <w:r>
              <w:rPr>
                <w:rFonts w:ascii="Arial" w:cs="Arial" w:eastAsia="Arial" w:hAnsi="Arial"/>
                <w:sz w:val="18"/>
                <w:szCs w:val="18"/>
                <w:b w:val="1"/>
                <w:bCs w:val="1"/>
                <w:color w:val="auto"/>
                <w:w w:val="88"/>
              </w:rPr>
              <w:t>(Address of principal executive offices)</w:t>
            </w:r>
          </w:p>
        </w:tc>
        <w:tc>
          <w:tcPr>
            <w:tcW w:w="2080" w:type="dxa"/>
            <w:vAlign w:val="bottom"/>
            <w:vMerge w:val="restart"/>
          </w:tcPr>
          <w:p>
            <w:pPr>
              <w:jc w:val="right"/>
              <w:ind w:right="390"/>
              <w:spacing w:after="0"/>
              <w:rPr>
                <w:sz w:val="20"/>
                <w:szCs w:val="20"/>
                <w:color w:val="auto"/>
              </w:rPr>
            </w:pPr>
            <w:r>
              <w:rPr>
                <w:rFonts w:ascii="Arial" w:cs="Arial" w:eastAsia="Arial" w:hAnsi="Arial"/>
                <w:sz w:val="18"/>
                <w:szCs w:val="18"/>
                <w:b w:val="1"/>
                <w:bCs w:val="1"/>
                <w:color w:val="auto"/>
              </w:rPr>
              <w:t>(469) 535-8200</w:t>
            </w:r>
          </w:p>
        </w:tc>
        <w:tc>
          <w:tcPr>
            <w:tcW w:w="2580" w:type="dxa"/>
            <w:vAlign w:val="bottom"/>
          </w:tcPr>
          <w:p>
            <w:pPr>
              <w:jc w:val="center"/>
              <w:ind w:left="1050"/>
              <w:spacing w:after="0"/>
              <w:rPr>
                <w:sz w:val="20"/>
                <w:szCs w:val="20"/>
                <w:color w:val="auto"/>
              </w:rPr>
            </w:pPr>
            <w:r>
              <w:rPr>
                <w:rFonts w:ascii="Arial" w:cs="Arial" w:eastAsia="Arial" w:hAnsi="Arial"/>
                <w:sz w:val="18"/>
                <w:szCs w:val="18"/>
                <w:b w:val="1"/>
                <w:bCs w:val="1"/>
                <w:color w:val="auto"/>
                <w:w w:val="94"/>
              </w:rPr>
              <w:t>(Zip Code)</w:t>
            </w:r>
          </w:p>
        </w:tc>
        <w:tc>
          <w:tcPr>
            <w:tcW w:w="0" w:type="dxa"/>
            <w:vAlign w:val="bottom"/>
          </w:tcPr>
          <w:p>
            <w:pPr>
              <w:spacing w:after="0"/>
              <w:rPr>
                <w:sz w:val="1"/>
                <w:szCs w:val="1"/>
                <w:color w:val="auto"/>
              </w:rPr>
            </w:pPr>
          </w:p>
        </w:tc>
      </w:tr>
      <w:tr>
        <w:trPr>
          <w:trHeight w:val="216"/>
        </w:trPr>
        <w:tc>
          <w:tcPr>
            <w:tcW w:w="3220" w:type="dxa"/>
            <w:vAlign w:val="bottom"/>
          </w:tcPr>
          <w:p>
            <w:pPr>
              <w:spacing w:after="0"/>
              <w:rPr>
                <w:sz w:val="18"/>
                <w:szCs w:val="18"/>
                <w:color w:val="auto"/>
              </w:rPr>
            </w:pPr>
          </w:p>
        </w:tc>
        <w:tc>
          <w:tcPr>
            <w:tcW w:w="2080" w:type="dxa"/>
            <w:vAlign w:val="bottom"/>
            <w:vMerge w:val="continue"/>
          </w:tcPr>
          <w:p>
            <w:pPr>
              <w:spacing w:after="0"/>
              <w:rPr>
                <w:sz w:val="18"/>
                <w:szCs w:val="18"/>
                <w:color w:val="auto"/>
              </w:rPr>
            </w:pPr>
          </w:p>
        </w:tc>
        <w:tc>
          <w:tcPr>
            <w:tcW w:w="2580" w:type="dxa"/>
            <w:vAlign w:val="bottom"/>
          </w:tcPr>
          <w:p>
            <w:pPr>
              <w:spacing w:after="0"/>
              <w:rPr>
                <w:sz w:val="18"/>
                <w:szCs w:val="18"/>
                <w:color w:val="auto"/>
              </w:rPr>
            </w:pPr>
          </w:p>
        </w:tc>
        <w:tc>
          <w:tcPr>
            <w:tcW w:w="0" w:type="dxa"/>
            <w:vAlign w:val="bottom"/>
          </w:tcPr>
          <w:p>
            <w:pPr>
              <w:spacing w:after="0"/>
              <w:rPr>
                <w:sz w:val="1"/>
                <w:szCs w:val="1"/>
                <w:color w:val="auto"/>
              </w:rPr>
            </w:pPr>
          </w:p>
        </w:tc>
      </w:tr>
    </w:tbl>
    <w:p>
      <w:pPr>
        <w:ind w:left="3840"/>
        <w:spacing w:after="0"/>
        <w:rPr>
          <w:sz w:val="20"/>
          <w:szCs w:val="20"/>
          <w:color w:val="auto"/>
        </w:rPr>
      </w:pPr>
      <w:r>
        <w:rPr>
          <w:rFonts w:ascii="Arial" w:cs="Arial" w:eastAsia="Arial" w:hAnsi="Arial"/>
          <w:sz w:val="18"/>
          <w:szCs w:val="18"/>
          <w:b w:val="1"/>
          <w:bCs w:val="1"/>
          <w:color w:val="auto"/>
        </w:rPr>
        <w:t>(Registrant’s telephone number, including area code)</w:t>
      </w:r>
    </w:p>
    <w:p>
      <w:pPr>
        <w:spacing w:after="0" w:line="67" w:lineRule="exact"/>
        <w:rPr>
          <w:sz w:val="24"/>
          <w:szCs w:val="24"/>
          <w:color w:val="auto"/>
        </w:rPr>
      </w:pPr>
    </w:p>
    <w:p>
      <w:pPr>
        <w:jc w:val="center"/>
        <w:spacing w:after="0"/>
        <w:rPr>
          <w:sz w:val="20"/>
          <w:szCs w:val="20"/>
          <w:color w:val="auto"/>
        </w:rPr>
      </w:pPr>
      <w:r>
        <w:rPr>
          <w:rFonts w:ascii="Arial" w:cs="Arial" w:eastAsia="Arial" w:hAnsi="Arial"/>
          <w:sz w:val="16"/>
          <w:szCs w:val="16"/>
          <w:color w:val="auto"/>
        </w:rPr>
        <w:t>Securities registered pursuant to Section 12(b) of the Act:</w:t>
      </w:r>
    </w:p>
    <w:p>
      <w:pPr>
        <w:spacing w:after="0" w:line="157" w:lineRule="exact"/>
        <w:rPr>
          <w:sz w:val="24"/>
          <w:szCs w:val="24"/>
          <w:color w:val="auto"/>
        </w:rPr>
      </w:pPr>
    </w:p>
    <w:tbl>
      <w:tblPr>
        <w:tblLayout w:type="fixed"/>
        <w:tblInd w:w="10" w:type="dxa"/>
        <w:tblCellMar>
          <w:top w:w="0" w:type="dxa"/>
          <w:left w:w="0" w:type="dxa"/>
          <w:bottom w:w="0" w:type="dxa"/>
          <w:right w:w="0" w:type="dxa"/>
        </w:tblCellMar>
      </w:tblPr>
      <w:tr>
        <w:trPr>
          <w:trHeight w:val="216"/>
        </w:trPr>
        <w:tc>
          <w:tcPr>
            <w:tcW w:w="3740" w:type="dxa"/>
            <w:vAlign w:val="bottom"/>
            <w:tcBorders>
              <w:top w:val="single" w:sz="8" w:color="auto"/>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2"/>
              </w:rPr>
              <w:t>Title of each class</w:t>
            </w:r>
          </w:p>
        </w:tc>
        <w:tc>
          <w:tcPr>
            <w:tcW w:w="370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3"/>
              </w:rPr>
              <w:t>Trading Symbol(s)</w:t>
            </w:r>
          </w:p>
        </w:tc>
        <w:tc>
          <w:tcPr>
            <w:tcW w:w="260" w:type="dxa"/>
            <w:vAlign w:val="bottom"/>
            <w:tcBorders>
              <w:top w:val="single" w:sz="8" w:color="auto"/>
              <w:bottom w:val="single" w:sz="8" w:color="auto"/>
            </w:tcBorders>
          </w:tcPr>
          <w:p>
            <w:pPr>
              <w:spacing w:after="0"/>
              <w:rPr>
                <w:sz w:val="18"/>
                <w:szCs w:val="18"/>
                <w:color w:val="auto"/>
              </w:rPr>
            </w:pPr>
          </w:p>
        </w:tc>
        <w:tc>
          <w:tcPr>
            <w:tcW w:w="3540" w:type="dxa"/>
            <w:vAlign w:val="bottom"/>
            <w:tcBorders>
              <w:top w:val="single" w:sz="8" w:color="auto"/>
              <w:bottom w:val="single" w:sz="8" w:color="auto"/>
              <w:right w:val="single" w:sz="8" w:color="auto"/>
            </w:tcBorders>
          </w:tcPr>
          <w:p>
            <w:pPr>
              <w:jc w:val="center"/>
              <w:ind w:right="199"/>
              <w:spacing w:after="0"/>
              <w:rPr>
                <w:sz w:val="20"/>
                <w:szCs w:val="20"/>
                <w:color w:val="auto"/>
              </w:rPr>
            </w:pPr>
            <w:r>
              <w:rPr>
                <w:rFonts w:ascii="Arial" w:cs="Arial" w:eastAsia="Arial" w:hAnsi="Arial"/>
                <w:sz w:val="16"/>
                <w:szCs w:val="16"/>
                <w:color w:val="auto"/>
                <w:w w:val="90"/>
              </w:rPr>
              <w:t>Name of each exchange on which registered</w:t>
            </w:r>
          </w:p>
        </w:tc>
      </w:tr>
      <w:tr>
        <w:trPr>
          <w:trHeight w:val="196"/>
        </w:trPr>
        <w:tc>
          <w:tcPr>
            <w:tcW w:w="374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1"/>
              </w:rPr>
              <w:t>Common Stock, $0.001 par value</w:t>
            </w:r>
          </w:p>
        </w:tc>
        <w:tc>
          <w:tcPr>
            <w:tcW w:w="37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8"/>
              </w:rPr>
              <w:t>ADUS</w:t>
            </w:r>
          </w:p>
        </w:tc>
        <w:tc>
          <w:tcPr>
            <w:tcW w:w="260" w:type="dxa"/>
            <w:vAlign w:val="bottom"/>
            <w:tcBorders>
              <w:bottom w:val="single" w:sz="8" w:color="auto"/>
            </w:tcBorders>
          </w:tcPr>
          <w:p>
            <w:pPr>
              <w:spacing w:after="0"/>
              <w:rPr>
                <w:sz w:val="17"/>
                <w:szCs w:val="17"/>
                <w:color w:val="auto"/>
              </w:rPr>
            </w:pPr>
          </w:p>
        </w:tc>
        <w:tc>
          <w:tcPr>
            <w:tcW w:w="3540" w:type="dxa"/>
            <w:vAlign w:val="bottom"/>
            <w:tcBorders>
              <w:bottom w:val="single" w:sz="8" w:color="auto"/>
              <w:right w:val="single" w:sz="8" w:color="auto"/>
            </w:tcBorders>
          </w:tcPr>
          <w:p>
            <w:pPr>
              <w:jc w:val="center"/>
              <w:ind w:right="199"/>
              <w:spacing w:after="0"/>
              <w:rPr>
                <w:sz w:val="20"/>
                <w:szCs w:val="20"/>
                <w:color w:val="auto"/>
              </w:rPr>
            </w:pPr>
            <w:r>
              <w:rPr>
                <w:rFonts w:ascii="Arial" w:cs="Arial" w:eastAsia="Arial" w:hAnsi="Arial"/>
                <w:sz w:val="16"/>
                <w:szCs w:val="16"/>
                <w:color w:val="auto"/>
                <w:w w:val="93"/>
              </w:rPr>
              <w:t>The Nasdaq Global Market</w:t>
            </w:r>
          </w:p>
        </w:tc>
      </w:tr>
      <w:tr>
        <w:trPr>
          <w:trHeight w:val="258"/>
        </w:trPr>
        <w:tc>
          <w:tcPr>
            <w:tcW w:w="3740" w:type="dxa"/>
            <w:vAlign w:val="bottom"/>
          </w:tcPr>
          <w:p>
            <w:pPr>
              <w:spacing w:after="0"/>
              <w:rPr>
                <w:sz w:val="22"/>
                <w:szCs w:val="22"/>
                <w:color w:val="auto"/>
              </w:rPr>
            </w:pPr>
          </w:p>
        </w:tc>
        <w:tc>
          <w:tcPr>
            <w:tcW w:w="3960" w:type="dxa"/>
            <w:vAlign w:val="bottom"/>
            <w:gridSpan w:val="2"/>
          </w:tcPr>
          <w:p>
            <w:pPr>
              <w:ind w:left="20"/>
              <w:spacing w:after="0"/>
              <w:rPr>
                <w:sz w:val="20"/>
                <w:szCs w:val="20"/>
                <w:color w:val="auto"/>
              </w:rPr>
            </w:pPr>
            <w:r>
              <w:rPr>
                <w:rFonts w:ascii="Arial" w:cs="Arial" w:eastAsia="Arial" w:hAnsi="Arial"/>
                <w:sz w:val="16"/>
                <w:szCs w:val="16"/>
                <w:color w:val="auto"/>
                <w:w w:val="96"/>
              </w:rPr>
              <w:t>Securities registered pursuant to Section 12(g) of the Act:</w:t>
            </w:r>
          </w:p>
        </w:tc>
        <w:tc>
          <w:tcPr>
            <w:tcW w:w="3540" w:type="dxa"/>
            <w:vAlign w:val="bottom"/>
          </w:tcPr>
          <w:p>
            <w:pPr>
              <w:spacing w:after="0"/>
              <w:rPr>
                <w:sz w:val="22"/>
                <w:szCs w:val="22"/>
                <w:color w:val="auto"/>
              </w:rPr>
            </w:pPr>
          </w:p>
        </w:tc>
      </w:tr>
    </w:tbl>
    <w:p>
      <w:pPr>
        <w:spacing w:after="0" w:line="132"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None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57785</wp:posOffset>
            </wp:positionV>
            <wp:extent cx="178308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783080" cy="8890"/>
                    </a:xfrm>
                    <a:prstGeom prst="rect">
                      <a:avLst/>
                    </a:prstGeom>
                    <a:noFill/>
                  </pic:spPr>
                </pic:pic>
              </a:graphicData>
            </a:graphic>
          </wp:anchor>
        </w:drawing>
      </w:r>
    </w:p>
    <w:p>
      <w:pPr>
        <w:spacing w:after="0" w:line="151" w:lineRule="exact"/>
        <w:rPr>
          <w:sz w:val="24"/>
          <w:szCs w:val="24"/>
          <w:color w:val="auto"/>
        </w:rPr>
      </w:pPr>
    </w:p>
    <w:p>
      <w:pPr>
        <w:ind w:right="60" w:firstLine="476"/>
        <w:spacing w:after="0" w:line="227"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r>
        <w:rPr>
          <w:rFonts w:ascii="Arial" w:cs="Arial" w:eastAsia="Arial" w:hAnsi="Arial"/>
          <w:sz w:val="18"/>
          <w:szCs w:val="18"/>
          <w:color w:val="auto"/>
        </w:rPr>
        <w:t>.</w:t>
      </w:r>
    </w:p>
    <w:p>
      <w:pPr>
        <w:spacing w:after="0" w:line="76" w:lineRule="exact"/>
        <w:rPr>
          <w:sz w:val="24"/>
          <w:szCs w:val="24"/>
          <w:color w:val="auto"/>
        </w:rPr>
      </w:pPr>
    </w:p>
    <w:p>
      <w:pPr>
        <w:ind w:right="80" w:firstLine="476"/>
        <w:spacing w:after="0" w:line="227" w:lineRule="exact"/>
        <w:rPr>
          <w:sz w:val="20"/>
          <w:szCs w:val="20"/>
          <w:color w:val="auto"/>
        </w:rPr>
      </w:pPr>
      <w:r>
        <w:rPr>
          <w:rFonts w:ascii="Arial" w:cs="Arial" w:eastAsia="Arial" w:hAnsi="Arial"/>
          <w:sz w:val="18"/>
          <w:szCs w:val="18"/>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r>
        <w:rPr>
          <w:rFonts w:ascii="Arial" w:cs="Arial" w:eastAsia="Arial" w:hAnsi="Arial"/>
          <w:sz w:val="18"/>
          <w:szCs w:val="18"/>
          <w:color w:val="auto"/>
        </w:rPr>
        <w:t>.</w:t>
      </w:r>
    </w:p>
    <w:p>
      <w:pPr>
        <w:spacing w:after="0" w:line="76" w:lineRule="exact"/>
        <w:rPr>
          <w:sz w:val="24"/>
          <w:szCs w:val="24"/>
          <w:color w:val="auto"/>
        </w:rPr>
      </w:pPr>
    </w:p>
    <w:p>
      <w:pPr>
        <w:ind w:right="60" w:firstLine="476"/>
        <w:spacing w:after="0" w:line="263"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37" w:lineRule="exact"/>
        <w:rPr>
          <w:sz w:val="24"/>
          <w:szCs w:val="24"/>
          <w:color w:val="auto"/>
        </w:rPr>
      </w:pPr>
    </w:p>
    <w:tbl>
      <w:tblPr>
        <w:tblLayout w:type="fixed"/>
        <w:tblInd w:w="0" w:type="dxa"/>
        <w:tblCellMar>
          <w:top w:w="0" w:type="dxa"/>
          <w:left w:w="0" w:type="dxa"/>
          <w:bottom w:w="0" w:type="dxa"/>
          <w:right w:w="0" w:type="dxa"/>
        </w:tblCellMar>
      </w:tblPr>
      <w:tr>
        <w:trPr>
          <w:trHeight w:val="203"/>
        </w:trPr>
        <w:tc>
          <w:tcPr>
            <w:tcW w:w="2080" w:type="dxa"/>
            <w:vAlign w:val="bottom"/>
          </w:tcPr>
          <w:p>
            <w:pPr>
              <w:spacing w:after="0"/>
              <w:rPr>
                <w:sz w:val="20"/>
                <w:szCs w:val="20"/>
                <w:color w:val="auto"/>
              </w:rPr>
            </w:pPr>
            <w:r>
              <w:rPr>
                <w:rFonts w:ascii="Arial" w:cs="Arial" w:eastAsia="Arial" w:hAnsi="Arial"/>
                <w:sz w:val="16"/>
                <w:szCs w:val="16"/>
                <w:color w:val="auto"/>
              </w:rPr>
              <w:t>Large Accelerated Filer</w:t>
            </w:r>
          </w:p>
        </w:tc>
        <w:tc>
          <w:tcPr>
            <w:tcW w:w="3400" w:type="dxa"/>
            <w:vAlign w:val="bottom"/>
          </w:tcPr>
          <w:p>
            <w:pPr>
              <w:ind w:left="240"/>
              <w:spacing w:after="0" w:line="161" w:lineRule="exact"/>
              <w:rPr>
                <w:sz w:val="20"/>
                <w:szCs w:val="20"/>
                <w:color w:val="auto"/>
              </w:rPr>
            </w:pPr>
            <w:r>
              <w:rPr>
                <w:rFonts w:ascii="MS PGothic" w:cs="MS PGothic" w:eastAsia="MS PGothic" w:hAnsi="MS PGothic"/>
                <w:sz w:val="16"/>
                <w:szCs w:val="16"/>
                <w:color w:val="auto"/>
              </w:rPr>
              <w:t>☒</w:t>
            </w:r>
          </w:p>
        </w:tc>
        <w:tc>
          <w:tcPr>
            <w:tcW w:w="5240" w:type="dxa"/>
            <w:vAlign w:val="bottom"/>
          </w:tcPr>
          <w:p>
            <w:pPr>
              <w:ind w:left="3020"/>
              <w:spacing w:after="0"/>
              <w:rPr>
                <w:sz w:val="20"/>
                <w:szCs w:val="20"/>
                <w:color w:val="auto"/>
              </w:rPr>
            </w:pPr>
            <w:r>
              <w:rPr>
                <w:rFonts w:ascii="Arial" w:cs="Arial" w:eastAsia="Arial" w:hAnsi="Arial"/>
                <w:sz w:val="16"/>
                <w:szCs w:val="16"/>
                <w:color w:val="auto"/>
              </w:rPr>
              <w:t>Accelerated Filer</w:t>
            </w:r>
          </w:p>
        </w:tc>
        <w:tc>
          <w:tcPr>
            <w:tcW w:w="480" w:type="dxa"/>
            <w:vAlign w:val="bottom"/>
          </w:tcPr>
          <w:p>
            <w:pPr>
              <w:ind w:left="34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203"/>
        </w:trPr>
        <w:tc>
          <w:tcPr>
            <w:tcW w:w="2080" w:type="dxa"/>
            <w:vAlign w:val="bottom"/>
          </w:tcPr>
          <w:p>
            <w:pPr>
              <w:spacing w:after="0"/>
              <w:rPr>
                <w:sz w:val="20"/>
                <w:szCs w:val="20"/>
                <w:color w:val="auto"/>
              </w:rPr>
            </w:pPr>
            <w:r>
              <w:rPr>
                <w:rFonts w:ascii="Arial" w:cs="Arial" w:eastAsia="Arial" w:hAnsi="Arial"/>
                <w:sz w:val="16"/>
                <w:szCs w:val="16"/>
                <w:color w:val="auto"/>
              </w:rPr>
              <w:t>Non-Accelerated Filer</w:t>
            </w:r>
          </w:p>
        </w:tc>
        <w:tc>
          <w:tcPr>
            <w:tcW w:w="3400" w:type="dxa"/>
            <w:vAlign w:val="bottom"/>
          </w:tcPr>
          <w:p>
            <w:pPr>
              <w:ind w:left="240"/>
              <w:spacing w:after="0" w:line="161" w:lineRule="exact"/>
              <w:rPr>
                <w:sz w:val="20"/>
                <w:szCs w:val="20"/>
                <w:color w:val="auto"/>
              </w:rPr>
            </w:pPr>
            <w:r>
              <w:rPr>
                <w:rFonts w:ascii="MS PGothic" w:cs="MS PGothic" w:eastAsia="MS PGothic" w:hAnsi="MS PGothic"/>
                <w:sz w:val="16"/>
                <w:szCs w:val="16"/>
                <w:color w:val="auto"/>
              </w:rPr>
              <w:t>☐</w:t>
            </w:r>
          </w:p>
        </w:tc>
        <w:tc>
          <w:tcPr>
            <w:tcW w:w="5240" w:type="dxa"/>
            <w:vAlign w:val="bottom"/>
          </w:tcPr>
          <w:p>
            <w:pPr>
              <w:ind w:left="3020"/>
              <w:spacing w:after="0"/>
              <w:rPr>
                <w:sz w:val="20"/>
                <w:szCs w:val="20"/>
                <w:color w:val="auto"/>
              </w:rPr>
            </w:pPr>
            <w:r>
              <w:rPr>
                <w:rFonts w:ascii="Arial" w:cs="Arial" w:eastAsia="Arial" w:hAnsi="Arial"/>
                <w:sz w:val="16"/>
                <w:szCs w:val="16"/>
                <w:color w:val="auto"/>
              </w:rPr>
              <w:t>Smaller Reporting Company</w:t>
            </w:r>
          </w:p>
        </w:tc>
        <w:tc>
          <w:tcPr>
            <w:tcW w:w="480" w:type="dxa"/>
            <w:vAlign w:val="bottom"/>
          </w:tcPr>
          <w:p>
            <w:pPr>
              <w:ind w:left="34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254"/>
        </w:trPr>
        <w:tc>
          <w:tcPr>
            <w:tcW w:w="2080" w:type="dxa"/>
            <w:vAlign w:val="bottom"/>
          </w:tcPr>
          <w:p>
            <w:pPr>
              <w:spacing w:after="0"/>
              <w:rPr>
                <w:sz w:val="20"/>
                <w:szCs w:val="20"/>
                <w:color w:val="auto"/>
              </w:rPr>
            </w:pPr>
            <w:r>
              <w:rPr>
                <w:rFonts w:ascii="Arial" w:cs="Arial" w:eastAsia="Arial" w:hAnsi="Arial"/>
                <w:sz w:val="16"/>
                <w:szCs w:val="16"/>
                <w:color w:val="auto"/>
              </w:rPr>
              <w:t>Emerging Growth Company</w:t>
            </w:r>
          </w:p>
        </w:tc>
        <w:tc>
          <w:tcPr>
            <w:tcW w:w="3400" w:type="dxa"/>
            <w:vAlign w:val="bottom"/>
          </w:tcPr>
          <w:p>
            <w:pPr>
              <w:ind w:left="240"/>
              <w:spacing w:after="0" w:line="161" w:lineRule="exact"/>
              <w:rPr>
                <w:sz w:val="20"/>
                <w:szCs w:val="20"/>
                <w:color w:val="auto"/>
              </w:rPr>
            </w:pPr>
            <w:r>
              <w:rPr>
                <w:rFonts w:ascii="MS PGothic" w:cs="MS PGothic" w:eastAsia="MS PGothic" w:hAnsi="MS PGothic"/>
                <w:sz w:val="16"/>
                <w:szCs w:val="16"/>
                <w:color w:val="auto"/>
              </w:rPr>
              <w:t>☐</w:t>
            </w:r>
          </w:p>
        </w:tc>
        <w:tc>
          <w:tcPr>
            <w:tcW w:w="5240" w:type="dxa"/>
            <w:vAlign w:val="bottom"/>
          </w:tcPr>
          <w:p>
            <w:pPr>
              <w:spacing w:after="0"/>
              <w:rPr>
                <w:sz w:val="22"/>
                <w:szCs w:val="22"/>
                <w:color w:val="auto"/>
              </w:rPr>
            </w:pPr>
          </w:p>
        </w:tc>
        <w:tc>
          <w:tcPr>
            <w:tcW w:w="480" w:type="dxa"/>
            <w:vAlign w:val="bottom"/>
          </w:tcPr>
          <w:p>
            <w:pPr>
              <w:spacing w:after="0"/>
              <w:rPr>
                <w:sz w:val="22"/>
                <w:szCs w:val="22"/>
                <w:color w:val="auto"/>
              </w:rPr>
            </w:pPr>
          </w:p>
        </w:tc>
      </w:tr>
    </w:tbl>
    <w:p>
      <w:pPr>
        <w:spacing w:after="0" w:line="82" w:lineRule="exact"/>
        <w:rPr>
          <w:sz w:val="24"/>
          <w:szCs w:val="24"/>
          <w:color w:val="auto"/>
        </w:rPr>
      </w:pPr>
    </w:p>
    <w:p>
      <w:pPr>
        <w:jc w:val="both"/>
        <w:ind w:right="40" w:firstLine="476"/>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1" w:lineRule="exact"/>
        <w:rPr>
          <w:sz w:val="24"/>
          <w:szCs w:val="24"/>
          <w:color w:val="auto"/>
        </w:rPr>
      </w:pPr>
    </w:p>
    <w:p>
      <w:pPr>
        <w:ind w:left="480"/>
        <w:spacing w:after="0" w:line="207" w:lineRule="exact"/>
        <w:tabs>
          <w:tab w:leader="none" w:pos="8820" w:val="left"/>
          <w:tab w:leader="none" w:pos="9460" w:val="left"/>
        </w:tabs>
        <w:rPr>
          <w:sz w:val="20"/>
          <w:szCs w:val="20"/>
          <w:color w:val="auto"/>
        </w:rPr>
      </w:pPr>
      <w:r>
        <w:rPr>
          <w:rFonts w:ascii="Arial" w:cs="Arial" w:eastAsia="Arial" w:hAnsi="Arial"/>
          <w:sz w:val="17"/>
          <w:szCs w:val="17"/>
          <w:color w:val="auto"/>
        </w:rPr>
        <w:t>Indicate by check mark whether the registrant is a shell company (as defined in Rule 12b-2 of the Exchange Act).</w:t>
      </w:r>
      <w:r>
        <w:rPr>
          <w:sz w:val="20"/>
          <w:szCs w:val="20"/>
          <w:color w:val="auto"/>
        </w:rPr>
        <w:tab/>
      </w: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sz w:val="20"/>
          <w:szCs w:val="20"/>
          <w:color w:val="auto"/>
        </w:rPr>
        <w:tab/>
      </w:r>
      <w:r>
        <w:rPr>
          <w:rFonts w:ascii="Arial" w:cs="Arial" w:eastAsia="Arial" w:hAnsi="Arial"/>
          <w:sz w:val="16"/>
          <w:szCs w:val="16"/>
          <w:color w:val="auto"/>
        </w:rPr>
        <w:t xml:space="preserve">No </w:t>
      </w:r>
      <w:r>
        <w:rPr>
          <w:rFonts w:ascii="MS PGothic" w:cs="MS PGothic" w:eastAsia="MS PGothic" w:hAnsi="MS PGothic"/>
          <w:sz w:val="16"/>
          <w:szCs w:val="16"/>
          <w:color w:val="auto"/>
        </w:rPr>
        <w:t>☒</w:t>
      </w:r>
      <w:r>
        <w:rPr>
          <w:rFonts w:ascii="Arial" w:cs="Arial" w:eastAsia="Arial" w:hAnsi="Arial"/>
          <w:sz w:val="16"/>
          <w:szCs w:val="16"/>
          <w:color w:val="auto"/>
        </w:rPr>
        <w:t>.</w:t>
      </w:r>
    </w:p>
    <w:p>
      <w:pPr>
        <w:spacing w:after="0" w:line="56" w:lineRule="exact"/>
        <w:rPr>
          <w:sz w:val="24"/>
          <w:szCs w:val="24"/>
          <w:color w:val="auto"/>
        </w:rPr>
      </w:pPr>
    </w:p>
    <w:p>
      <w:pPr>
        <w:ind w:left="480"/>
        <w:spacing w:after="0"/>
        <w:rPr>
          <w:sz w:val="20"/>
          <w:szCs w:val="20"/>
          <w:color w:val="auto"/>
        </w:rPr>
      </w:pPr>
      <w:r>
        <w:rPr>
          <w:rFonts w:ascii="Arial" w:cs="Arial" w:eastAsia="Arial" w:hAnsi="Arial"/>
          <w:sz w:val="18"/>
          <w:szCs w:val="18"/>
          <w:color w:val="auto"/>
        </w:rPr>
        <w:t>As of July 31, 2020, Addus HomeCare Corporation had 15,664,952 shares of Common Stock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109220</wp:posOffset>
            </wp:positionV>
            <wp:extent cx="71323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126365</wp:posOffset>
            </wp:positionV>
            <wp:extent cx="71323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271780</wp:posOffset>
            </wp:positionV>
            <wp:extent cx="713232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623570</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34"/>
        </w:trPr>
        <w:tc>
          <w:tcPr>
            <w:tcW w:w="10340" w:type="dxa"/>
            <w:vAlign w:val="bottom"/>
          </w:tcPr>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tc>
        <w:tc>
          <w:tcPr>
            <w:tcW w:w="900" w:type="dxa"/>
            <w:vAlign w:val="bottom"/>
          </w:tcPr>
          <w:p>
            <w:pPr>
              <w:spacing w:after="0"/>
              <w:rPr>
                <w:sz w:val="20"/>
                <w:szCs w:val="20"/>
                <w:color w:val="auto"/>
              </w:rPr>
            </w:pPr>
          </w:p>
        </w:tc>
      </w:tr>
      <w:tr>
        <w:trPr>
          <w:trHeight w:val="432"/>
        </w:trPr>
        <w:tc>
          <w:tcPr>
            <w:tcW w:w="10340" w:type="dxa"/>
            <w:vAlign w:val="bottom"/>
          </w:tcPr>
          <w:p>
            <w:pPr>
              <w:jc w:val="center"/>
              <w:ind w:left="830"/>
              <w:spacing w:after="0"/>
              <w:rPr>
                <w:sz w:val="20"/>
                <w:szCs w:val="20"/>
                <w:color w:val="auto"/>
              </w:rPr>
            </w:pPr>
            <w:r>
              <w:rPr>
                <w:rFonts w:ascii="Arial" w:cs="Arial" w:eastAsia="Arial" w:hAnsi="Arial"/>
                <w:sz w:val="18"/>
                <w:szCs w:val="18"/>
                <w:b w:val="1"/>
                <w:bCs w:val="1"/>
                <w:color w:val="auto"/>
                <w:w w:val="99"/>
              </w:rPr>
              <w:t>ADDUS HOMECARE CORPORATION</w:t>
            </w:r>
          </w:p>
        </w:tc>
        <w:tc>
          <w:tcPr>
            <w:tcW w:w="900" w:type="dxa"/>
            <w:vAlign w:val="bottom"/>
          </w:tcPr>
          <w:p>
            <w:pPr>
              <w:spacing w:after="0"/>
              <w:rPr>
                <w:sz w:val="24"/>
                <w:szCs w:val="24"/>
                <w:color w:val="auto"/>
              </w:rPr>
            </w:pPr>
          </w:p>
        </w:tc>
      </w:tr>
      <w:tr>
        <w:trPr>
          <w:trHeight w:val="378"/>
        </w:trPr>
        <w:tc>
          <w:tcPr>
            <w:tcW w:w="10340" w:type="dxa"/>
            <w:vAlign w:val="bottom"/>
          </w:tcPr>
          <w:p>
            <w:pPr>
              <w:jc w:val="center"/>
              <w:ind w:left="830"/>
              <w:spacing w:after="0"/>
              <w:rPr>
                <w:sz w:val="20"/>
                <w:szCs w:val="20"/>
                <w:color w:val="auto"/>
              </w:rPr>
            </w:pPr>
            <w:r>
              <w:rPr>
                <w:rFonts w:ascii="Arial" w:cs="Arial" w:eastAsia="Arial" w:hAnsi="Arial"/>
                <w:sz w:val="18"/>
                <w:szCs w:val="18"/>
                <w:b w:val="1"/>
                <w:bCs w:val="1"/>
                <w:color w:val="auto"/>
                <w:w w:val="99"/>
              </w:rPr>
              <w:t>FORM 10-Q</w:t>
            </w:r>
          </w:p>
        </w:tc>
        <w:tc>
          <w:tcPr>
            <w:tcW w:w="900" w:type="dxa"/>
            <w:vAlign w:val="bottom"/>
          </w:tcPr>
          <w:p>
            <w:pPr>
              <w:spacing w:after="0"/>
              <w:rPr>
                <w:sz w:val="24"/>
                <w:szCs w:val="24"/>
                <w:color w:val="auto"/>
              </w:rPr>
            </w:pPr>
          </w:p>
        </w:tc>
      </w:tr>
      <w:tr>
        <w:trPr>
          <w:trHeight w:val="378"/>
        </w:trPr>
        <w:tc>
          <w:tcPr>
            <w:tcW w:w="10340" w:type="dxa"/>
            <w:vAlign w:val="bottom"/>
          </w:tcPr>
          <w:p>
            <w:pPr>
              <w:jc w:val="center"/>
              <w:ind w:left="830"/>
              <w:spacing w:after="0"/>
              <w:rPr>
                <w:sz w:val="20"/>
                <w:szCs w:val="20"/>
                <w:color w:val="auto"/>
              </w:rPr>
            </w:pPr>
            <w:r>
              <w:rPr>
                <w:rFonts w:ascii="Arial" w:cs="Arial" w:eastAsia="Arial" w:hAnsi="Arial"/>
                <w:sz w:val="18"/>
                <w:szCs w:val="18"/>
                <w:b w:val="1"/>
                <w:bCs w:val="1"/>
                <w:color w:val="auto"/>
              </w:rPr>
              <w:t>INDEX</w:t>
            </w:r>
          </w:p>
        </w:tc>
        <w:tc>
          <w:tcPr>
            <w:tcW w:w="900" w:type="dxa"/>
            <w:vAlign w:val="bottom"/>
          </w:tcPr>
          <w:p>
            <w:pPr>
              <w:spacing w:after="0"/>
              <w:rPr>
                <w:sz w:val="24"/>
                <w:szCs w:val="24"/>
                <w:color w:val="auto"/>
              </w:rPr>
            </w:pPr>
          </w:p>
        </w:tc>
      </w:tr>
      <w:tr>
        <w:trPr>
          <w:trHeight w:val="418"/>
        </w:trPr>
        <w:tc>
          <w:tcPr>
            <w:tcW w:w="10340" w:type="dxa"/>
            <w:vAlign w:val="bottom"/>
          </w:tcPr>
          <w:p>
            <w:pPr>
              <w:ind w:left="340"/>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PART I. FINANCIAL INFORMATION</w:t>
              </w:r>
            </w:hyperlink>
          </w:p>
        </w:tc>
        <w:tc>
          <w:tcPr>
            <w:tcW w:w="900" w:type="dxa"/>
            <w:vAlign w:val="bottom"/>
          </w:tcPr>
          <w:p>
            <w:pPr>
              <w:jc w:val="right"/>
              <w:ind w:right="70"/>
              <w:spacing w:after="0"/>
              <w:rPr>
                <w:sz w:val="20"/>
                <w:szCs w:val="20"/>
                <w:color w:val="auto"/>
              </w:rPr>
            </w:pPr>
            <w:r>
              <w:rPr>
                <w:rFonts w:ascii="Arial" w:cs="Arial" w:eastAsia="Arial" w:hAnsi="Arial"/>
                <w:sz w:val="18"/>
                <w:szCs w:val="18"/>
                <w:color w:val="auto"/>
              </w:rPr>
              <w:t>3</w:t>
            </w:r>
          </w:p>
        </w:tc>
      </w:tr>
      <w:tr>
        <w:trPr>
          <w:trHeight w:val="338"/>
        </w:trPr>
        <w:tc>
          <w:tcPr>
            <w:tcW w:w="10340" w:type="dxa"/>
            <w:vAlign w:val="bottom"/>
          </w:tcPr>
          <w:p>
            <w:pPr>
              <w:ind w:left="660"/>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Item 1. Financial Statements (Unaudited)</w:t>
              </w:r>
            </w:hyperlink>
          </w:p>
        </w:tc>
        <w:tc>
          <w:tcPr>
            <w:tcW w:w="900" w:type="dxa"/>
            <w:vAlign w:val="bottom"/>
          </w:tcPr>
          <w:p>
            <w:pPr>
              <w:jc w:val="right"/>
              <w:ind w:right="70"/>
              <w:spacing w:after="0"/>
              <w:rPr>
                <w:sz w:val="20"/>
                <w:szCs w:val="20"/>
                <w:color w:val="auto"/>
              </w:rPr>
            </w:pPr>
            <w:r>
              <w:rPr>
                <w:rFonts w:ascii="Arial" w:cs="Arial" w:eastAsia="Arial" w:hAnsi="Arial"/>
                <w:sz w:val="18"/>
                <w:szCs w:val="18"/>
                <w:color w:val="auto"/>
              </w:rPr>
              <w:t>3</w:t>
            </w:r>
          </w:p>
        </w:tc>
      </w:tr>
      <w:tr>
        <w:trPr>
          <w:trHeight w:val="338"/>
        </w:trPr>
        <w:tc>
          <w:tcPr>
            <w:tcW w:w="10340" w:type="dxa"/>
            <w:vAlign w:val="bottom"/>
          </w:tcPr>
          <w:p>
            <w:pPr>
              <w:ind w:left="980"/>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Condensed Consolidated Balance Sheets as of June 30, 2020 and December 31, 2019</w:t>
              </w:r>
            </w:hyperlink>
          </w:p>
        </w:tc>
        <w:tc>
          <w:tcPr>
            <w:tcW w:w="900" w:type="dxa"/>
            <w:vAlign w:val="bottom"/>
          </w:tcPr>
          <w:p>
            <w:pPr>
              <w:jc w:val="right"/>
              <w:ind w:right="70"/>
              <w:spacing w:after="0"/>
              <w:rPr>
                <w:sz w:val="20"/>
                <w:szCs w:val="20"/>
                <w:color w:val="auto"/>
              </w:rPr>
            </w:pPr>
            <w:r>
              <w:rPr>
                <w:rFonts w:ascii="Arial" w:cs="Arial" w:eastAsia="Arial" w:hAnsi="Arial"/>
                <w:sz w:val="18"/>
                <w:szCs w:val="18"/>
                <w:color w:val="auto"/>
              </w:rPr>
              <w:t>3</w:t>
            </w:r>
          </w:p>
        </w:tc>
      </w:tr>
      <w:tr>
        <w:trPr>
          <w:trHeight w:val="338"/>
        </w:trPr>
        <w:tc>
          <w:tcPr>
            <w:tcW w:w="10340" w:type="dxa"/>
            <w:vAlign w:val="bottom"/>
          </w:tcPr>
          <w:p>
            <w:pPr>
              <w:ind w:left="980"/>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Condensed Consolidated Statements of Income For the Three and Six Months Ended June 30, 2020 and 2019</w:t>
              </w:r>
            </w:hyperlink>
          </w:p>
        </w:tc>
        <w:tc>
          <w:tcPr>
            <w:tcW w:w="900" w:type="dxa"/>
            <w:vAlign w:val="bottom"/>
          </w:tcPr>
          <w:p>
            <w:pPr>
              <w:jc w:val="right"/>
              <w:ind w:right="70"/>
              <w:spacing w:after="0"/>
              <w:rPr>
                <w:sz w:val="20"/>
                <w:szCs w:val="20"/>
                <w:color w:val="auto"/>
              </w:rPr>
            </w:pPr>
            <w:r>
              <w:rPr>
                <w:rFonts w:ascii="Arial" w:cs="Arial" w:eastAsia="Arial" w:hAnsi="Arial"/>
                <w:sz w:val="18"/>
                <w:szCs w:val="18"/>
                <w:color w:val="auto"/>
              </w:rPr>
              <w:t>4</w:t>
            </w:r>
          </w:p>
        </w:tc>
      </w:tr>
      <w:tr>
        <w:trPr>
          <w:trHeight w:val="338"/>
        </w:trPr>
        <w:tc>
          <w:tcPr>
            <w:tcW w:w="10340" w:type="dxa"/>
            <w:vAlign w:val="bottom"/>
          </w:tcPr>
          <w:p>
            <w:pPr>
              <w:ind w:left="980"/>
              <w:spacing w:after="0"/>
              <w:rPr>
                <w:rFonts w:ascii="Arial" w:cs="Arial" w:eastAsia="Arial" w:hAnsi="Arial"/>
                <w:sz w:val="18"/>
                <w:szCs w:val="18"/>
                <w:u w:val="single" w:color="auto"/>
                <w:color w:val="0000EE"/>
                <w:w w:val="95"/>
              </w:rPr>
            </w:pPr>
            <w:hyperlink w:anchor="page5">
              <w:r>
                <w:rPr>
                  <w:rFonts w:ascii="Arial" w:cs="Arial" w:eastAsia="Arial" w:hAnsi="Arial"/>
                  <w:sz w:val="18"/>
                  <w:szCs w:val="18"/>
                  <w:u w:val="single" w:color="auto"/>
                  <w:color w:val="0000EE"/>
                  <w:w w:val="95"/>
                </w:rPr>
                <w:t>Condensed Consolidated Statement of Stockholders’ Equity For the Three and Six Months Ended June 30, 2020 and 2019</w:t>
              </w:r>
            </w:hyperlink>
          </w:p>
        </w:tc>
        <w:tc>
          <w:tcPr>
            <w:tcW w:w="900" w:type="dxa"/>
            <w:vAlign w:val="bottom"/>
          </w:tcPr>
          <w:p>
            <w:pPr>
              <w:jc w:val="right"/>
              <w:ind w:right="70"/>
              <w:spacing w:after="0"/>
              <w:rPr>
                <w:sz w:val="20"/>
                <w:szCs w:val="20"/>
                <w:color w:val="auto"/>
              </w:rPr>
            </w:pPr>
            <w:r>
              <w:rPr>
                <w:rFonts w:ascii="Arial" w:cs="Arial" w:eastAsia="Arial" w:hAnsi="Arial"/>
                <w:sz w:val="18"/>
                <w:szCs w:val="18"/>
                <w:color w:val="auto"/>
              </w:rPr>
              <w:t>5</w:t>
            </w:r>
          </w:p>
        </w:tc>
      </w:tr>
      <w:tr>
        <w:trPr>
          <w:trHeight w:val="338"/>
        </w:trPr>
        <w:tc>
          <w:tcPr>
            <w:tcW w:w="10340" w:type="dxa"/>
            <w:vAlign w:val="bottom"/>
          </w:tcPr>
          <w:p>
            <w:pPr>
              <w:ind w:left="980"/>
              <w:spacing w:after="0"/>
              <w:rPr>
                <w:rFonts w:ascii="Arial" w:cs="Arial" w:eastAsia="Arial" w:hAnsi="Arial"/>
                <w:sz w:val="18"/>
                <w:szCs w:val="18"/>
                <w:u w:val="single" w:color="auto"/>
                <w:color w:val="0000EE"/>
              </w:rPr>
            </w:pPr>
            <w:hyperlink w:anchor="page6">
              <w:r>
                <w:rPr>
                  <w:rFonts w:ascii="Arial" w:cs="Arial" w:eastAsia="Arial" w:hAnsi="Arial"/>
                  <w:sz w:val="18"/>
                  <w:szCs w:val="18"/>
                  <w:u w:val="single" w:color="auto"/>
                  <w:color w:val="0000EE"/>
                </w:rPr>
                <w:t>Condensed Consolidated Statements of Cash Flows For the Six Months Ended June 30, 2020 and 2019</w:t>
              </w:r>
            </w:hyperlink>
          </w:p>
        </w:tc>
        <w:tc>
          <w:tcPr>
            <w:tcW w:w="900" w:type="dxa"/>
            <w:vAlign w:val="bottom"/>
          </w:tcPr>
          <w:p>
            <w:pPr>
              <w:jc w:val="right"/>
              <w:ind w:right="70"/>
              <w:spacing w:after="0"/>
              <w:rPr>
                <w:sz w:val="20"/>
                <w:szCs w:val="20"/>
                <w:color w:val="auto"/>
              </w:rPr>
            </w:pPr>
            <w:r>
              <w:rPr>
                <w:rFonts w:ascii="Arial" w:cs="Arial" w:eastAsia="Arial" w:hAnsi="Arial"/>
                <w:sz w:val="18"/>
                <w:szCs w:val="18"/>
                <w:color w:val="auto"/>
              </w:rPr>
              <w:t>6</w:t>
            </w:r>
          </w:p>
        </w:tc>
      </w:tr>
      <w:tr>
        <w:trPr>
          <w:trHeight w:val="338"/>
        </w:trPr>
        <w:tc>
          <w:tcPr>
            <w:tcW w:w="10340" w:type="dxa"/>
            <w:vAlign w:val="bottom"/>
          </w:tcPr>
          <w:p>
            <w:pPr>
              <w:ind w:left="980"/>
              <w:spacing w:after="0"/>
              <w:rPr>
                <w:rFonts w:ascii="Arial" w:cs="Arial" w:eastAsia="Arial" w:hAnsi="Arial"/>
                <w:sz w:val="18"/>
                <w:szCs w:val="18"/>
                <w:u w:val="single" w:color="auto"/>
                <w:color w:val="0000EE"/>
              </w:rPr>
            </w:pPr>
            <w:hyperlink w:anchor="page7">
              <w:r>
                <w:rPr>
                  <w:rFonts w:ascii="Arial" w:cs="Arial" w:eastAsia="Arial" w:hAnsi="Arial"/>
                  <w:sz w:val="18"/>
                  <w:szCs w:val="18"/>
                  <w:u w:val="single" w:color="auto"/>
                  <w:color w:val="0000EE"/>
                </w:rPr>
                <w:t>Notes to Condensed Consolidated Financial Statements</w:t>
              </w:r>
            </w:hyperlink>
          </w:p>
        </w:tc>
        <w:tc>
          <w:tcPr>
            <w:tcW w:w="900" w:type="dxa"/>
            <w:vAlign w:val="bottom"/>
          </w:tcPr>
          <w:p>
            <w:pPr>
              <w:jc w:val="right"/>
              <w:ind w:right="70"/>
              <w:spacing w:after="0"/>
              <w:rPr>
                <w:sz w:val="20"/>
                <w:szCs w:val="20"/>
                <w:color w:val="auto"/>
              </w:rPr>
            </w:pPr>
            <w:r>
              <w:rPr>
                <w:rFonts w:ascii="Arial" w:cs="Arial" w:eastAsia="Arial" w:hAnsi="Arial"/>
                <w:sz w:val="18"/>
                <w:szCs w:val="18"/>
                <w:color w:val="auto"/>
              </w:rPr>
              <w:t>7</w:t>
            </w:r>
          </w:p>
        </w:tc>
      </w:tr>
      <w:tr>
        <w:trPr>
          <w:trHeight w:val="338"/>
        </w:trPr>
        <w:tc>
          <w:tcPr>
            <w:tcW w:w="10340" w:type="dxa"/>
            <w:vAlign w:val="bottom"/>
          </w:tcPr>
          <w:p>
            <w:pPr>
              <w:ind w:left="660"/>
              <w:spacing w:after="0"/>
              <w:rPr>
                <w:rFonts w:ascii="Arial" w:cs="Arial" w:eastAsia="Arial" w:hAnsi="Arial"/>
                <w:sz w:val="18"/>
                <w:szCs w:val="18"/>
                <w:u w:val="single" w:color="auto"/>
                <w:color w:val="0000EE"/>
              </w:rPr>
            </w:pPr>
            <w:hyperlink w:anchor="page21">
              <w:r>
                <w:rPr>
                  <w:rFonts w:ascii="Arial" w:cs="Arial" w:eastAsia="Arial" w:hAnsi="Arial"/>
                  <w:sz w:val="18"/>
                  <w:szCs w:val="18"/>
                  <w:u w:val="single" w:color="auto"/>
                  <w:color w:val="0000EE"/>
                </w:rPr>
                <w:t>Item 2. Management’s Discussion and Analysis of Financial Condition and Results of Operations</w:t>
              </w:r>
            </w:hyperlink>
          </w:p>
        </w:tc>
        <w:tc>
          <w:tcPr>
            <w:tcW w:w="900" w:type="dxa"/>
            <w:vAlign w:val="bottom"/>
          </w:tcPr>
          <w:p>
            <w:pPr>
              <w:jc w:val="right"/>
              <w:ind w:right="70"/>
              <w:spacing w:after="0"/>
              <w:rPr>
                <w:sz w:val="20"/>
                <w:szCs w:val="20"/>
                <w:color w:val="auto"/>
              </w:rPr>
            </w:pPr>
            <w:r>
              <w:rPr>
                <w:rFonts w:ascii="Arial" w:cs="Arial" w:eastAsia="Arial" w:hAnsi="Arial"/>
                <w:sz w:val="18"/>
                <w:szCs w:val="18"/>
                <w:color w:val="auto"/>
              </w:rPr>
              <w:t>21</w:t>
            </w:r>
          </w:p>
        </w:tc>
      </w:tr>
      <w:tr>
        <w:trPr>
          <w:trHeight w:val="338"/>
        </w:trPr>
        <w:tc>
          <w:tcPr>
            <w:tcW w:w="10340" w:type="dxa"/>
            <w:vAlign w:val="bottom"/>
          </w:tcPr>
          <w:p>
            <w:pPr>
              <w:ind w:left="660"/>
              <w:spacing w:after="0"/>
              <w:rPr>
                <w:rFonts w:ascii="Arial" w:cs="Arial" w:eastAsia="Arial" w:hAnsi="Arial"/>
                <w:sz w:val="18"/>
                <w:szCs w:val="18"/>
                <w:u w:val="single" w:color="auto"/>
                <w:color w:val="0000EE"/>
              </w:rPr>
            </w:pPr>
            <w:hyperlink w:anchor="page36">
              <w:r>
                <w:rPr>
                  <w:rFonts w:ascii="Arial" w:cs="Arial" w:eastAsia="Arial" w:hAnsi="Arial"/>
                  <w:sz w:val="18"/>
                  <w:szCs w:val="18"/>
                  <w:u w:val="single" w:color="auto"/>
                  <w:color w:val="0000EE"/>
                </w:rPr>
                <w:t>Item 3. Quantitative and Qualitative Disclosures About Market Risk</w:t>
              </w:r>
            </w:hyperlink>
          </w:p>
        </w:tc>
        <w:tc>
          <w:tcPr>
            <w:tcW w:w="900" w:type="dxa"/>
            <w:vAlign w:val="bottom"/>
          </w:tcPr>
          <w:p>
            <w:pPr>
              <w:jc w:val="right"/>
              <w:ind w:right="70"/>
              <w:spacing w:after="0"/>
              <w:rPr>
                <w:sz w:val="20"/>
                <w:szCs w:val="20"/>
                <w:color w:val="auto"/>
              </w:rPr>
            </w:pPr>
            <w:r>
              <w:rPr>
                <w:rFonts w:ascii="Arial" w:cs="Arial" w:eastAsia="Arial" w:hAnsi="Arial"/>
                <w:sz w:val="18"/>
                <w:szCs w:val="18"/>
                <w:color w:val="auto"/>
              </w:rPr>
              <w:t>36</w:t>
            </w:r>
          </w:p>
        </w:tc>
      </w:tr>
      <w:tr>
        <w:trPr>
          <w:trHeight w:val="338"/>
        </w:trPr>
        <w:tc>
          <w:tcPr>
            <w:tcW w:w="10340" w:type="dxa"/>
            <w:vAlign w:val="bottom"/>
          </w:tcPr>
          <w:p>
            <w:pPr>
              <w:ind w:left="660"/>
              <w:spacing w:after="0"/>
              <w:rPr>
                <w:rFonts w:ascii="Arial" w:cs="Arial" w:eastAsia="Arial" w:hAnsi="Arial"/>
                <w:sz w:val="18"/>
                <w:szCs w:val="18"/>
                <w:u w:val="single" w:color="auto"/>
                <w:color w:val="0000EE"/>
              </w:rPr>
            </w:pPr>
            <w:hyperlink w:anchor="page36">
              <w:r>
                <w:rPr>
                  <w:rFonts w:ascii="Arial" w:cs="Arial" w:eastAsia="Arial" w:hAnsi="Arial"/>
                  <w:sz w:val="18"/>
                  <w:szCs w:val="18"/>
                  <w:u w:val="single" w:color="auto"/>
                  <w:color w:val="0000EE"/>
                </w:rPr>
                <w:t>Item 4. Controls and Procedures</w:t>
              </w:r>
            </w:hyperlink>
          </w:p>
        </w:tc>
        <w:tc>
          <w:tcPr>
            <w:tcW w:w="900" w:type="dxa"/>
            <w:vAlign w:val="bottom"/>
          </w:tcPr>
          <w:p>
            <w:pPr>
              <w:jc w:val="right"/>
              <w:ind w:right="70"/>
              <w:spacing w:after="0"/>
              <w:rPr>
                <w:sz w:val="20"/>
                <w:szCs w:val="20"/>
                <w:color w:val="auto"/>
              </w:rPr>
            </w:pPr>
            <w:r>
              <w:rPr>
                <w:rFonts w:ascii="Arial" w:cs="Arial" w:eastAsia="Arial" w:hAnsi="Arial"/>
                <w:sz w:val="18"/>
                <w:szCs w:val="18"/>
                <w:color w:val="auto"/>
              </w:rPr>
              <w:t>36</w:t>
            </w:r>
          </w:p>
        </w:tc>
      </w:tr>
      <w:tr>
        <w:trPr>
          <w:trHeight w:val="338"/>
        </w:trPr>
        <w:tc>
          <w:tcPr>
            <w:tcW w:w="10340" w:type="dxa"/>
            <w:vAlign w:val="bottom"/>
          </w:tcPr>
          <w:p>
            <w:pPr>
              <w:ind w:left="340"/>
              <w:spacing w:after="0"/>
              <w:rPr>
                <w:rFonts w:ascii="Arial" w:cs="Arial" w:eastAsia="Arial" w:hAnsi="Arial"/>
                <w:sz w:val="18"/>
                <w:szCs w:val="18"/>
                <w:u w:val="single" w:color="auto"/>
                <w:color w:val="0000EE"/>
              </w:rPr>
            </w:pPr>
            <w:hyperlink w:anchor="page37">
              <w:r>
                <w:rPr>
                  <w:rFonts w:ascii="Arial" w:cs="Arial" w:eastAsia="Arial" w:hAnsi="Arial"/>
                  <w:sz w:val="18"/>
                  <w:szCs w:val="18"/>
                  <w:u w:val="single" w:color="auto"/>
                  <w:color w:val="0000EE"/>
                </w:rPr>
                <w:t>PART II. OTHER INFORMATION</w:t>
              </w:r>
            </w:hyperlink>
          </w:p>
        </w:tc>
        <w:tc>
          <w:tcPr>
            <w:tcW w:w="900" w:type="dxa"/>
            <w:vAlign w:val="bottom"/>
          </w:tcPr>
          <w:p>
            <w:pPr>
              <w:jc w:val="right"/>
              <w:ind w:right="70"/>
              <w:spacing w:after="0"/>
              <w:rPr>
                <w:sz w:val="20"/>
                <w:szCs w:val="20"/>
                <w:color w:val="auto"/>
              </w:rPr>
            </w:pPr>
            <w:r>
              <w:rPr>
                <w:rFonts w:ascii="Arial" w:cs="Arial" w:eastAsia="Arial" w:hAnsi="Arial"/>
                <w:sz w:val="18"/>
                <w:szCs w:val="18"/>
                <w:color w:val="auto"/>
              </w:rPr>
              <w:t>37</w:t>
            </w:r>
          </w:p>
        </w:tc>
      </w:tr>
      <w:tr>
        <w:trPr>
          <w:trHeight w:val="338"/>
        </w:trPr>
        <w:tc>
          <w:tcPr>
            <w:tcW w:w="10340" w:type="dxa"/>
            <w:vAlign w:val="bottom"/>
          </w:tcPr>
          <w:p>
            <w:pPr>
              <w:ind w:left="660"/>
              <w:spacing w:after="0"/>
              <w:rPr>
                <w:rFonts w:ascii="Arial" w:cs="Arial" w:eastAsia="Arial" w:hAnsi="Arial"/>
                <w:sz w:val="18"/>
                <w:szCs w:val="18"/>
                <w:u w:val="single" w:color="auto"/>
                <w:color w:val="0000EE"/>
              </w:rPr>
            </w:pPr>
            <w:hyperlink w:anchor="page37">
              <w:r>
                <w:rPr>
                  <w:rFonts w:ascii="Arial" w:cs="Arial" w:eastAsia="Arial" w:hAnsi="Arial"/>
                  <w:sz w:val="18"/>
                  <w:szCs w:val="18"/>
                  <w:u w:val="single" w:color="auto"/>
                  <w:color w:val="0000EE"/>
                </w:rPr>
                <w:t>Item 1. Legal Proceedings</w:t>
              </w:r>
            </w:hyperlink>
          </w:p>
        </w:tc>
        <w:tc>
          <w:tcPr>
            <w:tcW w:w="900" w:type="dxa"/>
            <w:vAlign w:val="bottom"/>
          </w:tcPr>
          <w:p>
            <w:pPr>
              <w:jc w:val="right"/>
              <w:ind w:right="70"/>
              <w:spacing w:after="0"/>
              <w:rPr>
                <w:sz w:val="20"/>
                <w:szCs w:val="20"/>
                <w:color w:val="auto"/>
              </w:rPr>
            </w:pPr>
            <w:r>
              <w:rPr>
                <w:rFonts w:ascii="Arial" w:cs="Arial" w:eastAsia="Arial" w:hAnsi="Arial"/>
                <w:sz w:val="18"/>
                <w:szCs w:val="18"/>
                <w:color w:val="auto"/>
              </w:rPr>
              <w:t>37</w:t>
            </w:r>
          </w:p>
        </w:tc>
      </w:tr>
      <w:tr>
        <w:trPr>
          <w:trHeight w:val="338"/>
        </w:trPr>
        <w:tc>
          <w:tcPr>
            <w:tcW w:w="10340" w:type="dxa"/>
            <w:vAlign w:val="bottom"/>
          </w:tcPr>
          <w:p>
            <w:pPr>
              <w:ind w:left="660"/>
              <w:spacing w:after="0"/>
              <w:rPr>
                <w:rFonts w:ascii="Arial" w:cs="Arial" w:eastAsia="Arial" w:hAnsi="Arial"/>
                <w:sz w:val="18"/>
                <w:szCs w:val="18"/>
                <w:u w:val="single" w:color="auto"/>
                <w:color w:val="0000EE"/>
              </w:rPr>
            </w:pPr>
            <w:hyperlink w:anchor="page37">
              <w:r>
                <w:rPr>
                  <w:rFonts w:ascii="Arial" w:cs="Arial" w:eastAsia="Arial" w:hAnsi="Arial"/>
                  <w:sz w:val="18"/>
                  <w:szCs w:val="18"/>
                  <w:u w:val="single" w:color="auto"/>
                  <w:color w:val="0000EE"/>
                </w:rPr>
                <w:t>Item 1A. Risk Factors</w:t>
              </w:r>
            </w:hyperlink>
          </w:p>
        </w:tc>
        <w:tc>
          <w:tcPr>
            <w:tcW w:w="900" w:type="dxa"/>
            <w:vAlign w:val="bottom"/>
          </w:tcPr>
          <w:p>
            <w:pPr>
              <w:jc w:val="right"/>
              <w:ind w:right="70"/>
              <w:spacing w:after="0"/>
              <w:rPr>
                <w:sz w:val="20"/>
                <w:szCs w:val="20"/>
                <w:color w:val="auto"/>
              </w:rPr>
            </w:pPr>
            <w:r>
              <w:rPr>
                <w:rFonts w:ascii="Arial" w:cs="Arial" w:eastAsia="Arial" w:hAnsi="Arial"/>
                <w:sz w:val="18"/>
                <w:szCs w:val="18"/>
                <w:color w:val="auto"/>
              </w:rPr>
              <w:t>37</w:t>
            </w:r>
          </w:p>
        </w:tc>
      </w:tr>
      <w:tr>
        <w:trPr>
          <w:trHeight w:val="338"/>
        </w:trPr>
        <w:tc>
          <w:tcPr>
            <w:tcW w:w="10340" w:type="dxa"/>
            <w:vAlign w:val="bottom"/>
          </w:tcPr>
          <w:p>
            <w:pPr>
              <w:ind w:left="660"/>
              <w:spacing w:after="0"/>
              <w:rPr>
                <w:rFonts w:ascii="Arial" w:cs="Arial" w:eastAsia="Arial" w:hAnsi="Arial"/>
                <w:sz w:val="18"/>
                <w:szCs w:val="18"/>
                <w:u w:val="single" w:color="auto"/>
                <w:color w:val="0000EE"/>
              </w:rPr>
            </w:pPr>
            <w:hyperlink w:anchor="page37">
              <w:r>
                <w:rPr>
                  <w:rFonts w:ascii="Arial" w:cs="Arial" w:eastAsia="Arial" w:hAnsi="Arial"/>
                  <w:sz w:val="18"/>
                  <w:szCs w:val="18"/>
                  <w:u w:val="single" w:color="auto"/>
                  <w:color w:val="0000EE"/>
                </w:rPr>
                <w:t>Item 2. Unregistered Sales of Equity Securities and Use of Proceeds</w:t>
              </w:r>
            </w:hyperlink>
          </w:p>
        </w:tc>
        <w:tc>
          <w:tcPr>
            <w:tcW w:w="900" w:type="dxa"/>
            <w:vAlign w:val="bottom"/>
          </w:tcPr>
          <w:p>
            <w:pPr>
              <w:jc w:val="right"/>
              <w:ind w:right="70"/>
              <w:spacing w:after="0"/>
              <w:rPr>
                <w:sz w:val="20"/>
                <w:szCs w:val="20"/>
                <w:color w:val="auto"/>
              </w:rPr>
            </w:pPr>
            <w:r>
              <w:rPr>
                <w:rFonts w:ascii="Arial" w:cs="Arial" w:eastAsia="Arial" w:hAnsi="Arial"/>
                <w:sz w:val="18"/>
                <w:szCs w:val="18"/>
                <w:color w:val="auto"/>
              </w:rPr>
              <w:t>37</w:t>
            </w:r>
          </w:p>
        </w:tc>
      </w:tr>
      <w:tr>
        <w:trPr>
          <w:trHeight w:val="338"/>
        </w:trPr>
        <w:tc>
          <w:tcPr>
            <w:tcW w:w="10340" w:type="dxa"/>
            <w:vAlign w:val="bottom"/>
          </w:tcPr>
          <w:p>
            <w:pPr>
              <w:ind w:left="660"/>
              <w:spacing w:after="0"/>
              <w:rPr>
                <w:rFonts w:ascii="Arial" w:cs="Arial" w:eastAsia="Arial" w:hAnsi="Arial"/>
                <w:sz w:val="18"/>
                <w:szCs w:val="18"/>
                <w:u w:val="single" w:color="auto"/>
                <w:color w:val="0000EE"/>
              </w:rPr>
            </w:pPr>
            <w:hyperlink w:anchor="page37">
              <w:r>
                <w:rPr>
                  <w:rFonts w:ascii="Arial" w:cs="Arial" w:eastAsia="Arial" w:hAnsi="Arial"/>
                  <w:sz w:val="18"/>
                  <w:szCs w:val="18"/>
                  <w:u w:val="single" w:color="auto"/>
                  <w:color w:val="0000EE"/>
                </w:rPr>
                <w:t>Item 3. Defaults Upon Senior Securities</w:t>
              </w:r>
            </w:hyperlink>
          </w:p>
        </w:tc>
        <w:tc>
          <w:tcPr>
            <w:tcW w:w="900" w:type="dxa"/>
            <w:vAlign w:val="bottom"/>
          </w:tcPr>
          <w:p>
            <w:pPr>
              <w:jc w:val="right"/>
              <w:ind w:right="70"/>
              <w:spacing w:after="0"/>
              <w:rPr>
                <w:sz w:val="20"/>
                <w:szCs w:val="20"/>
                <w:color w:val="auto"/>
              </w:rPr>
            </w:pPr>
            <w:r>
              <w:rPr>
                <w:rFonts w:ascii="Arial" w:cs="Arial" w:eastAsia="Arial" w:hAnsi="Arial"/>
                <w:sz w:val="18"/>
                <w:szCs w:val="18"/>
                <w:color w:val="auto"/>
              </w:rPr>
              <w:t>37</w:t>
            </w:r>
          </w:p>
        </w:tc>
      </w:tr>
      <w:tr>
        <w:trPr>
          <w:trHeight w:val="338"/>
        </w:trPr>
        <w:tc>
          <w:tcPr>
            <w:tcW w:w="10340" w:type="dxa"/>
            <w:vAlign w:val="bottom"/>
          </w:tcPr>
          <w:p>
            <w:pPr>
              <w:ind w:left="660"/>
              <w:spacing w:after="0"/>
              <w:rPr>
                <w:rFonts w:ascii="Arial" w:cs="Arial" w:eastAsia="Arial" w:hAnsi="Arial"/>
                <w:sz w:val="18"/>
                <w:szCs w:val="18"/>
                <w:u w:val="single" w:color="auto"/>
                <w:color w:val="0000EE"/>
              </w:rPr>
            </w:pPr>
            <w:hyperlink w:anchor="page37">
              <w:r>
                <w:rPr>
                  <w:rFonts w:ascii="Arial" w:cs="Arial" w:eastAsia="Arial" w:hAnsi="Arial"/>
                  <w:sz w:val="18"/>
                  <w:szCs w:val="18"/>
                  <w:u w:val="single" w:color="auto"/>
                  <w:color w:val="0000EE"/>
                </w:rPr>
                <w:t>Item 4. Mine Safety Disclosures</w:t>
              </w:r>
            </w:hyperlink>
          </w:p>
        </w:tc>
        <w:tc>
          <w:tcPr>
            <w:tcW w:w="900" w:type="dxa"/>
            <w:vAlign w:val="bottom"/>
          </w:tcPr>
          <w:p>
            <w:pPr>
              <w:jc w:val="right"/>
              <w:ind w:right="70"/>
              <w:spacing w:after="0"/>
              <w:rPr>
                <w:sz w:val="20"/>
                <w:szCs w:val="20"/>
                <w:color w:val="auto"/>
              </w:rPr>
            </w:pPr>
            <w:r>
              <w:rPr>
                <w:rFonts w:ascii="Arial" w:cs="Arial" w:eastAsia="Arial" w:hAnsi="Arial"/>
                <w:sz w:val="18"/>
                <w:szCs w:val="18"/>
                <w:color w:val="auto"/>
              </w:rPr>
              <w:t>37</w:t>
            </w:r>
          </w:p>
        </w:tc>
      </w:tr>
      <w:tr>
        <w:trPr>
          <w:trHeight w:val="338"/>
        </w:trPr>
        <w:tc>
          <w:tcPr>
            <w:tcW w:w="10340" w:type="dxa"/>
            <w:vAlign w:val="bottom"/>
          </w:tcPr>
          <w:p>
            <w:pPr>
              <w:ind w:left="660"/>
              <w:spacing w:after="0"/>
              <w:rPr>
                <w:rFonts w:ascii="Arial" w:cs="Arial" w:eastAsia="Arial" w:hAnsi="Arial"/>
                <w:sz w:val="18"/>
                <w:szCs w:val="18"/>
                <w:u w:val="single" w:color="auto"/>
                <w:color w:val="0000EE"/>
              </w:rPr>
            </w:pPr>
            <w:hyperlink w:anchor="page37">
              <w:r>
                <w:rPr>
                  <w:rFonts w:ascii="Arial" w:cs="Arial" w:eastAsia="Arial" w:hAnsi="Arial"/>
                  <w:sz w:val="18"/>
                  <w:szCs w:val="18"/>
                  <w:u w:val="single" w:color="auto"/>
                  <w:color w:val="0000EE"/>
                </w:rPr>
                <w:t>Item 5. Other Information</w:t>
              </w:r>
            </w:hyperlink>
          </w:p>
        </w:tc>
        <w:tc>
          <w:tcPr>
            <w:tcW w:w="900" w:type="dxa"/>
            <w:vAlign w:val="bottom"/>
          </w:tcPr>
          <w:p>
            <w:pPr>
              <w:jc w:val="right"/>
              <w:ind w:right="70"/>
              <w:spacing w:after="0"/>
              <w:rPr>
                <w:sz w:val="20"/>
                <w:szCs w:val="20"/>
                <w:color w:val="auto"/>
              </w:rPr>
            </w:pPr>
            <w:r>
              <w:rPr>
                <w:rFonts w:ascii="Arial" w:cs="Arial" w:eastAsia="Arial" w:hAnsi="Arial"/>
                <w:sz w:val="18"/>
                <w:szCs w:val="18"/>
                <w:color w:val="auto"/>
              </w:rPr>
              <w:t>37</w:t>
            </w:r>
          </w:p>
        </w:tc>
      </w:tr>
      <w:tr>
        <w:trPr>
          <w:trHeight w:val="338"/>
        </w:trPr>
        <w:tc>
          <w:tcPr>
            <w:tcW w:w="10340" w:type="dxa"/>
            <w:vAlign w:val="bottom"/>
          </w:tcPr>
          <w:p>
            <w:pPr>
              <w:ind w:left="660"/>
              <w:spacing w:after="0"/>
              <w:rPr>
                <w:rFonts w:ascii="Arial" w:cs="Arial" w:eastAsia="Arial" w:hAnsi="Arial"/>
                <w:sz w:val="18"/>
                <w:szCs w:val="18"/>
                <w:u w:val="single" w:color="auto"/>
                <w:color w:val="0000EE"/>
              </w:rPr>
            </w:pPr>
            <w:hyperlink w:anchor="page38">
              <w:r>
                <w:rPr>
                  <w:rFonts w:ascii="Arial" w:cs="Arial" w:eastAsia="Arial" w:hAnsi="Arial"/>
                  <w:sz w:val="18"/>
                  <w:szCs w:val="18"/>
                  <w:u w:val="single" w:color="auto"/>
                  <w:color w:val="0000EE"/>
                </w:rPr>
                <w:t>Item 6. Exhibits</w:t>
              </w:r>
            </w:hyperlink>
          </w:p>
        </w:tc>
        <w:tc>
          <w:tcPr>
            <w:tcW w:w="900" w:type="dxa"/>
            <w:vAlign w:val="bottom"/>
          </w:tcPr>
          <w:p>
            <w:pPr>
              <w:jc w:val="right"/>
              <w:ind w:right="70"/>
              <w:spacing w:after="0"/>
              <w:rPr>
                <w:sz w:val="20"/>
                <w:szCs w:val="20"/>
                <w:color w:val="auto"/>
              </w:rPr>
            </w:pPr>
            <w:r>
              <w:rPr>
                <w:rFonts w:ascii="Arial" w:cs="Arial" w:eastAsia="Arial" w:hAnsi="Arial"/>
                <w:sz w:val="18"/>
                <w:szCs w:val="18"/>
                <w:color w:val="auto"/>
              </w:rPr>
              <w:t>38</w:t>
            </w:r>
          </w:p>
        </w:tc>
      </w:tr>
      <w:tr>
        <w:trPr>
          <w:trHeight w:val="804"/>
        </w:trPr>
        <w:tc>
          <w:tcPr>
            <w:tcW w:w="10340" w:type="dxa"/>
            <w:vAlign w:val="bottom"/>
          </w:tcPr>
          <w:p>
            <w:pPr>
              <w:jc w:val="center"/>
              <w:ind w:left="810"/>
              <w:spacing w:after="0"/>
              <w:rPr>
                <w:sz w:val="20"/>
                <w:szCs w:val="20"/>
                <w:color w:val="auto"/>
              </w:rPr>
            </w:pPr>
            <w:r>
              <w:rPr>
                <w:rFonts w:ascii="Arial" w:cs="Arial" w:eastAsia="Arial" w:hAnsi="Arial"/>
                <w:sz w:val="16"/>
                <w:szCs w:val="16"/>
                <w:color w:val="auto"/>
                <w:w w:val="89"/>
              </w:rPr>
              <w:t>2</w:t>
            </w:r>
          </w:p>
        </w:tc>
        <w:tc>
          <w:tcPr>
            <w:tcW w:w="900" w:type="dxa"/>
            <w:vAlign w:val="bottom"/>
          </w:tcPr>
          <w:p>
            <w:pPr>
              <w:spacing w:after="0"/>
              <w:rPr>
                <w:sz w:val="24"/>
                <w:szCs w:val="24"/>
                <w:color w:val="auto"/>
              </w:rPr>
            </w:pPr>
          </w:p>
        </w:tc>
      </w:tr>
      <w:tr>
        <w:trPr>
          <w:trHeight w:val="337"/>
        </w:trPr>
        <w:tc>
          <w:tcPr>
            <w:tcW w:w="10340" w:type="dxa"/>
            <w:vAlign w:val="bottom"/>
            <w:tcBorders>
              <w:bottom w:val="single" w:sz="8" w:color="9A9A9A"/>
            </w:tcBorders>
          </w:tcPr>
          <w:p>
            <w:pPr>
              <w:spacing w:after="0"/>
              <w:rPr>
                <w:sz w:val="24"/>
                <w:szCs w:val="24"/>
                <w:color w:val="auto"/>
              </w:rPr>
            </w:pPr>
          </w:p>
        </w:tc>
        <w:tc>
          <w:tcPr>
            <w:tcW w:w="9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-8255</wp:posOffset>
            </wp:positionV>
            <wp:extent cx="8255"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 w:name="page3"/>
    <w:bookmarkEnd w:id="2"/>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 – FINANCIAL INFORMATION</w:t>
      </w:r>
    </w:p>
    <w:p>
      <w:pPr>
        <w:spacing w:after="0" w:line="171" w:lineRule="exact"/>
        <w:rPr>
          <w:sz w:val="20"/>
          <w:szCs w:val="20"/>
          <w:color w:val="auto"/>
        </w:rPr>
      </w:pPr>
    </w:p>
    <w:p>
      <w:pPr>
        <w:spacing w:after="0"/>
        <w:tabs>
          <w:tab w:leader="none" w:pos="76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6"/>
          <w:szCs w:val="16"/>
          <w:b w:val="1"/>
          <w:bCs w:val="1"/>
          <w:color w:val="auto"/>
        </w:rPr>
        <w:t>Financial Statements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ADDUS HOMECARE CORPORATION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AND SUBSIDIARIES</w:t>
      </w:r>
    </w:p>
    <w:p>
      <w:pPr>
        <w:spacing w:after="0" w:line="15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of June 30, 2020 and December 31, 2019</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and Shares in Thousands, Except Per Share Data)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72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1260" w:type="dxa"/>
            <w:vAlign w:val="bottom"/>
            <w:tcBorders>
              <w:top w:val="single" w:sz="8" w:color="auto"/>
            </w:tcBorders>
          </w:tcPr>
          <w:p>
            <w:pPr>
              <w:jc w:val="right"/>
              <w:ind w:right="411"/>
              <w:spacing w:after="0"/>
              <w:rPr>
                <w:sz w:val="20"/>
                <w:szCs w:val="20"/>
                <w:color w:val="auto"/>
              </w:rPr>
            </w:pPr>
            <w:r>
              <w:rPr>
                <w:rFonts w:ascii="Arial" w:cs="Arial" w:eastAsia="Arial" w:hAnsi="Arial"/>
                <w:sz w:val="16"/>
                <w:szCs w:val="16"/>
                <w:b w:val="1"/>
                <w:bCs w:val="1"/>
                <w:color w:val="auto"/>
              </w:rPr>
              <w:t>June 30,</w:t>
            </w:r>
          </w:p>
        </w:tc>
        <w:tc>
          <w:tcPr>
            <w:tcW w:w="28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360" w:type="dxa"/>
            <w:vAlign w:val="bottom"/>
            <w:tcBorders>
              <w:top w:val="single" w:sz="8" w:color="auto"/>
            </w:tcBorders>
          </w:tcPr>
          <w:p>
            <w:pPr>
              <w:jc w:val="right"/>
              <w:ind w:right="231"/>
              <w:spacing w:after="0"/>
              <w:rPr>
                <w:sz w:val="20"/>
                <w:szCs w:val="20"/>
                <w:color w:val="auto"/>
              </w:rPr>
            </w:pPr>
            <w:r>
              <w:rPr>
                <w:rFonts w:ascii="Arial" w:cs="Arial" w:eastAsia="Arial" w:hAnsi="Arial"/>
                <w:sz w:val="16"/>
                <w:szCs w:val="16"/>
                <w:b w:val="1"/>
                <w:bCs w:val="1"/>
                <w:color w:val="auto"/>
                <w:w w:val="97"/>
              </w:rPr>
              <w:t>December 31,</w:t>
            </w:r>
          </w:p>
        </w:tc>
        <w:tc>
          <w:tcPr>
            <w:tcW w:w="120" w:type="dxa"/>
            <w:vAlign w:val="bottom"/>
          </w:tcPr>
          <w:p>
            <w:pPr>
              <w:spacing w:after="0"/>
              <w:rPr>
                <w:sz w:val="18"/>
                <w:szCs w:val="18"/>
                <w:color w:val="auto"/>
              </w:rPr>
            </w:pPr>
          </w:p>
        </w:tc>
      </w:tr>
      <w:tr>
        <w:trPr>
          <w:trHeight w:val="213"/>
        </w:trPr>
        <w:tc>
          <w:tcPr>
            <w:tcW w:w="7720" w:type="dxa"/>
            <w:vAlign w:val="bottom"/>
            <w:tcBorders>
              <w:bottom w:val="single" w:sz="8" w:color="CFF0FC"/>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531"/>
              <w:spacing w:after="0"/>
              <w:rPr>
                <w:sz w:val="20"/>
                <w:szCs w:val="20"/>
                <w:color w:val="auto"/>
              </w:rPr>
            </w:pPr>
            <w:r>
              <w:rPr>
                <w:rFonts w:ascii="Arial" w:cs="Arial" w:eastAsia="Arial" w:hAnsi="Arial"/>
                <w:sz w:val="16"/>
                <w:szCs w:val="16"/>
                <w:b w:val="1"/>
                <w:bCs w:val="1"/>
                <w:color w:val="auto"/>
              </w:rPr>
              <w:t>2020</w:t>
            </w:r>
          </w:p>
        </w:tc>
        <w:tc>
          <w:tcPr>
            <w:tcW w:w="280" w:type="dxa"/>
            <w:vAlign w:val="bottom"/>
            <w:tcBorders>
              <w:bottom w:val="single" w:sz="8" w:color="CFF0FC"/>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ind w:right="531"/>
              <w:spacing w:after="0"/>
              <w:rPr>
                <w:sz w:val="20"/>
                <w:szCs w:val="20"/>
                <w:color w:val="auto"/>
              </w:rPr>
            </w:pPr>
            <w:r>
              <w:rPr>
                <w:rFonts w:ascii="Arial" w:cs="Arial" w:eastAsia="Arial" w:hAnsi="Arial"/>
                <w:sz w:val="16"/>
                <w:szCs w:val="16"/>
                <w:b w:val="1"/>
                <w:bCs w:val="1"/>
                <w:color w:val="auto"/>
              </w:rPr>
              <w:t>2019</w:t>
            </w:r>
          </w:p>
        </w:tc>
        <w:tc>
          <w:tcPr>
            <w:tcW w:w="120" w:type="dxa"/>
            <w:vAlign w:val="bottom"/>
            <w:tcBorders>
              <w:bottom w:val="single" w:sz="8" w:color="CFF0FC"/>
            </w:tcBorders>
          </w:tcPr>
          <w:p>
            <w:pPr>
              <w:spacing w:after="0"/>
              <w:rPr>
                <w:sz w:val="18"/>
                <w:szCs w:val="18"/>
                <w:color w:val="auto"/>
              </w:rPr>
            </w:pPr>
          </w:p>
        </w:tc>
      </w:tr>
      <w:tr>
        <w:trPr>
          <w:trHeight w:val="226"/>
        </w:trPr>
        <w:tc>
          <w:tcPr>
            <w:tcW w:w="772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Assets</w:t>
            </w:r>
          </w:p>
        </w:tc>
        <w:tc>
          <w:tcPr>
            <w:tcW w:w="300" w:type="dxa"/>
            <w:vAlign w:val="bottom"/>
            <w:shd w:val="clear" w:color="auto" w:fill="CFF0FC"/>
          </w:tcPr>
          <w:p>
            <w:pPr>
              <w:spacing w:after="0"/>
              <w:rPr>
                <w:sz w:val="19"/>
                <w:szCs w:val="19"/>
                <w:color w:val="auto"/>
              </w:rPr>
            </w:pPr>
          </w:p>
        </w:tc>
        <w:tc>
          <w:tcPr>
            <w:tcW w:w="126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3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r>
      <w:tr>
        <w:trPr>
          <w:trHeight w:val="229"/>
        </w:trPr>
        <w:tc>
          <w:tcPr>
            <w:tcW w:w="7720" w:type="dxa"/>
            <w:vAlign w:val="bottom"/>
          </w:tcPr>
          <w:p>
            <w:pPr>
              <w:spacing w:after="0"/>
              <w:rPr>
                <w:sz w:val="20"/>
                <w:szCs w:val="20"/>
                <w:color w:val="auto"/>
              </w:rPr>
            </w:pPr>
            <w:r>
              <w:rPr>
                <w:rFonts w:ascii="Arial" w:cs="Arial" w:eastAsia="Arial" w:hAnsi="Arial"/>
                <w:sz w:val="18"/>
                <w:szCs w:val="18"/>
                <w:color w:val="auto"/>
              </w:rPr>
              <w:t>Current assets</w:t>
            </w:r>
          </w:p>
        </w:tc>
        <w:tc>
          <w:tcPr>
            <w:tcW w:w="30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29"/>
        </w:trPr>
        <w:tc>
          <w:tcPr>
            <w:tcW w:w="77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Cash</w:t>
            </w:r>
          </w:p>
        </w:tc>
        <w:tc>
          <w:tcPr>
            <w:tcW w:w="300" w:type="dxa"/>
            <w:vAlign w:val="bottom"/>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158,549</w:t>
            </w:r>
          </w:p>
        </w:tc>
        <w:tc>
          <w:tcPr>
            <w:tcW w:w="280" w:type="dxa"/>
            <w:vAlign w:val="bottom"/>
            <w:shd w:val="clear" w:color="auto" w:fill="CFF0FC"/>
          </w:tcPr>
          <w:p>
            <w:pPr>
              <w:spacing w:after="0"/>
              <w:rPr>
                <w:sz w:val="19"/>
                <w:szCs w:val="19"/>
                <w:color w:val="auto"/>
              </w:rPr>
            </w:pPr>
          </w:p>
        </w:tc>
        <w:tc>
          <w:tcPr>
            <w:tcW w:w="20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111,714</w:t>
            </w:r>
          </w:p>
        </w:tc>
        <w:tc>
          <w:tcPr>
            <w:tcW w:w="120" w:type="dxa"/>
            <w:vAlign w:val="bottom"/>
            <w:shd w:val="clear" w:color="auto" w:fill="CFF0FC"/>
          </w:tcPr>
          <w:p>
            <w:pPr>
              <w:spacing w:after="0"/>
              <w:rPr>
                <w:sz w:val="19"/>
                <w:szCs w:val="19"/>
                <w:color w:val="auto"/>
              </w:rPr>
            </w:pPr>
          </w:p>
        </w:tc>
      </w:tr>
      <w:tr>
        <w:trPr>
          <w:trHeight w:val="230"/>
        </w:trPr>
        <w:tc>
          <w:tcPr>
            <w:tcW w:w="7720" w:type="dxa"/>
            <w:vAlign w:val="bottom"/>
          </w:tcPr>
          <w:p>
            <w:pPr>
              <w:ind w:left="260"/>
              <w:spacing w:after="0"/>
              <w:rPr>
                <w:sz w:val="20"/>
                <w:szCs w:val="20"/>
                <w:color w:val="auto"/>
              </w:rPr>
            </w:pPr>
            <w:r>
              <w:rPr>
                <w:rFonts w:ascii="Arial" w:cs="Arial" w:eastAsia="Arial" w:hAnsi="Arial"/>
                <w:sz w:val="18"/>
                <w:szCs w:val="18"/>
                <w:color w:val="auto"/>
              </w:rPr>
              <w:t>Accounts receivable, net</w:t>
            </w:r>
          </w:p>
        </w:tc>
        <w:tc>
          <w:tcPr>
            <w:tcW w:w="3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126,389</w:t>
            </w:r>
          </w:p>
        </w:tc>
        <w:tc>
          <w:tcPr>
            <w:tcW w:w="2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149,680</w:t>
            </w:r>
          </w:p>
        </w:tc>
        <w:tc>
          <w:tcPr>
            <w:tcW w:w="120" w:type="dxa"/>
            <w:vAlign w:val="bottom"/>
          </w:tcPr>
          <w:p>
            <w:pPr>
              <w:spacing w:after="0"/>
              <w:rPr>
                <w:sz w:val="19"/>
                <w:szCs w:val="19"/>
                <w:color w:val="auto"/>
              </w:rPr>
            </w:pPr>
          </w:p>
        </w:tc>
      </w:tr>
      <w:tr>
        <w:trPr>
          <w:trHeight w:val="229"/>
        </w:trPr>
        <w:tc>
          <w:tcPr>
            <w:tcW w:w="7720" w:type="dxa"/>
            <w:vAlign w:val="bottom"/>
            <w:shd w:val="clear" w:color="auto" w:fill="CFF0FC"/>
          </w:tcPr>
          <w:p>
            <w:pPr>
              <w:spacing w:after="0"/>
              <w:rPr>
                <w:sz w:val="20"/>
                <w:szCs w:val="20"/>
                <w:color w:val="auto"/>
              </w:rPr>
            </w:pPr>
            <w:r>
              <w:rPr>
                <w:rFonts w:ascii="Arial" w:cs="Arial" w:eastAsia="Arial" w:hAnsi="Arial"/>
                <w:sz w:val="18"/>
                <w:szCs w:val="18"/>
                <w:color w:val="auto"/>
              </w:rPr>
              <w:t>Prepaid expenses and other current assets</w:t>
            </w:r>
          </w:p>
        </w:tc>
        <w:tc>
          <w:tcPr>
            <w:tcW w:w="300" w:type="dxa"/>
            <w:vAlign w:val="bottom"/>
            <w:tcBorders>
              <w:bottom w:val="single" w:sz="8" w:color="auto"/>
            </w:tcBorders>
            <w:shd w:val="clear" w:color="auto" w:fill="CFF0FC"/>
          </w:tcPr>
          <w:p>
            <w:pPr>
              <w:spacing w:after="0"/>
              <w:rPr>
                <w:sz w:val="19"/>
                <w:szCs w:val="19"/>
                <w:color w:val="auto"/>
              </w:rPr>
            </w:pPr>
          </w:p>
        </w:tc>
        <w:tc>
          <w:tcPr>
            <w:tcW w:w="12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11,398</w:t>
            </w:r>
          </w:p>
        </w:tc>
        <w:tc>
          <w:tcPr>
            <w:tcW w:w="280" w:type="dxa"/>
            <w:vAlign w:val="bottom"/>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13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7,993</w:t>
            </w:r>
          </w:p>
        </w:tc>
        <w:tc>
          <w:tcPr>
            <w:tcW w:w="120" w:type="dxa"/>
            <w:vAlign w:val="bottom"/>
            <w:shd w:val="clear" w:color="auto" w:fill="CFF0FC"/>
          </w:tcPr>
          <w:p>
            <w:pPr>
              <w:spacing w:after="0"/>
              <w:rPr>
                <w:sz w:val="19"/>
                <w:szCs w:val="19"/>
                <w:color w:val="auto"/>
              </w:rPr>
            </w:pPr>
          </w:p>
        </w:tc>
      </w:tr>
      <w:tr>
        <w:trPr>
          <w:trHeight w:val="223"/>
        </w:trPr>
        <w:tc>
          <w:tcPr>
            <w:tcW w:w="772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Total current assets</w:t>
            </w:r>
          </w:p>
        </w:tc>
        <w:tc>
          <w:tcPr>
            <w:tcW w:w="30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296,336</w:t>
            </w:r>
          </w:p>
        </w:tc>
        <w:tc>
          <w:tcPr>
            <w:tcW w:w="280" w:type="dxa"/>
            <w:vAlign w:val="bottom"/>
            <w:tcBorders>
              <w:bottom w:val="single" w:sz="8" w:color="CFF0FC"/>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269,387</w:t>
            </w:r>
          </w:p>
        </w:tc>
        <w:tc>
          <w:tcPr>
            <w:tcW w:w="120" w:type="dxa"/>
            <w:vAlign w:val="bottom"/>
            <w:tcBorders>
              <w:bottom w:val="single" w:sz="8" w:color="CFF0FC"/>
            </w:tcBorders>
          </w:tcPr>
          <w:p>
            <w:pPr>
              <w:spacing w:after="0"/>
              <w:rPr>
                <w:sz w:val="19"/>
                <w:szCs w:val="19"/>
                <w:color w:val="auto"/>
              </w:rPr>
            </w:pPr>
          </w:p>
        </w:tc>
      </w:tr>
      <w:tr>
        <w:trPr>
          <w:trHeight w:val="223"/>
        </w:trPr>
        <w:tc>
          <w:tcPr>
            <w:tcW w:w="7720" w:type="dxa"/>
            <w:vAlign w:val="bottom"/>
            <w:shd w:val="clear" w:color="auto" w:fill="CFF0FC"/>
          </w:tcPr>
          <w:p>
            <w:pPr>
              <w:spacing w:after="0"/>
              <w:rPr>
                <w:sz w:val="20"/>
                <w:szCs w:val="20"/>
                <w:color w:val="auto"/>
              </w:rPr>
            </w:pPr>
            <w:r>
              <w:rPr>
                <w:rFonts w:ascii="Arial" w:cs="Arial" w:eastAsia="Arial" w:hAnsi="Arial"/>
                <w:sz w:val="18"/>
                <w:szCs w:val="18"/>
                <w:color w:val="auto"/>
              </w:rPr>
              <w:t>Property and equipment, net of accumulated depreciation and amortization</w:t>
            </w:r>
          </w:p>
        </w:tc>
        <w:tc>
          <w:tcPr>
            <w:tcW w:w="300" w:type="dxa"/>
            <w:vAlign w:val="bottom"/>
            <w:shd w:val="clear" w:color="auto" w:fill="CFF0FC"/>
          </w:tcPr>
          <w:p>
            <w:pPr>
              <w:spacing w:after="0"/>
              <w:rPr>
                <w:sz w:val="19"/>
                <w:szCs w:val="19"/>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14,707</w:t>
            </w:r>
          </w:p>
        </w:tc>
        <w:tc>
          <w:tcPr>
            <w:tcW w:w="2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12,156</w:t>
            </w:r>
          </w:p>
        </w:tc>
        <w:tc>
          <w:tcPr>
            <w:tcW w:w="120" w:type="dxa"/>
            <w:vAlign w:val="bottom"/>
            <w:shd w:val="clear" w:color="auto" w:fill="CFF0FC"/>
          </w:tcPr>
          <w:p>
            <w:pPr>
              <w:spacing w:after="0"/>
              <w:rPr>
                <w:sz w:val="19"/>
                <w:szCs w:val="19"/>
                <w:color w:val="auto"/>
              </w:rPr>
            </w:pPr>
          </w:p>
        </w:tc>
      </w:tr>
      <w:tr>
        <w:trPr>
          <w:trHeight w:val="230"/>
        </w:trPr>
        <w:tc>
          <w:tcPr>
            <w:tcW w:w="7720" w:type="dxa"/>
            <w:vAlign w:val="bottom"/>
          </w:tcPr>
          <w:p>
            <w:pPr>
              <w:spacing w:after="0"/>
              <w:rPr>
                <w:sz w:val="20"/>
                <w:szCs w:val="20"/>
                <w:color w:val="auto"/>
              </w:rPr>
            </w:pPr>
            <w:r>
              <w:rPr>
                <w:rFonts w:ascii="Arial" w:cs="Arial" w:eastAsia="Arial" w:hAnsi="Arial"/>
                <w:sz w:val="18"/>
                <w:szCs w:val="18"/>
                <w:color w:val="auto"/>
              </w:rPr>
              <w:t>Other assets</w:t>
            </w:r>
          </w:p>
        </w:tc>
        <w:tc>
          <w:tcPr>
            <w:tcW w:w="30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29"/>
        </w:trPr>
        <w:tc>
          <w:tcPr>
            <w:tcW w:w="77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Goodwill</w:t>
            </w:r>
          </w:p>
        </w:tc>
        <w:tc>
          <w:tcPr>
            <w:tcW w:w="300" w:type="dxa"/>
            <w:vAlign w:val="bottom"/>
            <w:shd w:val="clear" w:color="auto" w:fill="CFF0FC"/>
          </w:tcPr>
          <w:p>
            <w:pPr>
              <w:spacing w:after="0"/>
              <w:rPr>
                <w:sz w:val="19"/>
                <w:szCs w:val="19"/>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275,433</w:t>
            </w:r>
          </w:p>
        </w:tc>
        <w:tc>
          <w:tcPr>
            <w:tcW w:w="2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275,368</w:t>
            </w:r>
          </w:p>
        </w:tc>
        <w:tc>
          <w:tcPr>
            <w:tcW w:w="120" w:type="dxa"/>
            <w:vAlign w:val="bottom"/>
            <w:shd w:val="clear" w:color="auto" w:fill="CFF0FC"/>
          </w:tcPr>
          <w:p>
            <w:pPr>
              <w:spacing w:after="0"/>
              <w:rPr>
                <w:sz w:val="19"/>
                <w:szCs w:val="19"/>
                <w:color w:val="auto"/>
              </w:rPr>
            </w:pPr>
          </w:p>
        </w:tc>
      </w:tr>
      <w:tr>
        <w:trPr>
          <w:trHeight w:val="229"/>
        </w:trPr>
        <w:tc>
          <w:tcPr>
            <w:tcW w:w="7720" w:type="dxa"/>
            <w:vAlign w:val="bottom"/>
          </w:tcPr>
          <w:p>
            <w:pPr>
              <w:ind w:left="260"/>
              <w:spacing w:after="0"/>
              <w:rPr>
                <w:sz w:val="20"/>
                <w:szCs w:val="20"/>
                <w:color w:val="auto"/>
              </w:rPr>
            </w:pPr>
            <w:r>
              <w:rPr>
                <w:rFonts w:ascii="Arial" w:cs="Arial" w:eastAsia="Arial" w:hAnsi="Arial"/>
                <w:sz w:val="18"/>
                <w:szCs w:val="18"/>
                <w:color w:val="auto"/>
              </w:rPr>
              <w:t>Intangibles, net of accumulated amortization</w:t>
            </w:r>
          </w:p>
        </w:tc>
        <w:tc>
          <w:tcPr>
            <w:tcW w:w="3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53,073</w:t>
            </w:r>
          </w:p>
        </w:tc>
        <w:tc>
          <w:tcPr>
            <w:tcW w:w="2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57,079</w:t>
            </w:r>
          </w:p>
        </w:tc>
        <w:tc>
          <w:tcPr>
            <w:tcW w:w="120" w:type="dxa"/>
            <w:vAlign w:val="bottom"/>
          </w:tcPr>
          <w:p>
            <w:pPr>
              <w:spacing w:after="0"/>
              <w:rPr>
                <w:sz w:val="19"/>
                <w:szCs w:val="19"/>
                <w:color w:val="auto"/>
              </w:rPr>
            </w:pPr>
          </w:p>
        </w:tc>
      </w:tr>
      <w:tr>
        <w:trPr>
          <w:trHeight w:val="230"/>
        </w:trPr>
        <w:tc>
          <w:tcPr>
            <w:tcW w:w="77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Deferred tax assets, net</w:t>
            </w:r>
          </w:p>
        </w:tc>
        <w:tc>
          <w:tcPr>
            <w:tcW w:w="300" w:type="dxa"/>
            <w:vAlign w:val="bottom"/>
            <w:shd w:val="clear" w:color="auto" w:fill="CFF0FC"/>
          </w:tcPr>
          <w:p>
            <w:pPr>
              <w:spacing w:after="0"/>
              <w:rPr>
                <w:sz w:val="19"/>
                <w:szCs w:val="19"/>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1,547</w:t>
            </w:r>
          </w:p>
        </w:tc>
        <w:tc>
          <w:tcPr>
            <w:tcW w:w="2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1,647</w:t>
            </w:r>
          </w:p>
        </w:tc>
        <w:tc>
          <w:tcPr>
            <w:tcW w:w="120" w:type="dxa"/>
            <w:vAlign w:val="bottom"/>
            <w:shd w:val="clear" w:color="auto" w:fill="CFF0FC"/>
          </w:tcPr>
          <w:p>
            <w:pPr>
              <w:spacing w:after="0"/>
              <w:rPr>
                <w:sz w:val="19"/>
                <w:szCs w:val="19"/>
                <w:color w:val="auto"/>
              </w:rPr>
            </w:pPr>
          </w:p>
        </w:tc>
      </w:tr>
      <w:tr>
        <w:trPr>
          <w:trHeight w:val="229"/>
        </w:trPr>
        <w:tc>
          <w:tcPr>
            <w:tcW w:w="7720" w:type="dxa"/>
            <w:vAlign w:val="bottom"/>
            <w:tcBorders>
              <w:bottom w:val="single" w:sz="8" w:color="CFF0FC"/>
            </w:tcBorders>
          </w:tcPr>
          <w:p>
            <w:pPr>
              <w:ind w:left="260"/>
              <w:spacing w:after="0"/>
              <w:rPr>
                <w:sz w:val="20"/>
                <w:szCs w:val="20"/>
                <w:color w:val="auto"/>
              </w:rPr>
            </w:pPr>
            <w:r>
              <w:rPr>
                <w:rFonts w:ascii="Arial" w:cs="Arial" w:eastAsia="Arial" w:hAnsi="Arial"/>
                <w:sz w:val="18"/>
                <w:szCs w:val="18"/>
                <w:color w:val="auto"/>
              </w:rPr>
              <w:t>Operating lease assets, net</w:t>
            </w:r>
          </w:p>
        </w:tc>
        <w:tc>
          <w:tcPr>
            <w:tcW w:w="30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19,825</w:t>
            </w:r>
          </w:p>
        </w:tc>
        <w:tc>
          <w:tcPr>
            <w:tcW w:w="280" w:type="dxa"/>
            <w:vAlign w:val="bottom"/>
            <w:tcBorders>
              <w:bottom w:val="single" w:sz="8" w:color="CFF0FC"/>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21,111</w:t>
            </w:r>
          </w:p>
        </w:tc>
        <w:tc>
          <w:tcPr>
            <w:tcW w:w="120" w:type="dxa"/>
            <w:vAlign w:val="bottom"/>
            <w:tcBorders>
              <w:bottom w:val="single" w:sz="8" w:color="CFF0FC"/>
            </w:tcBorders>
          </w:tcPr>
          <w:p>
            <w:pPr>
              <w:spacing w:after="0"/>
              <w:rPr>
                <w:sz w:val="19"/>
                <w:szCs w:val="19"/>
                <w:color w:val="auto"/>
              </w:rPr>
            </w:pPr>
          </w:p>
        </w:tc>
      </w:tr>
      <w:tr>
        <w:trPr>
          <w:trHeight w:val="223"/>
        </w:trPr>
        <w:tc>
          <w:tcPr>
            <w:tcW w:w="7720" w:type="dxa"/>
            <w:vAlign w:val="bottom"/>
            <w:shd w:val="clear" w:color="auto" w:fill="CFF0FC"/>
          </w:tcPr>
          <w:p>
            <w:pPr>
              <w:spacing w:after="0"/>
              <w:rPr>
                <w:sz w:val="20"/>
                <w:szCs w:val="20"/>
                <w:color w:val="auto"/>
              </w:rPr>
            </w:pPr>
            <w:r>
              <w:rPr>
                <w:rFonts w:ascii="Arial" w:cs="Arial" w:eastAsia="Arial" w:hAnsi="Arial"/>
                <w:sz w:val="18"/>
                <w:szCs w:val="18"/>
                <w:color w:val="auto"/>
              </w:rPr>
              <w:t>Total other assets</w:t>
            </w:r>
          </w:p>
        </w:tc>
        <w:tc>
          <w:tcPr>
            <w:tcW w:w="300" w:type="dxa"/>
            <w:vAlign w:val="bottom"/>
            <w:tcBorders>
              <w:bottom w:val="single" w:sz="8" w:color="auto"/>
            </w:tcBorders>
            <w:shd w:val="clear" w:color="auto" w:fill="CFF0FC"/>
          </w:tcPr>
          <w:p>
            <w:pPr>
              <w:spacing w:after="0"/>
              <w:rPr>
                <w:sz w:val="19"/>
                <w:szCs w:val="19"/>
                <w:color w:val="auto"/>
              </w:rPr>
            </w:pPr>
          </w:p>
        </w:tc>
        <w:tc>
          <w:tcPr>
            <w:tcW w:w="12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349,878</w:t>
            </w:r>
          </w:p>
        </w:tc>
        <w:tc>
          <w:tcPr>
            <w:tcW w:w="280" w:type="dxa"/>
            <w:vAlign w:val="bottom"/>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13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355,205</w:t>
            </w:r>
          </w:p>
        </w:tc>
        <w:tc>
          <w:tcPr>
            <w:tcW w:w="120" w:type="dxa"/>
            <w:vAlign w:val="bottom"/>
            <w:shd w:val="clear" w:color="auto" w:fill="CFF0FC"/>
          </w:tcPr>
          <w:p>
            <w:pPr>
              <w:spacing w:after="0"/>
              <w:rPr>
                <w:sz w:val="19"/>
                <w:szCs w:val="19"/>
                <w:color w:val="auto"/>
              </w:rPr>
            </w:pPr>
          </w:p>
        </w:tc>
      </w:tr>
      <w:tr>
        <w:trPr>
          <w:trHeight w:val="263"/>
        </w:trPr>
        <w:tc>
          <w:tcPr>
            <w:tcW w:w="772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Total assets</w:t>
            </w:r>
          </w:p>
        </w:tc>
        <w:tc>
          <w:tcPr>
            <w:tcW w:w="3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660,921</w:t>
            </w:r>
          </w:p>
        </w:tc>
        <w:tc>
          <w:tcPr>
            <w:tcW w:w="280" w:type="dxa"/>
            <w:vAlign w:val="bottom"/>
            <w:tcBorders>
              <w:bottom w:val="single" w:sz="8" w:color="CFF0FC"/>
            </w:tcBorders>
          </w:tcPr>
          <w:p>
            <w:pPr>
              <w:spacing w:after="0"/>
              <w:rPr>
                <w:sz w:val="22"/>
                <w:szCs w:val="22"/>
                <w:color w:val="auto"/>
              </w:rPr>
            </w:pPr>
          </w:p>
        </w:tc>
        <w:tc>
          <w:tcPr>
            <w:tcW w:w="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636,748</w:t>
            </w:r>
          </w:p>
        </w:tc>
        <w:tc>
          <w:tcPr>
            <w:tcW w:w="120" w:type="dxa"/>
            <w:vAlign w:val="bottom"/>
            <w:tcBorders>
              <w:bottom w:val="single" w:sz="8" w:color="CFF0FC"/>
            </w:tcBorders>
          </w:tcPr>
          <w:p>
            <w:pPr>
              <w:spacing w:after="0"/>
              <w:rPr>
                <w:sz w:val="22"/>
                <w:szCs w:val="22"/>
                <w:color w:val="auto"/>
              </w:rPr>
            </w:pPr>
          </w:p>
        </w:tc>
      </w:tr>
      <w:tr>
        <w:trPr>
          <w:trHeight w:val="210"/>
        </w:trPr>
        <w:tc>
          <w:tcPr>
            <w:tcW w:w="772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Liabilities and stockholders’ equity</w:t>
            </w:r>
          </w:p>
        </w:tc>
        <w:tc>
          <w:tcPr>
            <w:tcW w:w="300" w:type="dxa"/>
            <w:vAlign w:val="bottom"/>
            <w:shd w:val="clear" w:color="auto" w:fill="CFF0FC"/>
          </w:tcPr>
          <w:p>
            <w:pPr>
              <w:spacing w:after="0"/>
              <w:rPr>
                <w:sz w:val="18"/>
                <w:szCs w:val="18"/>
                <w:color w:val="auto"/>
              </w:rPr>
            </w:pPr>
          </w:p>
        </w:tc>
        <w:tc>
          <w:tcPr>
            <w:tcW w:w="126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3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29"/>
        </w:trPr>
        <w:tc>
          <w:tcPr>
            <w:tcW w:w="7720" w:type="dxa"/>
            <w:vAlign w:val="bottom"/>
          </w:tcPr>
          <w:p>
            <w:pPr>
              <w:spacing w:after="0"/>
              <w:rPr>
                <w:sz w:val="20"/>
                <w:szCs w:val="20"/>
                <w:color w:val="auto"/>
              </w:rPr>
            </w:pPr>
            <w:r>
              <w:rPr>
                <w:rFonts w:ascii="Arial" w:cs="Arial" w:eastAsia="Arial" w:hAnsi="Arial"/>
                <w:sz w:val="18"/>
                <w:szCs w:val="18"/>
                <w:color w:val="auto"/>
              </w:rPr>
              <w:t>Current liabilities</w:t>
            </w:r>
          </w:p>
        </w:tc>
        <w:tc>
          <w:tcPr>
            <w:tcW w:w="30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30"/>
        </w:trPr>
        <w:tc>
          <w:tcPr>
            <w:tcW w:w="77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Accounts payable</w:t>
            </w:r>
          </w:p>
        </w:tc>
        <w:tc>
          <w:tcPr>
            <w:tcW w:w="300" w:type="dxa"/>
            <w:vAlign w:val="bottom"/>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17,201</w:t>
            </w:r>
          </w:p>
        </w:tc>
        <w:tc>
          <w:tcPr>
            <w:tcW w:w="280" w:type="dxa"/>
            <w:vAlign w:val="bottom"/>
            <w:shd w:val="clear" w:color="auto" w:fill="CFF0FC"/>
          </w:tcPr>
          <w:p>
            <w:pPr>
              <w:spacing w:after="0"/>
              <w:rPr>
                <w:sz w:val="19"/>
                <w:szCs w:val="19"/>
                <w:color w:val="auto"/>
              </w:rPr>
            </w:pPr>
          </w:p>
        </w:tc>
        <w:tc>
          <w:tcPr>
            <w:tcW w:w="20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19,641</w:t>
            </w:r>
          </w:p>
        </w:tc>
        <w:tc>
          <w:tcPr>
            <w:tcW w:w="120" w:type="dxa"/>
            <w:vAlign w:val="bottom"/>
            <w:shd w:val="clear" w:color="auto" w:fill="CFF0FC"/>
          </w:tcPr>
          <w:p>
            <w:pPr>
              <w:spacing w:after="0"/>
              <w:rPr>
                <w:sz w:val="19"/>
                <w:szCs w:val="19"/>
                <w:color w:val="auto"/>
              </w:rPr>
            </w:pPr>
          </w:p>
        </w:tc>
      </w:tr>
      <w:tr>
        <w:trPr>
          <w:trHeight w:val="230"/>
        </w:trPr>
        <w:tc>
          <w:tcPr>
            <w:tcW w:w="7720" w:type="dxa"/>
            <w:vAlign w:val="bottom"/>
          </w:tcPr>
          <w:p>
            <w:pPr>
              <w:ind w:left="260"/>
              <w:spacing w:after="0"/>
              <w:rPr>
                <w:sz w:val="20"/>
                <w:szCs w:val="20"/>
                <w:color w:val="auto"/>
              </w:rPr>
            </w:pPr>
            <w:r>
              <w:rPr>
                <w:rFonts w:ascii="Arial" w:cs="Arial" w:eastAsia="Arial" w:hAnsi="Arial"/>
                <w:sz w:val="18"/>
                <w:szCs w:val="18"/>
                <w:color w:val="auto"/>
              </w:rPr>
              <w:t>Accrued payroll</w:t>
            </w:r>
          </w:p>
        </w:tc>
        <w:tc>
          <w:tcPr>
            <w:tcW w:w="3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28,787</w:t>
            </w:r>
          </w:p>
        </w:tc>
        <w:tc>
          <w:tcPr>
            <w:tcW w:w="2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30,587</w:t>
            </w:r>
          </w:p>
        </w:tc>
        <w:tc>
          <w:tcPr>
            <w:tcW w:w="120" w:type="dxa"/>
            <w:vAlign w:val="bottom"/>
          </w:tcPr>
          <w:p>
            <w:pPr>
              <w:spacing w:after="0"/>
              <w:rPr>
                <w:sz w:val="19"/>
                <w:szCs w:val="19"/>
                <w:color w:val="auto"/>
              </w:rPr>
            </w:pPr>
          </w:p>
        </w:tc>
      </w:tr>
      <w:tr>
        <w:trPr>
          <w:trHeight w:val="230"/>
        </w:trPr>
        <w:tc>
          <w:tcPr>
            <w:tcW w:w="77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Accrued expenses</w:t>
            </w:r>
          </w:p>
        </w:tc>
        <w:tc>
          <w:tcPr>
            <w:tcW w:w="300" w:type="dxa"/>
            <w:vAlign w:val="bottom"/>
            <w:shd w:val="clear" w:color="auto" w:fill="CFF0FC"/>
          </w:tcPr>
          <w:p>
            <w:pPr>
              <w:spacing w:after="0"/>
              <w:rPr>
                <w:sz w:val="19"/>
                <w:szCs w:val="19"/>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32,674</w:t>
            </w:r>
          </w:p>
        </w:tc>
        <w:tc>
          <w:tcPr>
            <w:tcW w:w="2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22,429</w:t>
            </w:r>
          </w:p>
        </w:tc>
        <w:tc>
          <w:tcPr>
            <w:tcW w:w="120" w:type="dxa"/>
            <w:vAlign w:val="bottom"/>
            <w:shd w:val="clear" w:color="auto" w:fill="CFF0FC"/>
          </w:tcPr>
          <w:p>
            <w:pPr>
              <w:spacing w:after="0"/>
              <w:rPr>
                <w:sz w:val="19"/>
                <w:szCs w:val="19"/>
                <w:color w:val="auto"/>
              </w:rPr>
            </w:pPr>
          </w:p>
        </w:tc>
      </w:tr>
      <w:tr>
        <w:trPr>
          <w:trHeight w:val="230"/>
        </w:trPr>
        <w:tc>
          <w:tcPr>
            <w:tcW w:w="7720" w:type="dxa"/>
            <w:vAlign w:val="bottom"/>
          </w:tcPr>
          <w:p>
            <w:pPr>
              <w:ind w:left="260"/>
              <w:spacing w:after="0"/>
              <w:rPr>
                <w:sz w:val="20"/>
                <w:szCs w:val="20"/>
                <w:color w:val="auto"/>
              </w:rPr>
            </w:pPr>
            <w:r>
              <w:rPr>
                <w:rFonts w:ascii="Arial" w:cs="Arial" w:eastAsia="Arial" w:hAnsi="Arial"/>
                <w:sz w:val="18"/>
                <w:szCs w:val="18"/>
                <w:color w:val="auto"/>
              </w:rPr>
              <w:t>Accrued workers’ compensation insurance</w:t>
            </w:r>
          </w:p>
        </w:tc>
        <w:tc>
          <w:tcPr>
            <w:tcW w:w="3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14,075</w:t>
            </w:r>
          </w:p>
        </w:tc>
        <w:tc>
          <w:tcPr>
            <w:tcW w:w="2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14,143</w:t>
            </w:r>
          </w:p>
        </w:tc>
        <w:tc>
          <w:tcPr>
            <w:tcW w:w="120" w:type="dxa"/>
            <w:vAlign w:val="bottom"/>
          </w:tcPr>
          <w:p>
            <w:pPr>
              <w:spacing w:after="0"/>
              <w:rPr>
                <w:sz w:val="19"/>
                <w:szCs w:val="19"/>
                <w:color w:val="auto"/>
              </w:rPr>
            </w:pPr>
          </w:p>
        </w:tc>
      </w:tr>
      <w:tr>
        <w:trPr>
          <w:trHeight w:val="229"/>
        </w:trPr>
        <w:tc>
          <w:tcPr>
            <w:tcW w:w="77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Current portion of long-term debt</w:t>
            </w:r>
          </w:p>
        </w:tc>
        <w:tc>
          <w:tcPr>
            <w:tcW w:w="300" w:type="dxa"/>
            <w:vAlign w:val="bottom"/>
            <w:tcBorders>
              <w:bottom w:val="single" w:sz="8" w:color="auto"/>
            </w:tcBorders>
            <w:shd w:val="clear" w:color="auto" w:fill="CFF0FC"/>
          </w:tcPr>
          <w:p>
            <w:pPr>
              <w:spacing w:after="0"/>
              <w:rPr>
                <w:sz w:val="19"/>
                <w:szCs w:val="19"/>
                <w:color w:val="auto"/>
              </w:rPr>
            </w:pPr>
          </w:p>
        </w:tc>
        <w:tc>
          <w:tcPr>
            <w:tcW w:w="12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948</w:t>
            </w:r>
          </w:p>
        </w:tc>
        <w:tc>
          <w:tcPr>
            <w:tcW w:w="280" w:type="dxa"/>
            <w:vAlign w:val="bottom"/>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13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728</w:t>
            </w:r>
          </w:p>
        </w:tc>
        <w:tc>
          <w:tcPr>
            <w:tcW w:w="120" w:type="dxa"/>
            <w:vAlign w:val="bottom"/>
            <w:shd w:val="clear" w:color="auto" w:fill="CFF0FC"/>
          </w:tcPr>
          <w:p>
            <w:pPr>
              <w:spacing w:after="0"/>
              <w:rPr>
                <w:sz w:val="19"/>
                <w:szCs w:val="19"/>
                <w:color w:val="auto"/>
              </w:rPr>
            </w:pPr>
          </w:p>
        </w:tc>
      </w:tr>
      <w:tr>
        <w:trPr>
          <w:trHeight w:val="223"/>
        </w:trPr>
        <w:tc>
          <w:tcPr>
            <w:tcW w:w="772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Total current liabilities</w:t>
            </w:r>
          </w:p>
        </w:tc>
        <w:tc>
          <w:tcPr>
            <w:tcW w:w="30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93,685</w:t>
            </w:r>
          </w:p>
        </w:tc>
        <w:tc>
          <w:tcPr>
            <w:tcW w:w="280" w:type="dxa"/>
            <w:vAlign w:val="bottom"/>
            <w:tcBorders>
              <w:bottom w:val="single" w:sz="8" w:color="CFF0FC"/>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87,528</w:t>
            </w:r>
          </w:p>
        </w:tc>
        <w:tc>
          <w:tcPr>
            <w:tcW w:w="120" w:type="dxa"/>
            <w:vAlign w:val="bottom"/>
            <w:tcBorders>
              <w:bottom w:val="single" w:sz="8" w:color="CFF0FC"/>
            </w:tcBorders>
          </w:tcPr>
          <w:p>
            <w:pPr>
              <w:spacing w:after="0"/>
              <w:rPr>
                <w:sz w:val="19"/>
                <w:szCs w:val="19"/>
                <w:color w:val="auto"/>
              </w:rPr>
            </w:pPr>
          </w:p>
        </w:tc>
      </w:tr>
      <w:tr>
        <w:trPr>
          <w:trHeight w:val="223"/>
        </w:trPr>
        <w:tc>
          <w:tcPr>
            <w:tcW w:w="7720" w:type="dxa"/>
            <w:vAlign w:val="bottom"/>
            <w:shd w:val="clear" w:color="auto" w:fill="CFF0FC"/>
          </w:tcPr>
          <w:p>
            <w:pPr>
              <w:spacing w:after="0"/>
              <w:rPr>
                <w:sz w:val="20"/>
                <w:szCs w:val="20"/>
                <w:color w:val="auto"/>
              </w:rPr>
            </w:pPr>
            <w:r>
              <w:rPr>
                <w:rFonts w:ascii="Arial" w:cs="Arial" w:eastAsia="Arial" w:hAnsi="Arial"/>
                <w:sz w:val="18"/>
                <w:szCs w:val="18"/>
                <w:color w:val="auto"/>
              </w:rPr>
              <w:t>Long-term liabilities</w:t>
            </w:r>
          </w:p>
        </w:tc>
        <w:tc>
          <w:tcPr>
            <w:tcW w:w="300" w:type="dxa"/>
            <w:vAlign w:val="bottom"/>
            <w:shd w:val="clear" w:color="auto" w:fill="CFF0FC"/>
          </w:tcPr>
          <w:p>
            <w:pPr>
              <w:spacing w:after="0"/>
              <w:rPr>
                <w:sz w:val="19"/>
                <w:szCs w:val="19"/>
                <w:color w:val="auto"/>
              </w:rPr>
            </w:pPr>
          </w:p>
        </w:tc>
        <w:tc>
          <w:tcPr>
            <w:tcW w:w="126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3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r>
      <w:tr>
        <w:trPr>
          <w:trHeight w:val="229"/>
        </w:trPr>
        <w:tc>
          <w:tcPr>
            <w:tcW w:w="7720" w:type="dxa"/>
            <w:vAlign w:val="bottom"/>
          </w:tcPr>
          <w:p>
            <w:pPr>
              <w:ind w:left="260"/>
              <w:spacing w:after="0"/>
              <w:rPr>
                <w:sz w:val="20"/>
                <w:szCs w:val="20"/>
                <w:color w:val="auto"/>
              </w:rPr>
            </w:pPr>
            <w:r>
              <w:rPr>
                <w:rFonts w:ascii="Arial" w:cs="Arial" w:eastAsia="Arial" w:hAnsi="Arial"/>
                <w:sz w:val="18"/>
                <w:szCs w:val="18"/>
                <w:color w:val="auto"/>
              </w:rPr>
              <w:t>Long-term debt, less current portion, net of debt issuance costs</w:t>
            </w:r>
          </w:p>
        </w:tc>
        <w:tc>
          <w:tcPr>
            <w:tcW w:w="3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59,048</w:t>
            </w:r>
          </w:p>
        </w:tc>
        <w:tc>
          <w:tcPr>
            <w:tcW w:w="2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59,164</w:t>
            </w:r>
          </w:p>
        </w:tc>
        <w:tc>
          <w:tcPr>
            <w:tcW w:w="120" w:type="dxa"/>
            <w:vAlign w:val="bottom"/>
          </w:tcPr>
          <w:p>
            <w:pPr>
              <w:spacing w:after="0"/>
              <w:rPr>
                <w:sz w:val="19"/>
                <w:szCs w:val="19"/>
                <w:color w:val="auto"/>
              </w:rPr>
            </w:pPr>
          </w:p>
        </w:tc>
      </w:tr>
      <w:tr>
        <w:trPr>
          <w:trHeight w:val="230"/>
        </w:trPr>
        <w:tc>
          <w:tcPr>
            <w:tcW w:w="77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Long-term operating lease liabilities</w:t>
            </w:r>
          </w:p>
        </w:tc>
        <w:tc>
          <w:tcPr>
            <w:tcW w:w="300" w:type="dxa"/>
            <w:vAlign w:val="bottom"/>
            <w:shd w:val="clear" w:color="auto" w:fill="CFF0FC"/>
          </w:tcPr>
          <w:p>
            <w:pPr>
              <w:spacing w:after="0"/>
              <w:rPr>
                <w:sz w:val="19"/>
                <w:szCs w:val="19"/>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12,672</w:t>
            </w:r>
          </w:p>
        </w:tc>
        <w:tc>
          <w:tcPr>
            <w:tcW w:w="2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14,301</w:t>
            </w:r>
          </w:p>
        </w:tc>
        <w:tc>
          <w:tcPr>
            <w:tcW w:w="120" w:type="dxa"/>
            <w:vAlign w:val="bottom"/>
            <w:shd w:val="clear" w:color="auto" w:fill="CFF0FC"/>
          </w:tcPr>
          <w:p>
            <w:pPr>
              <w:spacing w:after="0"/>
              <w:rPr>
                <w:sz w:val="19"/>
                <w:szCs w:val="19"/>
                <w:color w:val="auto"/>
              </w:rPr>
            </w:pPr>
          </w:p>
        </w:tc>
      </w:tr>
      <w:tr>
        <w:trPr>
          <w:trHeight w:val="230"/>
        </w:trPr>
        <w:tc>
          <w:tcPr>
            <w:tcW w:w="7720" w:type="dxa"/>
            <w:vAlign w:val="bottom"/>
            <w:tcBorders>
              <w:bottom w:val="single" w:sz="8" w:color="CFF0FC"/>
            </w:tcBorders>
          </w:tcPr>
          <w:p>
            <w:pPr>
              <w:ind w:left="260"/>
              <w:spacing w:after="0"/>
              <w:rPr>
                <w:sz w:val="20"/>
                <w:szCs w:val="20"/>
                <w:color w:val="auto"/>
              </w:rPr>
            </w:pPr>
            <w:r>
              <w:rPr>
                <w:rFonts w:ascii="Arial" w:cs="Arial" w:eastAsia="Arial" w:hAnsi="Arial"/>
                <w:sz w:val="18"/>
                <w:szCs w:val="18"/>
                <w:color w:val="auto"/>
              </w:rPr>
              <w:t>Other long-term liabilities</w:t>
            </w:r>
          </w:p>
        </w:tc>
        <w:tc>
          <w:tcPr>
            <w:tcW w:w="30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655</w:t>
            </w:r>
          </w:p>
        </w:tc>
        <w:tc>
          <w:tcPr>
            <w:tcW w:w="280" w:type="dxa"/>
            <w:vAlign w:val="bottom"/>
            <w:tcBorders>
              <w:bottom w:val="single" w:sz="8" w:color="CFF0FC"/>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163</w:t>
            </w:r>
          </w:p>
        </w:tc>
        <w:tc>
          <w:tcPr>
            <w:tcW w:w="120" w:type="dxa"/>
            <w:vAlign w:val="bottom"/>
            <w:tcBorders>
              <w:bottom w:val="single" w:sz="8" w:color="CFF0FC"/>
            </w:tcBorders>
          </w:tcPr>
          <w:p>
            <w:pPr>
              <w:spacing w:after="0"/>
              <w:rPr>
                <w:sz w:val="19"/>
                <w:szCs w:val="19"/>
                <w:color w:val="auto"/>
              </w:rPr>
            </w:pPr>
          </w:p>
        </w:tc>
      </w:tr>
      <w:tr>
        <w:trPr>
          <w:trHeight w:val="223"/>
        </w:trPr>
        <w:tc>
          <w:tcPr>
            <w:tcW w:w="7720" w:type="dxa"/>
            <w:vAlign w:val="bottom"/>
            <w:shd w:val="clear" w:color="auto" w:fill="CFF0FC"/>
          </w:tcPr>
          <w:p>
            <w:pPr>
              <w:spacing w:after="0"/>
              <w:rPr>
                <w:sz w:val="20"/>
                <w:szCs w:val="20"/>
                <w:color w:val="auto"/>
              </w:rPr>
            </w:pPr>
            <w:r>
              <w:rPr>
                <w:rFonts w:ascii="Arial" w:cs="Arial" w:eastAsia="Arial" w:hAnsi="Arial"/>
                <w:sz w:val="18"/>
                <w:szCs w:val="18"/>
                <w:color w:val="auto"/>
              </w:rPr>
              <w:t>Total long-term liabilities</w:t>
            </w:r>
          </w:p>
        </w:tc>
        <w:tc>
          <w:tcPr>
            <w:tcW w:w="300" w:type="dxa"/>
            <w:vAlign w:val="bottom"/>
            <w:tcBorders>
              <w:bottom w:val="single" w:sz="8" w:color="auto"/>
            </w:tcBorders>
            <w:shd w:val="clear" w:color="auto" w:fill="CFF0FC"/>
          </w:tcPr>
          <w:p>
            <w:pPr>
              <w:spacing w:after="0"/>
              <w:rPr>
                <w:sz w:val="19"/>
                <w:szCs w:val="19"/>
                <w:color w:val="auto"/>
              </w:rPr>
            </w:pPr>
          </w:p>
        </w:tc>
        <w:tc>
          <w:tcPr>
            <w:tcW w:w="12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72,375</w:t>
            </w:r>
          </w:p>
        </w:tc>
        <w:tc>
          <w:tcPr>
            <w:tcW w:w="280" w:type="dxa"/>
            <w:vAlign w:val="bottom"/>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13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73,628</w:t>
            </w:r>
          </w:p>
        </w:tc>
        <w:tc>
          <w:tcPr>
            <w:tcW w:w="120" w:type="dxa"/>
            <w:vAlign w:val="bottom"/>
            <w:shd w:val="clear" w:color="auto" w:fill="CFF0FC"/>
          </w:tcPr>
          <w:p>
            <w:pPr>
              <w:spacing w:after="0"/>
              <w:rPr>
                <w:sz w:val="19"/>
                <w:szCs w:val="19"/>
                <w:color w:val="auto"/>
              </w:rPr>
            </w:pPr>
          </w:p>
        </w:tc>
      </w:tr>
      <w:tr>
        <w:trPr>
          <w:trHeight w:val="223"/>
        </w:trPr>
        <w:tc>
          <w:tcPr>
            <w:tcW w:w="772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Total liabilities</w:t>
            </w:r>
          </w:p>
        </w:tc>
        <w:tc>
          <w:tcPr>
            <w:tcW w:w="3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166,060</w:t>
            </w:r>
          </w:p>
        </w:tc>
        <w:tc>
          <w:tcPr>
            <w:tcW w:w="280" w:type="dxa"/>
            <w:vAlign w:val="bottom"/>
            <w:tcBorders>
              <w:bottom w:val="single" w:sz="8" w:color="CFF0FC"/>
            </w:tcBorders>
          </w:tcPr>
          <w:p>
            <w:pPr>
              <w:spacing w:after="0"/>
              <w:rPr>
                <w:sz w:val="19"/>
                <w:szCs w:val="19"/>
                <w:color w:val="auto"/>
              </w:rPr>
            </w:pPr>
          </w:p>
        </w:tc>
        <w:tc>
          <w:tcPr>
            <w:tcW w:w="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161,156</w:t>
            </w:r>
          </w:p>
        </w:tc>
        <w:tc>
          <w:tcPr>
            <w:tcW w:w="120" w:type="dxa"/>
            <w:vAlign w:val="bottom"/>
            <w:tcBorders>
              <w:bottom w:val="single" w:sz="8" w:color="CFF0FC"/>
            </w:tcBorders>
          </w:tcPr>
          <w:p>
            <w:pPr>
              <w:spacing w:after="0"/>
              <w:rPr>
                <w:sz w:val="19"/>
                <w:szCs w:val="19"/>
                <w:color w:val="auto"/>
              </w:rPr>
            </w:pPr>
          </w:p>
        </w:tc>
      </w:tr>
      <w:tr>
        <w:trPr>
          <w:trHeight w:val="223"/>
        </w:trPr>
        <w:tc>
          <w:tcPr>
            <w:tcW w:w="7720" w:type="dxa"/>
            <w:vAlign w:val="bottom"/>
            <w:shd w:val="clear" w:color="auto" w:fill="CFF0FC"/>
          </w:tcPr>
          <w:p>
            <w:pPr>
              <w:spacing w:after="0"/>
              <w:rPr>
                <w:sz w:val="20"/>
                <w:szCs w:val="20"/>
                <w:color w:val="auto"/>
              </w:rPr>
            </w:pPr>
            <w:r>
              <w:rPr>
                <w:rFonts w:ascii="Arial" w:cs="Arial" w:eastAsia="Arial" w:hAnsi="Arial"/>
                <w:sz w:val="18"/>
                <w:szCs w:val="18"/>
                <w:color w:val="auto"/>
              </w:rPr>
              <w:t>Stockholders’ equity</w:t>
            </w:r>
          </w:p>
        </w:tc>
        <w:tc>
          <w:tcPr>
            <w:tcW w:w="300" w:type="dxa"/>
            <w:vAlign w:val="bottom"/>
            <w:shd w:val="clear" w:color="auto" w:fill="CFF0FC"/>
          </w:tcPr>
          <w:p>
            <w:pPr>
              <w:spacing w:after="0"/>
              <w:rPr>
                <w:sz w:val="19"/>
                <w:szCs w:val="19"/>
                <w:color w:val="auto"/>
              </w:rPr>
            </w:pPr>
          </w:p>
        </w:tc>
        <w:tc>
          <w:tcPr>
            <w:tcW w:w="126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3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r>
      <w:tr>
        <w:trPr>
          <w:trHeight w:val="215"/>
        </w:trPr>
        <w:tc>
          <w:tcPr>
            <w:tcW w:w="7720" w:type="dxa"/>
            <w:vAlign w:val="bottom"/>
          </w:tcPr>
          <w:p>
            <w:pPr>
              <w:ind w:left="260"/>
              <w:spacing w:after="0"/>
              <w:rPr>
                <w:sz w:val="20"/>
                <w:szCs w:val="20"/>
                <w:color w:val="auto"/>
              </w:rPr>
            </w:pPr>
            <w:r>
              <w:rPr>
                <w:rFonts w:ascii="Arial" w:cs="Arial" w:eastAsia="Arial" w:hAnsi="Arial"/>
                <w:sz w:val="18"/>
                <w:szCs w:val="18"/>
                <w:color w:val="auto"/>
              </w:rPr>
              <w:t>Common stock—$.001 par value; 40,000 authorized and 15,665 and 15,617 shares</w:t>
            </w:r>
          </w:p>
        </w:tc>
        <w:tc>
          <w:tcPr>
            <w:tcW w:w="3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30"/>
        </w:trPr>
        <w:tc>
          <w:tcPr>
            <w:tcW w:w="7720" w:type="dxa"/>
            <w:vAlign w:val="bottom"/>
          </w:tcPr>
          <w:p>
            <w:pPr>
              <w:ind w:left="380"/>
              <w:spacing w:after="0"/>
              <w:rPr>
                <w:sz w:val="20"/>
                <w:szCs w:val="20"/>
                <w:color w:val="auto"/>
              </w:rPr>
            </w:pPr>
            <w:r>
              <w:rPr>
                <w:rFonts w:ascii="Arial" w:cs="Arial" w:eastAsia="Arial" w:hAnsi="Arial"/>
                <w:sz w:val="18"/>
                <w:szCs w:val="18"/>
                <w:color w:val="auto"/>
              </w:rPr>
              <w:t>issued and outstanding as of June 30, 2020 and December 31, 2019, respectively</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16</w:t>
            </w:r>
          </w:p>
        </w:tc>
        <w:tc>
          <w:tcPr>
            <w:tcW w:w="280" w:type="dxa"/>
            <w:vAlign w:val="bottom"/>
          </w:tcPr>
          <w:p>
            <w:pPr>
              <w:spacing w:after="0"/>
              <w:rPr>
                <w:sz w:val="20"/>
                <w:szCs w:val="20"/>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15</w:t>
            </w:r>
          </w:p>
        </w:tc>
        <w:tc>
          <w:tcPr>
            <w:tcW w:w="120" w:type="dxa"/>
            <w:vAlign w:val="bottom"/>
          </w:tcPr>
          <w:p>
            <w:pPr>
              <w:spacing w:after="0"/>
              <w:rPr>
                <w:sz w:val="20"/>
                <w:szCs w:val="20"/>
                <w:color w:val="auto"/>
              </w:rPr>
            </w:pPr>
          </w:p>
        </w:tc>
      </w:tr>
      <w:tr>
        <w:trPr>
          <w:trHeight w:val="230"/>
        </w:trPr>
        <w:tc>
          <w:tcPr>
            <w:tcW w:w="77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Additional paid-in capital</w:t>
            </w:r>
          </w:p>
        </w:tc>
        <w:tc>
          <w:tcPr>
            <w:tcW w:w="300" w:type="dxa"/>
            <w:vAlign w:val="bottom"/>
            <w:shd w:val="clear" w:color="auto" w:fill="CFF0FC"/>
          </w:tcPr>
          <w:p>
            <w:pPr>
              <w:spacing w:after="0"/>
              <w:rPr>
                <w:sz w:val="19"/>
                <w:szCs w:val="19"/>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363,248</w:t>
            </w:r>
          </w:p>
        </w:tc>
        <w:tc>
          <w:tcPr>
            <w:tcW w:w="2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359,545</w:t>
            </w:r>
          </w:p>
        </w:tc>
        <w:tc>
          <w:tcPr>
            <w:tcW w:w="120" w:type="dxa"/>
            <w:vAlign w:val="bottom"/>
            <w:shd w:val="clear" w:color="auto" w:fill="CFF0FC"/>
          </w:tcPr>
          <w:p>
            <w:pPr>
              <w:spacing w:after="0"/>
              <w:rPr>
                <w:sz w:val="19"/>
                <w:szCs w:val="19"/>
                <w:color w:val="auto"/>
              </w:rPr>
            </w:pPr>
          </w:p>
        </w:tc>
      </w:tr>
      <w:tr>
        <w:trPr>
          <w:trHeight w:val="230"/>
        </w:trPr>
        <w:tc>
          <w:tcPr>
            <w:tcW w:w="7720" w:type="dxa"/>
            <w:vAlign w:val="bottom"/>
            <w:tcBorders>
              <w:bottom w:val="single" w:sz="8" w:color="CFF0FC"/>
            </w:tcBorders>
          </w:tcPr>
          <w:p>
            <w:pPr>
              <w:ind w:left="260"/>
              <w:spacing w:after="0"/>
              <w:rPr>
                <w:sz w:val="20"/>
                <w:szCs w:val="20"/>
                <w:color w:val="auto"/>
              </w:rPr>
            </w:pPr>
            <w:r>
              <w:rPr>
                <w:rFonts w:ascii="Arial" w:cs="Arial" w:eastAsia="Arial" w:hAnsi="Arial"/>
                <w:sz w:val="18"/>
                <w:szCs w:val="18"/>
                <w:color w:val="auto"/>
              </w:rPr>
              <w:t>Retained earnings</w:t>
            </w:r>
          </w:p>
        </w:tc>
        <w:tc>
          <w:tcPr>
            <w:tcW w:w="30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131,597</w:t>
            </w:r>
          </w:p>
        </w:tc>
        <w:tc>
          <w:tcPr>
            <w:tcW w:w="280" w:type="dxa"/>
            <w:vAlign w:val="bottom"/>
            <w:tcBorders>
              <w:bottom w:val="single" w:sz="8" w:color="CFF0FC"/>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116,032</w:t>
            </w:r>
          </w:p>
        </w:tc>
        <w:tc>
          <w:tcPr>
            <w:tcW w:w="120" w:type="dxa"/>
            <w:vAlign w:val="bottom"/>
            <w:tcBorders>
              <w:bottom w:val="single" w:sz="8" w:color="CFF0FC"/>
            </w:tcBorders>
          </w:tcPr>
          <w:p>
            <w:pPr>
              <w:spacing w:after="0"/>
              <w:rPr>
                <w:sz w:val="19"/>
                <w:szCs w:val="19"/>
                <w:color w:val="auto"/>
              </w:rPr>
            </w:pPr>
          </w:p>
        </w:tc>
      </w:tr>
      <w:tr>
        <w:trPr>
          <w:trHeight w:val="223"/>
        </w:trPr>
        <w:tc>
          <w:tcPr>
            <w:tcW w:w="7720" w:type="dxa"/>
            <w:vAlign w:val="bottom"/>
            <w:shd w:val="clear" w:color="auto" w:fill="CFF0FC"/>
          </w:tcPr>
          <w:p>
            <w:pPr>
              <w:spacing w:after="0"/>
              <w:rPr>
                <w:sz w:val="20"/>
                <w:szCs w:val="20"/>
                <w:color w:val="auto"/>
              </w:rPr>
            </w:pPr>
            <w:r>
              <w:rPr>
                <w:rFonts w:ascii="Arial" w:cs="Arial" w:eastAsia="Arial" w:hAnsi="Arial"/>
                <w:sz w:val="18"/>
                <w:szCs w:val="18"/>
                <w:color w:val="auto"/>
              </w:rPr>
              <w:t>Total stockholders’ equity</w:t>
            </w:r>
          </w:p>
        </w:tc>
        <w:tc>
          <w:tcPr>
            <w:tcW w:w="300" w:type="dxa"/>
            <w:vAlign w:val="bottom"/>
            <w:tcBorders>
              <w:bottom w:val="single" w:sz="8" w:color="auto"/>
            </w:tcBorders>
            <w:shd w:val="clear" w:color="auto" w:fill="CFF0FC"/>
          </w:tcPr>
          <w:p>
            <w:pPr>
              <w:spacing w:after="0"/>
              <w:rPr>
                <w:sz w:val="19"/>
                <w:szCs w:val="19"/>
                <w:color w:val="auto"/>
              </w:rPr>
            </w:pPr>
          </w:p>
        </w:tc>
        <w:tc>
          <w:tcPr>
            <w:tcW w:w="12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494,861</w:t>
            </w:r>
          </w:p>
        </w:tc>
        <w:tc>
          <w:tcPr>
            <w:tcW w:w="280" w:type="dxa"/>
            <w:vAlign w:val="bottom"/>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13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475,592</w:t>
            </w:r>
          </w:p>
        </w:tc>
        <w:tc>
          <w:tcPr>
            <w:tcW w:w="120" w:type="dxa"/>
            <w:vAlign w:val="bottom"/>
            <w:shd w:val="clear" w:color="auto" w:fill="CFF0FC"/>
          </w:tcPr>
          <w:p>
            <w:pPr>
              <w:spacing w:after="0"/>
              <w:rPr>
                <w:sz w:val="19"/>
                <w:szCs w:val="19"/>
                <w:color w:val="auto"/>
              </w:rPr>
            </w:pPr>
          </w:p>
        </w:tc>
      </w:tr>
      <w:tr>
        <w:trPr>
          <w:trHeight w:val="223"/>
        </w:trPr>
        <w:tc>
          <w:tcPr>
            <w:tcW w:w="7720" w:type="dxa"/>
            <w:vAlign w:val="bottom"/>
          </w:tcPr>
          <w:p>
            <w:pPr>
              <w:spacing w:after="0"/>
              <w:rPr>
                <w:sz w:val="20"/>
                <w:szCs w:val="20"/>
                <w:color w:val="auto"/>
              </w:rPr>
            </w:pPr>
            <w:r>
              <w:rPr>
                <w:rFonts w:ascii="Arial" w:cs="Arial" w:eastAsia="Arial" w:hAnsi="Arial"/>
                <w:sz w:val="18"/>
                <w:szCs w:val="18"/>
                <w:color w:val="auto"/>
              </w:rPr>
              <w:t>Total liabilities and stockholders’ equity</w:t>
            </w:r>
          </w:p>
        </w:tc>
        <w:tc>
          <w:tcPr>
            <w:tcW w:w="3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660,921</w:t>
            </w:r>
          </w:p>
        </w:tc>
        <w:tc>
          <w:tcPr>
            <w:tcW w:w="280" w:type="dxa"/>
            <w:vAlign w:val="bottom"/>
          </w:tcPr>
          <w:p>
            <w:pPr>
              <w:spacing w:after="0"/>
              <w:rPr>
                <w:sz w:val="19"/>
                <w:szCs w:val="19"/>
                <w:color w:val="auto"/>
              </w:rPr>
            </w:pPr>
          </w:p>
        </w:tc>
        <w:tc>
          <w:tcPr>
            <w:tcW w:w="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636,748</w:t>
            </w:r>
          </w:p>
        </w:tc>
        <w:tc>
          <w:tcPr>
            <w:tcW w:w="120" w:type="dxa"/>
            <w:vAlign w:val="bottom"/>
          </w:tcPr>
          <w:p>
            <w:pPr>
              <w:spacing w:after="0"/>
              <w:rPr>
                <w:sz w:val="19"/>
                <w:szCs w:val="19"/>
                <w:color w:val="auto"/>
              </w:rPr>
            </w:pPr>
          </w:p>
        </w:tc>
      </w:tr>
      <w:tr>
        <w:trPr>
          <w:trHeight w:val="20"/>
        </w:trPr>
        <w:tc>
          <w:tcPr>
            <w:tcW w:w="77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Condensed Consolidated Financial Statements (Unaudited)</w:t>
      </w: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223520</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ADDUS HOMECARE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AND SUBSIDIARIES</w:t>
      </w:r>
    </w:p>
    <w:p>
      <w:pPr>
        <w:spacing w:after="0" w:line="15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INCOME</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Three and Six Months Ended June 30, 2020 and 2019</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and Shares in Thousands, Except Per Share Data)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58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520" w:type="dxa"/>
            <w:vAlign w:val="bottom"/>
            <w:gridSpan w:val="5"/>
          </w:tcPr>
          <w:p>
            <w:pPr>
              <w:jc w:val="center"/>
              <w:ind w:right="500"/>
              <w:spacing w:after="0"/>
              <w:rPr>
                <w:sz w:val="20"/>
                <w:szCs w:val="20"/>
                <w:color w:val="auto"/>
              </w:rPr>
            </w:pPr>
            <w:r>
              <w:rPr>
                <w:rFonts w:ascii="Arial" w:cs="Arial" w:eastAsia="Arial" w:hAnsi="Arial"/>
                <w:sz w:val="16"/>
                <w:szCs w:val="16"/>
                <w:b w:val="1"/>
                <w:bCs w:val="1"/>
                <w:color w:val="auto"/>
                <w:w w:val="94"/>
              </w:rPr>
              <w:t>For the Three Months</w:t>
            </w:r>
          </w:p>
        </w:tc>
        <w:tc>
          <w:tcPr>
            <w:tcW w:w="240" w:type="dxa"/>
            <w:vAlign w:val="bottom"/>
          </w:tcPr>
          <w:p>
            <w:pPr>
              <w:spacing w:after="0"/>
              <w:rPr>
                <w:sz w:val="17"/>
                <w:szCs w:val="17"/>
                <w:color w:val="auto"/>
              </w:rPr>
            </w:pPr>
          </w:p>
        </w:tc>
        <w:tc>
          <w:tcPr>
            <w:tcW w:w="2400" w:type="dxa"/>
            <w:vAlign w:val="bottom"/>
            <w:gridSpan w:val="6"/>
          </w:tcPr>
          <w:p>
            <w:pPr>
              <w:ind w:left="340"/>
              <w:spacing w:after="0"/>
              <w:rPr>
                <w:sz w:val="20"/>
                <w:szCs w:val="20"/>
                <w:color w:val="auto"/>
              </w:rPr>
            </w:pPr>
            <w:r>
              <w:rPr>
                <w:rFonts w:ascii="Arial" w:cs="Arial" w:eastAsia="Arial" w:hAnsi="Arial"/>
                <w:sz w:val="16"/>
                <w:szCs w:val="16"/>
                <w:b w:val="1"/>
                <w:bCs w:val="1"/>
                <w:color w:val="auto"/>
              </w:rPr>
              <w:t>For the Six Months</w:t>
            </w:r>
          </w:p>
        </w:tc>
        <w:tc>
          <w:tcPr>
            <w:tcW w:w="0" w:type="dxa"/>
            <w:vAlign w:val="bottom"/>
          </w:tcPr>
          <w:p>
            <w:pPr>
              <w:spacing w:after="0"/>
              <w:rPr>
                <w:sz w:val="1"/>
                <w:szCs w:val="1"/>
                <w:color w:val="auto"/>
              </w:rPr>
            </w:pPr>
          </w:p>
        </w:tc>
      </w:tr>
      <w:tr>
        <w:trPr>
          <w:trHeight w:val="213"/>
        </w:trPr>
        <w:tc>
          <w:tcPr>
            <w:tcW w:w="58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520" w:type="dxa"/>
            <w:vAlign w:val="bottom"/>
            <w:gridSpan w:val="5"/>
          </w:tcPr>
          <w:p>
            <w:pPr>
              <w:jc w:val="center"/>
              <w:ind w:right="500"/>
              <w:spacing w:after="0"/>
              <w:rPr>
                <w:sz w:val="20"/>
                <w:szCs w:val="20"/>
                <w:color w:val="auto"/>
              </w:rPr>
            </w:pPr>
            <w:r>
              <w:rPr>
                <w:rFonts w:ascii="Arial" w:cs="Arial" w:eastAsia="Arial" w:hAnsi="Arial"/>
                <w:sz w:val="16"/>
                <w:szCs w:val="16"/>
                <w:b w:val="1"/>
                <w:bCs w:val="1"/>
                <w:color w:val="auto"/>
                <w:w w:val="90"/>
              </w:rPr>
              <w:t>Ended June 30,</w:t>
            </w:r>
          </w:p>
        </w:tc>
        <w:tc>
          <w:tcPr>
            <w:tcW w:w="240" w:type="dxa"/>
            <w:vAlign w:val="bottom"/>
          </w:tcPr>
          <w:p>
            <w:pPr>
              <w:spacing w:after="0"/>
              <w:rPr>
                <w:sz w:val="18"/>
                <w:szCs w:val="18"/>
                <w:color w:val="auto"/>
              </w:rPr>
            </w:pPr>
          </w:p>
        </w:tc>
        <w:tc>
          <w:tcPr>
            <w:tcW w:w="1540" w:type="dxa"/>
            <w:vAlign w:val="bottom"/>
            <w:gridSpan w:val="4"/>
          </w:tcPr>
          <w:p>
            <w:pPr>
              <w:jc w:val="right"/>
              <w:spacing w:after="0"/>
              <w:rPr>
                <w:sz w:val="20"/>
                <w:szCs w:val="20"/>
                <w:color w:val="auto"/>
              </w:rPr>
            </w:pPr>
            <w:r>
              <w:rPr>
                <w:rFonts w:ascii="Arial" w:cs="Arial" w:eastAsia="Arial" w:hAnsi="Arial"/>
                <w:sz w:val="16"/>
                <w:szCs w:val="16"/>
                <w:b w:val="1"/>
                <w:bCs w:val="1"/>
                <w:color w:val="auto"/>
              </w:rPr>
              <w:t>Ended June 30,</w:t>
            </w: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840" w:type="dxa"/>
            <w:vAlign w:val="bottom"/>
            <w:tcBorders>
              <w:bottom w:val="single" w:sz="8" w:color="CFF0FC"/>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900" w:type="dxa"/>
            <w:vAlign w:val="bottom"/>
            <w:tcBorders>
              <w:top w:val="single" w:sz="8" w:color="auto"/>
              <w:bottom w:val="single" w:sz="8" w:color="auto"/>
            </w:tcBorders>
          </w:tcPr>
          <w:p>
            <w:pPr>
              <w:jc w:val="right"/>
              <w:ind w:right="331"/>
              <w:spacing w:after="0"/>
              <w:rPr>
                <w:sz w:val="20"/>
                <w:szCs w:val="20"/>
                <w:color w:val="auto"/>
              </w:rPr>
            </w:pPr>
            <w:r>
              <w:rPr>
                <w:rFonts w:ascii="Arial" w:cs="Arial" w:eastAsia="Arial" w:hAnsi="Arial"/>
                <w:sz w:val="16"/>
                <w:szCs w:val="16"/>
                <w:b w:val="1"/>
                <w:bCs w:val="1"/>
                <w:color w:val="auto"/>
              </w:rPr>
              <w:t>2020</w:t>
            </w:r>
          </w:p>
        </w:tc>
        <w:tc>
          <w:tcPr>
            <w:tcW w:w="240" w:type="dxa"/>
            <w:vAlign w:val="bottom"/>
            <w:tcBorders>
              <w:top w:val="single" w:sz="8" w:color="auto"/>
              <w:bottom w:val="single" w:sz="8" w:color="CFF0FC"/>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900" w:type="dxa"/>
            <w:vAlign w:val="bottom"/>
            <w:tcBorders>
              <w:top w:val="single" w:sz="8" w:color="auto"/>
              <w:bottom w:val="single" w:sz="8" w:color="auto"/>
            </w:tcBorders>
          </w:tcPr>
          <w:p>
            <w:pPr>
              <w:jc w:val="right"/>
              <w:ind w:right="331"/>
              <w:spacing w:after="0"/>
              <w:rPr>
                <w:sz w:val="20"/>
                <w:szCs w:val="20"/>
                <w:color w:val="auto"/>
              </w:rPr>
            </w:pPr>
            <w:r>
              <w:rPr>
                <w:rFonts w:ascii="Arial" w:cs="Arial" w:eastAsia="Arial" w:hAnsi="Arial"/>
                <w:sz w:val="16"/>
                <w:szCs w:val="16"/>
                <w:b w:val="1"/>
                <w:bCs w:val="1"/>
                <w:color w:val="auto"/>
              </w:rPr>
              <w:t>2019</w:t>
            </w:r>
          </w:p>
        </w:tc>
        <w:tc>
          <w:tcPr>
            <w:tcW w:w="240" w:type="dxa"/>
            <w:vAlign w:val="bottom"/>
            <w:tcBorders>
              <w:bottom w:val="single" w:sz="8" w:color="CFF0FC"/>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900" w:type="dxa"/>
            <w:vAlign w:val="bottom"/>
            <w:tcBorders>
              <w:top w:val="single" w:sz="8" w:color="auto"/>
              <w:bottom w:val="single" w:sz="8" w:color="auto"/>
            </w:tcBorders>
          </w:tcPr>
          <w:p>
            <w:pPr>
              <w:jc w:val="right"/>
              <w:ind w:right="331"/>
              <w:spacing w:after="0"/>
              <w:rPr>
                <w:sz w:val="20"/>
                <w:szCs w:val="20"/>
                <w:color w:val="auto"/>
              </w:rPr>
            </w:pPr>
            <w:r>
              <w:rPr>
                <w:rFonts w:ascii="Arial" w:cs="Arial" w:eastAsia="Arial" w:hAnsi="Arial"/>
                <w:sz w:val="16"/>
                <w:szCs w:val="16"/>
                <w:b w:val="1"/>
                <w:bCs w:val="1"/>
                <w:color w:val="auto"/>
              </w:rPr>
              <w:t>2020</w:t>
            </w:r>
          </w:p>
        </w:tc>
        <w:tc>
          <w:tcPr>
            <w:tcW w:w="160" w:type="dxa"/>
            <w:vAlign w:val="bottom"/>
            <w:tcBorders>
              <w:top w:val="single" w:sz="8" w:color="auto"/>
              <w:bottom w:val="single" w:sz="8" w:color="CFF0FC"/>
            </w:tcBorders>
          </w:tcPr>
          <w:p>
            <w:pPr>
              <w:spacing w:after="0"/>
              <w:rPr>
                <w:sz w:val="18"/>
                <w:szCs w:val="18"/>
                <w:color w:val="auto"/>
              </w:rPr>
            </w:pPr>
          </w:p>
        </w:tc>
        <w:tc>
          <w:tcPr>
            <w:tcW w:w="80" w:type="dxa"/>
            <w:vAlign w:val="bottom"/>
            <w:tcBorders>
              <w:top w:val="single" w:sz="8" w:color="auto"/>
              <w:bottom w:val="single" w:sz="8" w:color="CFF0FC"/>
            </w:tcBorders>
          </w:tcPr>
          <w:p>
            <w:pPr>
              <w:spacing w:after="0"/>
              <w:rPr>
                <w:sz w:val="18"/>
                <w:szCs w:val="18"/>
                <w:color w:val="auto"/>
              </w:rPr>
            </w:pPr>
          </w:p>
        </w:tc>
        <w:tc>
          <w:tcPr>
            <w:tcW w:w="400" w:type="dxa"/>
            <w:vAlign w:val="bottom"/>
            <w:tcBorders>
              <w:top w:val="single" w:sz="8" w:color="auto"/>
              <w:bottom w:val="single" w:sz="8" w:color="auto"/>
            </w:tcBorders>
          </w:tcPr>
          <w:p>
            <w:pPr>
              <w:spacing w:after="0"/>
              <w:rPr>
                <w:sz w:val="18"/>
                <w:szCs w:val="18"/>
                <w:color w:val="auto"/>
              </w:rPr>
            </w:pPr>
          </w:p>
        </w:tc>
        <w:tc>
          <w:tcPr>
            <w:tcW w:w="760" w:type="dxa"/>
            <w:vAlign w:val="bottom"/>
            <w:tcBorders>
              <w:top w:val="single" w:sz="8" w:color="auto"/>
              <w:bottom w:val="single" w:sz="8" w:color="auto"/>
            </w:tcBorders>
          </w:tcPr>
          <w:p>
            <w:pPr>
              <w:jc w:val="right"/>
              <w:ind w:right="331"/>
              <w:spacing w:after="0"/>
              <w:rPr>
                <w:sz w:val="20"/>
                <w:szCs w:val="20"/>
                <w:color w:val="auto"/>
              </w:rPr>
            </w:pPr>
            <w:r>
              <w:rPr>
                <w:rFonts w:ascii="Arial" w:cs="Arial" w:eastAsia="Arial" w:hAnsi="Arial"/>
                <w:sz w:val="16"/>
                <w:szCs w:val="16"/>
                <w:b w:val="1"/>
                <w:bCs w:val="1"/>
                <w:color w:val="auto"/>
                <w:w w:val="89"/>
              </w:rPr>
              <w:t>2019</w:t>
            </w:r>
          </w:p>
        </w:tc>
        <w:tc>
          <w:tcPr>
            <w:tcW w:w="100" w:type="dxa"/>
            <w:vAlign w:val="bottom"/>
            <w:tcBorders>
              <w:bottom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26"/>
        </w:trPr>
        <w:tc>
          <w:tcPr>
            <w:tcW w:w="5840" w:type="dxa"/>
            <w:vAlign w:val="bottom"/>
            <w:shd w:val="clear" w:color="auto" w:fill="CFF0FC"/>
          </w:tcPr>
          <w:p>
            <w:pPr>
              <w:spacing w:after="0"/>
              <w:rPr>
                <w:sz w:val="20"/>
                <w:szCs w:val="20"/>
                <w:color w:val="auto"/>
              </w:rPr>
            </w:pPr>
            <w:r>
              <w:rPr>
                <w:rFonts w:ascii="Arial" w:cs="Arial" w:eastAsia="Arial" w:hAnsi="Arial"/>
                <w:sz w:val="18"/>
                <w:szCs w:val="18"/>
                <w:color w:val="auto"/>
              </w:rPr>
              <w:t>Net service revenues</w:t>
            </w:r>
          </w:p>
        </w:tc>
        <w:tc>
          <w:tcPr>
            <w:tcW w:w="2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184,576</w:t>
            </w:r>
          </w:p>
        </w:tc>
        <w:tc>
          <w:tcPr>
            <w:tcW w:w="240" w:type="dxa"/>
            <w:vAlign w:val="bottom"/>
            <w:shd w:val="clear" w:color="auto" w:fill="CFF0FC"/>
          </w:tcPr>
          <w:p>
            <w:pPr>
              <w:spacing w:after="0"/>
              <w:rPr>
                <w:sz w:val="19"/>
                <w:szCs w:val="19"/>
                <w:color w:val="auto"/>
              </w:rPr>
            </w:pPr>
          </w:p>
        </w:tc>
        <w:tc>
          <w:tcPr>
            <w:tcW w:w="240" w:type="dxa"/>
            <w:vAlign w:val="bottom"/>
            <w:shd w:val="clear" w:color="auto" w:fill="CFF0FC"/>
          </w:tcPr>
          <w:p>
            <w:pPr>
              <w:jc w:val="right"/>
              <w:ind w:right="87"/>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148,915</w:t>
            </w:r>
          </w:p>
        </w:tc>
        <w:tc>
          <w:tcPr>
            <w:tcW w:w="240" w:type="dxa"/>
            <w:vAlign w:val="bottom"/>
            <w:shd w:val="clear" w:color="auto" w:fill="CFF0FC"/>
          </w:tcPr>
          <w:p>
            <w:pPr>
              <w:spacing w:after="0"/>
              <w:rPr>
                <w:sz w:val="19"/>
                <w:szCs w:val="19"/>
                <w:color w:val="auto"/>
              </w:rPr>
            </w:pPr>
          </w:p>
        </w:tc>
        <w:tc>
          <w:tcPr>
            <w:tcW w:w="240" w:type="dxa"/>
            <w:vAlign w:val="bottom"/>
            <w:shd w:val="clear" w:color="auto" w:fill="CFF0FC"/>
          </w:tcPr>
          <w:p>
            <w:pPr>
              <w:jc w:val="right"/>
              <w:ind w:right="87"/>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374,792</w:t>
            </w: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400" w:type="dxa"/>
            <w:vAlign w:val="bottom"/>
            <w:shd w:val="clear" w:color="auto" w:fill="CFF0FC"/>
          </w:tcPr>
          <w:p>
            <w:pPr>
              <w:jc w:val="right"/>
              <w:ind w:right="210"/>
              <w:spacing w:after="0"/>
              <w:rPr>
                <w:sz w:val="20"/>
                <w:szCs w:val="20"/>
                <w:color w:val="auto"/>
              </w:rPr>
            </w:pPr>
            <w:r>
              <w:rPr>
                <w:rFonts w:ascii="Arial" w:cs="Arial" w:eastAsia="Arial" w:hAnsi="Arial"/>
                <w:sz w:val="18"/>
                <w:szCs w:val="18"/>
                <w:color w:val="auto"/>
                <w:w w:val="79"/>
              </w:rPr>
              <w:t>$</w:t>
            </w: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287,422</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4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Cost of service revenues</w:t>
            </w: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129,579</w:t>
            </w:r>
          </w:p>
        </w:tc>
        <w:tc>
          <w:tcPr>
            <w:tcW w:w="24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109,222</w:t>
            </w:r>
          </w:p>
        </w:tc>
        <w:tc>
          <w:tcPr>
            <w:tcW w:w="24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263,960</w:t>
            </w:r>
          </w:p>
        </w:tc>
        <w:tc>
          <w:tcPr>
            <w:tcW w:w="16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210,902</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840" w:type="dxa"/>
            <w:vAlign w:val="bottom"/>
            <w:shd w:val="clear" w:color="auto" w:fill="CFF0FC"/>
          </w:tcPr>
          <w:p>
            <w:pPr>
              <w:spacing w:after="0"/>
              <w:rPr>
                <w:sz w:val="20"/>
                <w:szCs w:val="20"/>
                <w:color w:val="auto"/>
              </w:rPr>
            </w:pPr>
            <w:r>
              <w:rPr>
                <w:rFonts w:ascii="Arial" w:cs="Arial" w:eastAsia="Arial" w:hAnsi="Arial"/>
                <w:sz w:val="18"/>
                <w:szCs w:val="18"/>
                <w:color w:val="auto"/>
              </w:rPr>
              <w:t>Gross profit</w:t>
            </w:r>
          </w:p>
        </w:tc>
        <w:tc>
          <w:tcPr>
            <w:tcW w:w="24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54,997</w:t>
            </w:r>
          </w:p>
        </w:tc>
        <w:tc>
          <w:tcPr>
            <w:tcW w:w="2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39,693</w:t>
            </w:r>
          </w:p>
        </w:tc>
        <w:tc>
          <w:tcPr>
            <w:tcW w:w="2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110,832</w:t>
            </w: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76,520</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40" w:type="dxa"/>
            <w:vAlign w:val="bottom"/>
          </w:tcPr>
          <w:p>
            <w:pPr>
              <w:spacing w:after="0"/>
              <w:rPr>
                <w:sz w:val="20"/>
                <w:szCs w:val="20"/>
                <w:color w:val="auto"/>
              </w:rPr>
            </w:pPr>
            <w:r>
              <w:rPr>
                <w:rFonts w:ascii="Arial" w:cs="Arial" w:eastAsia="Arial" w:hAnsi="Arial"/>
                <w:sz w:val="18"/>
                <w:szCs w:val="18"/>
                <w:color w:val="auto"/>
              </w:rPr>
              <w:t>General and administrative expenses</w:t>
            </w: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42,450</w:t>
            </w: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29,767</w:t>
            </w: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84,737</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59,024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840" w:type="dxa"/>
            <w:vAlign w:val="bottom"/>
            <w:shd w:val="clear" w:color="auto" w:fill="CFF0FC"/>
          </w:tcPr>
          <w:p>
            <w:pPr>
              <w:spacing w:after="0"/>
              <w:rPr>
                <w:sz w:val="20"/>
                <w:szCs w:val="20"/>
                <w:color w:val="auto"/>
              </w:rPr>
            </w:pPr>
            <w:r>
              <w:rPr>
                <w:rFonts w:ascii="Arial" w:cs="Arial" w:eastAsia="Arial" w:hAnsi="Arial"/>
                <w:sz w:val="18"/>
                <w:szCs w:val="18"/>
                <w:color w:val="auto"/>
              </w:rPr>
              <w:t>Depreciation and amortization</w:t>
            </w:r>
          </w:p>
        </w:tc>
        <w:tc>
          <w:tcPr>
            <w:tcW w:w="240" w:type="dxa"/>
            <w:vAlign w:val="bottom"/>
            <w:tcBorders>
              <w:bottom w:val="single" w:sz="8" w:color="auto"/>
            </w:tcBorders>
            <w:shd w:val="clear" w:color="auto" w:fill="CFF0FC"/>
          </w:tcPr>
          <w:p>
            <w:pPr>
              <w:spacing w:after="0"/>
              <w:rPr>
                <w:sz w:val="19"/>
                <w:szCs w:val="19"/>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2,940</w:t>
            </w:r>
          </w:p>
        </w:tc>
        <w:tc>
          <w:tcPr>
            <w:tcW w:w="24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2,535</w:t>
            </w:r>
          </w:p>
        </w:tc>
        <w:tc>
          <w:tcPr>
            <w:tcW w:w="24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5,827</w:t>
            </w: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400" w:type="dxa"/>
            <w:vAlign w:val="bottom"/>
            <w:tcBorders>
              <w:bottom w:val="single" w:sz="8" w:color="auto"/>
            </w:tcBorders>
            <w:shd w:val="clear" w:color="auto" w:fill="CFF0FC"/>
          </w:tcPr>
          <w:p>
            <w:pPr>
              <w:spacing w:after="0"/>
              <w:rPr>
                <w:sz w:val="19"/>
                <w:szCs w:val="19"/>
                <w:color w:val="auto"/>
              </w:rPr>
            </w:pPr>
          </w:p>
        </w:tc>
        <w:tc>
          <w:tcPr>
            <w:tcW w:w="7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4,609</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84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Total operating expenses</w:t>
            </w: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45,390</w:t>
            </w:r>
          </w:p>
        </w:tc>
        <w:tc>
          <w:tcPr>
            <w:tcW w:w="24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32,302</w:t>
            </w:r>
          </w:p>
        </w:tc>
        <w:tc>
          <w:tcPr>
            <w:tcW w:w="24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90,564</w:t>
            </w:r>
          </w:p>
        </w:tc>
        <w:tc>
          <w:tcPr>
            <w:tcW w:w="16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63,633</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840" w:type="dxa"/>
            <w:vAlign w:val="bottom"/>
            <w:shd w:val="clear" w:color="auto" w:fill="CFF0FC"/>
          </w:tcPr>
          <w:p>
            <w:pPr>
              <w:spacing w:after="0"/>
              <w:rPr>
                <w:sz w:val="20"/>
                <w:szCs w:val="20"/>
                <w:color w:val="auto"/>
              </w:rPr>
            </w:pPr>
            <w:r>
              <w:rPr>
                <w:rFonts w:ascii="Arial" w:cs="Arial" w:eastAsia="Arial" w:hAnsi="Arial"/>
                <w:sz w:val="18"/>
                <w:szCs w:val="18"/>
                <w:color w:val="auto"/>
              </w:rPr>
              <w:t>Operating income</w:t>
            </w:r>
          </w:p>
        </w:tc>
        <w:tc>
          <w:tcPr>
            <w:tcW w:w="240" w:type="dxa"/>
            <w:vAlign w:val="bottom"/>
            <w:tcBorders>
              <w:bottom w:val="single" w:sz="8" w:color="auto"/>
            </w:tcBorders>
            <w:shd w:val="clear" w:color="auto" w:fill="CFF0FC"/>
          </w:tcPr>
          <w:p>
            <w:pPr>
              <w:spacing w:after="0"/>
              <w:rPr>
                <w:sz w:val="19"/>
                <w:szCs w:val="19"/>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9,607</w:t>
            </w:r>
          </w:p>
        </w:tc>
        <w:tc>
          <w:tcPr>
            <w:tcW w:w="24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7,391</w:t>
            </w:r>
          </w:p>
        </w:tc>
        <w:tc>
          <w:tcPr>
            <w:tcW w:w="24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20,268</w:t>
            </w: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400" w:type="dxa"/>
            <w:vAlign w:val="bottom"/>
            <w:tcBorders>
              <w:bottom w:val="single" w:sz="8" w:color="auto"/>
            </w:tcBorders>
            <w:shd w:val="clear" w:color="auto" w:fill="CFF0FC"/>
          </w:tcPr>
          <w:p>
            <w:pPr>
              <w:spacing w:after="0"/>
              <w:rPr>
                <w:sz w:val="19"/>
                <w:szCs w:val="19"/>
                <w:color w:val="auto"/>
              </w:rPr>
            </w:pPr>
          </w:p>
        </w:tc>
        <w:tc>
          <w:tcPr>
            <w:tcW w:w="7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12,887</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840" w:type="dxa"/>
            <w:vAlign w:val="bottom"/>
          </w:tcPr>
          <w:p>
            <w:pPr>
              <w:spacing w:after="0"/>
              <w:rPr>
                <w:sz w:val="20"/>
                <w:szCs w:val="20"/>
                <w:color w:val="auto"/>
              </w:rPr>
            </w:pPr>
            <w:r>
              <w:rPr>
                <w:rFonts w:ascii="Arial" w:cs="Arial" w:eastAsia="Arial" w:hAnsi="Arial"/>
                <w:sz w:val="18"/>
                <w:szCs w:val="18"/>
                <w:color w:val="auto"/>
              </w:rPr>
              <w:t>Interest income</w:t>
            </w: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(155)</w:t>
            </w: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(95)</w:t>
            </w: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(489)</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(310)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840" w:type="dxa"/>
            <w:vAlign w:val="bottom"/>
            <w:shd w:val="clear" w:color="auto" w:fill="CFF0FC"/>
          </w:tcPr>
          <w:p>
            <w:pPr>
              <w:spacing w:after="0"/>
              <w:rPr>
                <w:sz w:val="20"/>
                <w:szCs w:val="20"/>
                <w:color w:val="auto"/>
              </w:rPr>
            </w:pPr>
            <w:r>
              <w:rPr>
                <w:rFonts w:ascii="Arial" w:cs="Arial" w:eastAsia="Arial" w:hAnsi="Arial"/>
                <w:sz w:val="18"/>
                <w:szCs w:val="18"/>
                <w:color w:val="auto"/>
              </w:rPr>
              <w:t>Interest expense</w:t>
            </w:r>
          </w:p>
        </w:tc>
        <w:tc>
          <w:tcPr>
            <w:tcW w:w="240" w:type="dxa"/>
            <w:vAlign w:val="bottom"/>
            <w:tcBorders>
              <w:bottom w:val="single" w:sz="8" w:color="auto"/>
            </w:tcBorders>
            <w:shd w:val="clear" w:color="auto" w:fill="CFF0FC"/>
          </w:tcPr>
          <w:p>
            <w:pPr>
              <w:spacing w:after="0"/>
              <w:rPr>
                <w:sz w:val="19"/>
                <w:szCs w:val="19"/>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721</w:t>
            </w:r>
          </w:p>
        </w:tc>
        <w:tc>
          <w:tcPr>
            <w:tcW w:w="24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680</w:t>
            </w:r>
          </w:p>
        </w:tc>
        <w:tc>
          <w:tcPr>
            <w:tcW w:w="24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1,629</w:t>
            </w: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400" w:type="dxa"/>
            <w:vAlign w:val="bottom"/>
            <w:tcBorders>
              <w:bottom w:val="single" w:sz="8" w:color="auto"/>
            </w:tcBorders>
            <w:shd w:val="clear" w:color="auto" w:fill="CFF0FC"/>
          </w:tcPr>
          <w:p>
            <w:pPr>
              <w:spacing w:after="0"/>
              <w:rPr>
                <w:sz w:val="19"/>
                <w:szCs w:val="19"/>
                <w:color w:val="auto"/>
              </w:rPr>
            </w:pPr>
          </w:p>
        </w:tc>
        <w:tc>
          <w:tcPr>
            <w:tcW w:w="7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1,298</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840" w:type="dxa"/>
            <w:vAlign w:val="bottom"/>
          </w:tcPr>
          <w:p>
            <w:pPr>
              <w:spacing w:after="0"/>
              <w:rPr>
                <w:sz w:val="20"/>
                <w:szCs w:val="20"/>
                <w:color w:val="auto"/>
              </w:rPr>
            </w:pPr>
            <w:r>
              <w:rPr>
                <w:rFonts w:ascii="Arial" w:cs="Arial" w:eastAsia="Arial" w:hAnsi="Arial"/>
                <w:sz w:val="18"/>
                <w:szCs w:val="18"/>
                <w:color w:val="auto"/>
              </w:rPr>
              <w:t>Total interest expense, net</w:t>
            </w: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566</w:t>
            </w: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585</w:t>
            </w: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1,140</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988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840" w:type="dxa"/>
            <w:vAlign w:val="bottom"/>
            <w:shd w:val="clear" w:color="auto" w:fill="CFF0FC"/>
          </w:tcPr>
          <w:p>
            <w:pPr>
              <w:spacing w:after="0"/>
              <w:rPr>
                <w:sz w:val="20"/>
                <w:szCs w:val="20"/>
                <w:color w:val="auto"/>
              </w:rPr>
            </w:pPr>
            <w:r>
              <w:rPr>
                <w:rFonts w:ascii="Arial" w:cs="Arial" w:eastAsia="Arial" w:hAnsi="Arial"/>
                <w:sz w:val="18"/>
                <w:szCs w:val="18"/>
                <w:color w:val="auto"/>
              </w:rPr>
              <w:t>Income before income taxes</w:t>
            </w:r>
          </w:p>
        </w:tc>
        <w:tc>
          <w:tcPr>
            <w:tcW w:w="24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9,041</w:t>
            </w:r>
          </w:p>
        </w:tc>
        <w:tc>
          <w:tcPr>
            <w:tcW w:w="2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6,806</w:t>
            </w:r>
          </w:p>
        </w:tc>
        <w:tc>
          <w:tcPr>
            <w:tcW w:w="2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19,128</w:t>
            </w: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11,899</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84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Income tax expense</w:t>
            </w: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2,134</w:t>
            </w:r>
          </w:p>
        </w:tc>
        <w:tc>
          <w:tcPr>
            <w:tcW w:w="24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1,514</w:t>
            </w:r>
          </w:p>
        </w:tc>
        <w:tc>
          <w:tcPr>
            <w:tcW w:w="24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3,563</w:t>
            </w:r>
          </w:p>
        </w:tc>
        <w:tc>
          <w:tcPr>
            <w:tcW w:w="16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2,311</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84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Net income</w:t>
            </w:r>
          </w:p>
        </w:tc>
        <w:tc>
          <w:tcPr>
            <w:tcW w:w="24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6,907</w:t>
            </w:r>
          </w:p>
        </w:tc>
        <w:tc>
          <w:tcPr>
            <w:tcW w:w="240" w:type="dxa"/>
            <w:vAlign w:val="bottom"/>
            <w:tcBorders>
              <w:bottom w:val="single" w:sz="8" w:color="CFF0FC"/>
            </w:tcBorders>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jc w:val="right"/>
              <w:ind w:right="87"/>
              <w:spacing w:after="0"/>
              <w:rPr>
                <w:sz w:val="20"/>
                <w:szCs w:val="20"/>
                <w:color w:val="auto"/>
              </w:rPr>
            </w:pPr>
            <w:r>
              <w:rPr>
                <w:rFonts w:ascii="Arial" w:cs="Arial" w:eastAsia="Arial" w:hAnsi="Arial"/>
                <w:sz w:val="15"/>
                <w:szCs w:val="15"/>
                <w:color w:val="auto"/>
                <w:w w:val="71"/>
              </w:rPr>
              <w:t>$</w:t>
            </w: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5,292</w:t>
            </w:r>
          </w:p>
        </w:tc>
        <w:tc>
          <w:tcPr>
            <w:tcW w:w="240" w:type="dxa"/>
            <w:vAlign w:val="bottom"/>
            <w:tcBorders>
              <w:bottom w:val="single" w:sz="8" w:color="CFF0FC"/>
            </w:tcBorders>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jc w:val="right"/>
              <w:ind w:right="87"/>
              <w:spacing w:after="0"/>
              <w:rPr>
                <w:sz w:val="20"/>
                <w:szCs w:val="20"/>
                <w:color w:val="auto"/>
              </w:rPr>
            </w:pPr>
            <w:r>
              <w:rPr>
                <w:rFonts w:ascii="Arial" w:cs="Arial" w:eastAsia="Arial" w:hAnsi="Arial"/>
                <w:sz w:val="15"/>
                <w:szCs w:val="15"/>
                <w:color w:val="auto"/>
                <w:w w:val="71"/>
              </w:rPr>
              <w:t>$</w:t>
            </w: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15,565</w:t>
            </w:r>
          </w:p>
        </w:tc>
        <w:tc>
          <w:tcPr>
            <w:tcW w:w="160" w:type="dxa"/>
            <w:vAlign w:val="bottom"/>
            <w:tcBorders>
              <w:bottom w:val="single" w:sz="8" w:color="CFF0FC"/>
            </w:tcBorders>
            <w:shd w:val="clear" w:color="auto" w:fill="CFF0FC"/>
          </w:tcPr>
          <w:p>
            <w:pPr>
              <w:spacing w:after="0"/>
              <w:rPr>
                <w:sz w:val="19"/>
                <w:szCs w:val="19"/>
                <w:color w:val="auto"/>
              </w:rPr>
            </w:pPr>
          </w:p>
        </w:tc>
        <w:tc>
          <w:tcPr>
            <w:tcW w:w="80" w:type="dxa"/>
            <w:vAlign w:val="bottom"/>
            <w:tcBorders>
              <w:bottom w:val="single" w:sz="8" w:color="CFF0FC"/>
            </w:tcBorders>
            <w:shd w:val="clear" w:color="auto" w:fill="CFF0FC"/>
          </w:tcPr>
          <w:p>
            <w:pPr>
              <w:spacing w:after="0"/>
              <w:rPr>
                <w:sz w:val="19"/>
                <w:szCs w:val="19"/>
                <w:color w:val="auto"/>
              </w:rPr>
            </w:pPr>
          </w:p>
        </w:tc>
        <w:tc>
          <w:tcPr>
            <w:tcW w:w="400" w:type="dxa"/>
            <w:vAlign w:val="bottom"/>
            <w:tcBorders>
              <w:bottom w:val="single" w:sz="8" w:color="auto"/>
            </w:tcBorders>
            <w:shd w:val="clear" w:color="auto" w:fill="CFF0FC"/>
          </w:tcPr>
          <w:p>
            <w:pPr>
              <w:jc w:val="right"/>
              <w:ind w:right="210"/>
              <w:spacing w:after="0"/>
              <w:rPr>
                <w:sz w:val="20"/>
                <w:szCs w:val="20"/>
                <w:color w:val="auto"/>
              </w:rPr>
            </w:pPr>
            <w:r>
              <w:rPr>
                <w:rFonts w:ascii="Arial" w:cs="Arial" w:eastAsia="Arial" w:hAnsi="Arial"/>
                <w:sz w:val="18"/>
                <w:szCs w:val="18"/>
                <w:color w:val="auto"/>
                <w:w w:val="79"/>
              </w:rPr>
              <w:t>$</w:t>
            </w:r>
          </w:p>
        </w:tc>
        <w:tc>
          <w:tcPr>
            <w:tcW w:w="7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9,588</w:t>
            </w:r>
          </w:p>
        </w:tc>
        <w:tc>
          <w:tcPr>
            <w:tcW w:w="10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840" w:type="dxa"/>
            <w:vAlign w:val="bottom"/>
            <w:vMerge w:val="restart"/>
          </w:tcPr>
          <w:p>
            <w:pPr>
              <w:spacing w:after="0"/>
              <w:rPr>
                <w:sz w:val="20"/>
                <w:szCs w:val="20"/>
                <w:color w:val="auto"/>
              </w:rPr>
            </w:pPr>
            <w:r>
              <w:rPr>
                <w:rFonts w:ascii="Arial" w:cs="Arial" w:eastAsia="Arial" w:hAnsi="Arial"/>
                <w:sz w:val="18"/>
                <w:szCs w:val="18"/>
                <w:color w:val="auto"/>
              </w:rPr>
              <w:t>Net income per common share</w:t>
            </w: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840" w:type="dxa"/>
            <w:vAlign w:val="bottom"/>
            <w:vMerge w:val="continue"/>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58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Basic income per share</w:t>
            </w:r>
          </w:p>
        </w:tc>
        <w:tc>
          <w:tcPr>
            <w:tcW w:w="2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0.44</w:t>
            </w:r>
          </w:p>
        </w:tc>
        <w:tc>
          <w:tcPr>
            <w:tcW w:w="240" w:type="dxa"/>
            <w:vAlign w:val="bottom"/>
            <w:shd w:val="clear" w:color="auto" w:fill="CFF0FC"/>
          </w:tcPr>
          <w:p>
            <w:pPr>
              <w:spacing w:after="0"/>
              <w:rPr>
                <w:sz w:val="19"/>
                <w:szCs w:val="19"/>
                <w:color w:val="auto"/>
              </w:rPr>
            </w:pPr>
          </w:p>
        </w:tc>
        <w:tc>
          <w:tcPr>
            <w:tcW w:w="240" w:type="dxa"/>
            <w:vAlign w:val="bottom"/>
            <w:shd w:val="clear" w:color="auto" w:fill="CFF0FC"/>
          </w:tcPr>
          <w:p>
            <w:pPr>
              <w:jc w:val="right"/>
              <w:ind w:right="87"/>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0.41</w:t>
            </w:r>
          </w:p>
        </w:tc>
        <w:tc>
          <w:tcPr>
            <w:tcW w:w="240" w:type="dxa"/>
            <w:vAlign w:val="bottom"/>
            <w:shd w:val="clear" w:color="auto" w:fill="CFF0FC"/>
          </w:tcPr>
          <w:p>
            <w:pPr>
              <w:spacing w:after="0"/>
              <w:rPr>
                <w:sz w:val="19"/>
                <w:szCs w:val="19"/>
                <w:color w:val="auto"/>
              </w:rPr>
            </w:pPr>
          </w:p>
        </w:tc>
        <w:tc>
          <w:tcPr>
            <w:tcW w:w="240" w:type="dxa"/>
            <w:vAlign w:val="bottom"/>
            <w:shd w:val="clear" w:color="auto" w:fill="CFF0FC"/>
          </w:tcPr>
          <w:p>
            <w:pPr>
              <w:jc w:val="right"/>
              <w:ind w:right="87"/>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1.00</w:t>
            </w:r>
          </w:p>
        </w:tc>
        <w:tc>
          <w:tcPr>
            <w:tcW w:w="160" w:type="dxa"/>
            <w:vAlign w:val="bottom"/>
            <w:shd w:val="clear" w:color="auto" w:fill="CFF0FC"/>
          </w:tcPr>
          <w:p>
            <w:pPr>
              <w:spacing w:after="0"/>
              <w:rPr>
                <w:sz w:val="19"/>
                <w:szCs w:val="19"/>
                <w:color w:val="auto"/>
              </w:rPr>
            </w:pPr>
          </w:p>
        </w:tc>
        <w:tc>
          <w:tcPr>
            <w:tcW w:w="480" w:type="dxa"/>
            <w:vAlign w:val="bottom"/>
            <w:gridSpan w:val="2"/>
            <w:shd w:val="clear" w:color="auto" w:fill="CFF0FC"/>
          </w:tcPr>
          <w:p>
            <w:pPr>
              <w:jc w:val="right"/>
              <w:ind w:right="210"/>
              <w:spacing w:after="0"/>
              <w:rPr>
                <w:sz w:val="20"/>
                <w:szCs w:val="20"/>
                <w:color w:val="auto"/>
              </w:rPr>
            </w:pPr>
            <w:r>
              <w:rPr>
                <w:rFonts w:ascii="Arial" w:cs="Arial" w:eastAsia="Arial" w:hAnsi="Arial"/>
                <w:sz w:val="18"/>
                <w:szCs w:val="18"/>
                <w:color w:val="auto"/>
              </w:rPr>
              <w:t>$</w:t>
            </w: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0.74</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40" w:type="dxa"/>
            <w:vAlign w:val="bottom"/>
          </w:tcPr>
          <w:p>
            <w:pPr>
              <w:ind w:left="260"/>
              <w:spacing w:after="0"/>
              <w:rPr>
                <w:sz w:val="20"/>
                <w:szCs w:val="20"/>
                <w:color w:val="auto"/>
              </w:rPr>
            </w:pPr>
            <w:r>
              <w:rPr>
                <w:rFonts w:ascii="Arial" w:cs="Arial" w:eastAsia="Arial" w:hAnsi="Arial"/>
                <w:sz w:val="18"/>
                <w:szCs w:val="18"/>
                <w:color w:val="auto"/>
              </w:rPr>
              <w:t>Diluted income per share</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0.43</w:t>
            </w:r>
          </w:p>
        </w:tc>
        <w:tc>
          <w:tcPr>
            <w:tcW w:w="240" w:type="dxa"/>
            <w:vAlign w:val="bottom"/>
          </w:tcPr>
          <w:p>
            <w:pPr>
              <w:spacing w:after="0"/>
              <w:rPr>
                <w:sz w:val="19"/>
                <w:szCs w:val="19"/>
                <w:color w:val="auto"/>
              </w:rPr>
            </w:pPr>
          </w:p>
        </w:tc>
        <w:tc>
          <w:tcPr>
            <w:tcW w:w="240" w:type="dxa"/>
            <w:vAlign w:val="bottom"/>
          </w:tcPr>
          <w:p>
            <w:pPr>
              <w:jc w:val="right"/>
              <w:ind w:right="87"/>
              <w:spacing w:after="0"/>
              <w:rPr>
                <w:sz w:val="20"/>
                <w:szCs w:val="20"/>
                <w:color w:val="auto"/>
              </w:rPr>
            </w:pPr>
            <w:r>
              <w:rPr>
                <w:rFonts w:ascii="Arial" w:cs="Arial" w:eastAsia="Arial" w:hAnsi="Arial"/>
                <w:sz w:val="15"/>
                <w:szCs w:val="15"/>
                <w:color w:val="auto"/>
                <w:w w:val="71"/>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0.39</w:t>
            </w:r>
          </w:p>
        </w:tc>
        <w:tc>
          <w:tcPr>
            <w:tcW w:w="240" w:type="dxa"/>
            <w:vAlign w:val="bottom"/>
          </w:tcPr>
          <w:p>
            <w:pPr>
              <w:spacing w:after="0"/>
              <w:rPr>
                <w:sz w:val="19"/>
                <w:szCs w:val="19"/>
                <w:color w:val="auto"/>
              </w:rPr>
            </w:pPr>
          </w:p>
        </w:tc>
        <w:tc>
          <w:tcPr>
            <w:tcW w:w="240" w:type="dxa"/>
            <w:vAlign w:val="bottom"/>
          </w:tcPr>
          <w:p>
            <w:pPr>
              <w:jc w:val="right"/>
              <w:ind w:right="87"/>
              <w:spacing w:after="0"/>
              <w:rPr>
                <w:sz w:val="20"/>
                <w:szCs w:val="20"/>
                <w:color w:val="auto"/>
              </w:rPr>
            </w:pPr>
            <w:r>
              <w:rPr>
                <w:rFonts w:ascii="Arial" w:cs="Arial" w:eastAsia="Arial" w:hAnsi="Arial"/>
                <w:sz w:val="15"/>
                <w:szCs w:val="15"/>
                <w:color w:val="auto"/>
                <w:w w:val="71"/>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0.98</w:t>
            </w:r>
          </w:p>
        </w:tc>
        <w:tc>
          <w:tcPr>
            <w:tcW w:w="160" w:type="dxa"/>
            <w:vAlign w:val="bottom"/>
          </w:tcPr>
          <w:p>
            <w:pPr>
              <w:spacing w:after="0"/>
              <w:rPr>
                <w:sz w:val="19"/>
                <w:szCs w:val="19"/>
                <w:color w:val="auto"/>
              </w:rPr>
            </w:pPr>
          </w:p>
        </w:tc>
        <w:tc>
          <w:tcPr>
            <w:tcW w:w="480" w:type="dxa"/>
            <w:vAlign w:val="bottom"/>
            <w:gridSpan w:val="2"/>
          </w:tcPr>
          <w:p>
            <w:pPr>
              <w:jc w:val="right"/>
              <w:ind w:right="210"/>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0.71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5840" w:type="dxa"/>
            <w:vAlign w:val="bottom"/>
            <w:shd w:val="clear" w:color="auto" w:fill="CFF0FC"/>
          </w:tcPr>
          <w:p>
            <w:pPr>
              <w:spacing w:after="0"/>
              <w:rPr>
                <w:sz w:val="20"/>
                <w:szCs w:val="20"/>
                <w:color w:val="auto"/>
              </w:rPr>
            </w:pPr>
            <w:r>
              <w:rPr>
                <w:rFonts w:ascii="Arial" w:cs="Arial" w:eastAsia="Arial" w:hAnsi="Arial"/>
                <w:sz w:val="18"/>
                <w:szCs w:val="18"/>
                <w:color w:val="auto"/>
              </w:rPr>
              <w:t>Weighted average number of common shares and potential common</w:t>
            </w:r>
          </w:p>
        </w:tc>
        <w:tc>
          <w:tcPr>
            <w:tcW w:w="24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840" w:type="dxa"/>
            <w:vAlign w:val="bottom"/>
            <w:shd w:val="clear" w:color="auto" w:fill="CFF0FC"/>
          </w:tcPr>
          <w:p>
            <w:pPr>
              <w:ind w:left="140"/>
              <w:spacing w:after="0"/>
              <w:rPr>
                <w:sz w:val="20"/>
                <w:szCs w:val="20"/>
                <w:color w:val="auto"/>
              </w:rPr>
            </w:pPr>
            <w:r>
              <w:rPr>
                <w:rFonts w:ascii="Arial" w:cs="Arial" w:eastAsia="Arial" w:hAnsi="Arial"/>
                <w:sz w:val="18"/>
                <w:szCs w:val="18"/>
                <w:color w:val="auto"/>
              </w:rPr>
              <w:t>shares outstanding:</w:t>
            </w:r>
          </w:p>
        </w:tc>
        <w:tc>
          <w:tcPr>
            <w:tcW w:w="240" w:type="dxa"/>
            <w:vAlign w:val="bottom"/>
            <w:shd w:val="clear" w:color="auto" w:fill="CFF0FC"/>
          </w:tcPr>
          <w:p>
            <w:pPr>
              <w:spacing w:after="0"/>
              <w:rPr>
                <w:sz w:val="20"/>
                <w:szCs w:val="20"/>
                <w:color w:val="auto"/>
              </w:rPr>
            </w:pPr>
          </w:p>
        </w:tc>
        <w:tc>
          <w:tcPr>
            <w:tcW w:w="90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90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90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400" w:type="dxa"/>
            <w:vAlign w:val="bottom"/>
            <w:shd w:val="clear" w:color="auto" w:fill="CFF0FC"/>
          </w:tcPr>
          <w:p>
            <w:pPr>
              <w:spacing w:after="0"/>
              <w:rPr>
                <w:sz w:val="20"/>
                <w:szCs w:val="20"/>
                <w:color w:val="auto"/>
              </w:rPr>
            </w:pPr>
          </w:p>
        </w:tc>
        <w:tc>
          <w:tcPr>
            <w:tcW w:w="76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5840" w:type="dxa"/>
            <w:vAlign w:val="bottom"/>
          </w:tcPr>
          <w:p>
            <w:pPr>
              <w:ind w:left="260"/>
              <w:spacing w:after="0"/>
              <w:rPr>
                <w:sz w:val="20"/>
                <w:szCs w:val="20"/>
                <w:color w:val="auto"/>
              </w:rPr>
            </w:pPr>
            <w:r>
              <w:rPr>
                <w:rFonts w:ascii="Arial" w:cs="Arial" w:eastAsia="Arial" w:hAnsi="Arial"/>
                <w:sz w:val="18"/>
                <w:szCs w:val="18"/>
                <w:color w:val="auto"/>
              </w:rPr>
              <w:t>Basic</w:t>
            </w: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15,582</w:t>
            </w: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13,044</w:t>
            </w: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15,551</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13,019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Diluted</w:t>
            </w:r>
          </w:p>
        </w:tc>
        <w:tc>
          <w:tcPr>
            <w:tcW w:w="24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15,916</w:t>
            </w:r>
          </w:p>
        </w:tc>
        <w:tc>
          <w:tcPr>
            <w:tcW w:w="2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13,433</w:t>
            </w:r>
          </w:p>
        </w:tc>
        <w:tc>
          <w:tcPr>
            <w:tcW w:w="2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15,917</w:t>
            </w: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13,413</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bl>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Condensed Consolidated Financial Statements (Unaudited)</w:t>
      </w: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223520</wp:posOffset>
            </wp:positionV>
            <wp:extent cx="71323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ADDUS HOMECARE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AND SUBSIDIARIES</w:t>
      </w:r>
    </w:p>
    <w:p>
      <w:pPr>
        <w:spacing w:after="0" w:line="15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STOCKHOLDERS’ EQUITY</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Three and Six Months Ended June 30, 2020 and 2019</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and Shares in Thousands)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83"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200" w:type="dxa"/>
            <w:vAlign w:val="bottom"/>
          </w:tcPr>
          <w:p>
            <w:pPr>
              <w:spacing w:after="0"/>
              <w:rPr>
                <w:sz w:val="14"/>
                <w:szCs w:val="14"/>
                <w:color w:val="auto"/>
              </w:rPr>
            </w:pPr>
          </w:p>
        </w:tc>
        <w:tc>
          <w:tcPr>
            <w:tcW w:w="100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3300" w:type="dxa"/>
            <w:vAlign w:val="bottom"/>
            <w:tcBorders>
              <w:bottom w:val="single" w:sz="8" w:color="auto"/>
            </w:tcBorders>
            <w:gridSpan w:val="8"/>
          </w:tcPr>
          <w:p>
            <w:pPr>
              <w:jc w:val="center"/>
              <w:ind w:right="580"/>
              <w:spacing w:after="0"/>
              <w:rPr>
                <w:sz w:val="20"/>
                <w:szCs w:val="20"/>
                <w:color w:val="auto"/>
              </w:rPr>
            </w:pPr>
            <w:r>
              <w:rPr>
                <w:rFonts w:ascii="Arial" w:cs="Arial" w:eastAsia="Arial" w:hAnsi="Arial"/>
                <w:sz w:val="14"/>
                <w:szCs w:val="14"/>
                <w:b w:val="1"/>
                <w:bCs w:val="1"/>
                <w:color w:val="auto"/>
                <w:w w:val="94"/>
              </w:rPr>
              <w:t>For the Three Months Ended June 30, 2020</w:t>
            </w:r>
          </w:p>
        </w:tc>
        <w:tc>
          <w:tcPr>
            <w:tcW w:w="20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52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80" w:type="dxa"/>
            <w:vAlign w:val="bottom"/>
          </w:tcPr>
          <w:p>
            <w:pPr>
              <w:jc w:val="center"/>
              <w:ind w:right="56"/>
              <w:spacing w:after="0" w:line="133" w:lineRule="exact"/>
              <w:rPr>
                <w:sz w:val="20"/>
                <w:szCs w:val="20"/>
                <w:color w:val="auto"/>
              </w:rPr>
            </w:pPr>
            <w:r>
              <w:rPr>
                <w:rFonts w:ascii="Arial" w:cs="Arial" w:eastAsia="Arial" w:hAnsi="Arial"/>
                <w:sz w:val="14"/>
                <w:szCs w:val="14"/>
                <w:b w:val="1"/>
                <w:bCs w:val="1"/>
                <w:color w:val="auto"/>
                <w:w w:val="96"/>
              </w:rPr>
              <w:t>Additional</w:t>
            </w: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6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Retained</w:t>
            </w:r>
          </w:p>
        </w:tc>
        <w:tc>
          <w:tcPr>
            <w:tcW w:w="200" w:type="dxa"/>
            <w:vAlign w:val="bottom"/>
          </w:tcPr>
          <w:p>
            <w:pPr>
              <w:spacing w:after="0"/>
              <w:rPr>
                <w:sz w:val="11"/>
                <w:szCs w:val="11"/>
                <w:color w:val="auto"/>
              </w:rPr>
            </w:pPr>
          </w:p>
        </w:tc>
        <w:tc>
          <w:tcPr>
            <w:tcW w:w="840" w:type="dxa"/>
            <w:vAlign w:val="bottom"/>
          </w:tcPr>
          <w:p>
            <w:pPr>
              <w:jc w:val="center"/>
              <w:ind w:right="135"/>
              <w:spacing w:after="0" w:line="133" w:lineRule="exact"/>
              <w:rPr>
                <w:sz w:val="20"/>
                <w:szCs w:val="20"/>
                <w:color w:val="auto"/>
              </w:rPr>
            </w:pPr>
            <w:r>
              <w:rPr>
                <w:rFonts w:ascii="Arial" w:cs="Arial" w:eastAsia="Arial" w:hAnsi="Arial"/>
                <w:sz w:val="14"/>
                <w:szCs w:val="14"/>
                <w:b w:val="1"/>
                <w:bCs w:val="1"/>
                <w:color w:val="auto"/>
                <w:w w:val="89"/>
              </w:rPr>
              <w:t>Total</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5200" w:type="dxa"/>
            <w:vAlign w:val="bottom"/>
          </w:tcPr>
          <w:p>
            <w:pPr>
              <w:spacing w:after="0"/>
              <w:rPr>
                <w:sz w:val="12"/>
                <w:szCs w:val="12"/>
                <w:color w:val="auto"/>
              </w:rPr>
            </w:pPr>
          </w:p>
        </w:tc>
        <w:tc>
          <w:tcPr>
            <w:tcW w:w="1600" w:type="dxa"/>
            <w:vAlign w:val="bottom"/>
            <w:gridSpan w:val="4"/>
            <w:vMerge w:val="restart"/>
          </w:tcPr>
          <w:p>
            <w:pPr>
              <w:jc w:val="right"/>
              <w:spacing w:after="0"/>
              <w:rPr>
                <w:sz w:val="20"/>
                <w:szCs w:val="20"/>
                <w:color w:val="auto"/>
              </w:rPr>
            </w:pPr>
            <w:r>
              <w:rPr>
                <w:rFonts w:ascii="Arial" w:cs="Arial" w:eastAsia="Arial" w:hAnsi="Arial"/>
                <w:sz w:val="14"/>
                <w:szCs w:val="14"/>
                <w:b w:val="1"/>
                <w:bCs w:val="1"/>
                <w:color w:val="auto"/>
              </w:rPr>
              <w:t>Common Stock</w:t>
            </w:r>
          </w:p>
        </w:tc>
        <w:tc>
          <w:tcPr>
            <w:tcW w:w="6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tcPr>
          <w:p>
            <w:pPr>
              <w:jc w:val="center"/>
              <w:ind w:right="56"/>
              <w:spacing w:after="0" w:line="149" w:lineRule="exact"/>
              <w:rPr>
                <w:sz w:val="20"/>
                <w:szCs w:val="20"/>
                <w:color w:val="auto"/>
              </w:rPr>
            </w:pPr>
            <w:r>
              <w:rPr>
                <w:rFonts w:ascii="Arial" w:cs="Arial" w:eastAsia="Arial" w:hAnsi="Arial"/>
                <w:sz w:val="14"/>
                <w:szCs w:val="14"/>
                <w:b w:val="1"/>
                <w:bCs w:val="1"/>
                <w:color w:val="auto"/>
                <w:w w:val="98"/>
              </w:rPr>
              <w:t>Paid-in</w:t>
            </w: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60" w:type="dxa"/>
            <w:vAlign w:val="bottom"/>
            <w:gridSpan w:val="2"/>
            <w:vMerge w:val="continue"/>
          </w:tcPr>
          <w:p>
            <w:pPr>
              <w:spacing w:after="0"/>
              <w:rPr>
                <w:sz w:val="12"/>
                <w:szCs w:val="12"/>
                <w:color w:val="auto"/>
              </w:rPr>
            </w:pPr>
          </w:p>
        </w:tc>
        <w:tc>
          <w:tcPr>
            <w:tcW w:w="1140" w:type="dxa"/>
            <w:vAlign w:val="bottom"/>
            <w:gridSpan w:val="3"/>
          </w:tcPr>
          <w:p>
            <w:pPr>
              <w:jc w:val="center"/>
              <w:ind w:right="120"/>
              <w:spacing w:after="0" w:line="149" w:lineRule="exact"/>
              <w:rPr>
                <w:sz w:val="20"/>
                <w:szCs w:val="20"/>
                <w:color w:val="auto"/>
              </w:rPr>
            </w:pPr>
            <w:r>
              <w:rPr>
                <w:rFonts w:ascii="Arial" w:cs="Arial" w:eastAsia="Arial" w:hAnsi="Arial"/>
                <w:sz w:val="14"/>
                <w:szCs w:val="14"/>
                <w:b w:val="1"/>
                <w:bCs w:val="1"/>
                <w:color w:val="auto"/>
                <w:w w:val="92"/>
              </w:rPr>
              <w:t>Stockholders’</w:t>
            </w:r>
          </w:p>
        </w:tc>
        <w:tc>
          <w:tcPr>
            <w:tcW w:w="0" w:type="dxa"/>
            <w:vAlign w:val="bottom"/>
          </w:tcPr>
          <w:p>
            <w:pPr>
              <w:spacing w:after="0"/>
              <w:rPr>
                <w:sz w:val="1"/>
                <w:szCs w:val="1"/>
                <w:color w:val="auto"/>
              </w:rPr>
            </w:pPr>
          </w:p>
        </w:tc>
      </w:tr>
      <w:tr>
        <w:trPr>
          <w:trHeight w:val="171"/>
        </w:trPr>
        <w:tc>
          <w:tcPr>
            <w:tcW w:w="5200" w:type="dxa"/>
            <w:vAlign w:val="bottom"/>
          </w:tcPr>
          <w:p>
            <w:pPr>
              <w:spacing w:after="0"/>
              <w:rPr>
                <w:sz w:val="14"/>
                <w:szCs w:val="14"/>
                <w:color w:val="auto"/>
              </w:rPr>
            </w:pPr>
          </w:p>
        </w:tc>
        <w:tc>
          <w:tcPr>
            <w:tcW w:w="1600" w:type="dxa"/>
            <w:vAlign w:val="bottom"/>
            <w:tcBorders>
              <w:bottom w:val="single" w:sz="8" w:color="auto"/>
            </w:tcBorders>
            <w:gridSpan w:val="4"/>
            <w:vMerge w:val="continue"/>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center"/>
              <w:ind w:right="56"/>
              <w:spacing w:after="0"/>
              <w:rPr>
                <w:sz w:val="20"/>
                <w:szCs w:val="20"/>
                <w:color w:val="auto"/>
              </w:rPr>
            </w:pPr>
            <w:r>
              <w:rPr>
                <w:rFonts w:ascii="Arial" w:cs="Arial" w:eastAsia="Arial" w:hAnsi="Arial"/>
                <w:sz w:val="14"/>
                <w:szCs w:val="14"/>
                <w:b w:val="1"/>
                <w:bCs w:val="1"/>
                <w:color w:val="auto"/>
                <w:w w:val="98"/>
              </w:rPr>
              <w:t>Capital</w:t>
            </w:r>
          </w:p>
        </w:tc>
        <w:tc>
          <w:tcPr>
            <w:tcW w:w="22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ind w:left="60"/>
              <w:spacing w:after="0"/>
              <w:rPr>
                <w:sz w:val="20"/>
                <w:szCs w:val="20"/>
                <w:color w:val="auto"/>
              </w:rPr>
            </w:pPr>
            <w:r>
              <w:rPr>
                <w:rFonts w:ascii="Arial" w:cs="Arial" w:eastAsia="Arial" w:hAnsi="Arial"/>
                <w:sz w:val="14"/>
                <w:szCs w:val="14"/>
                <w:b w:val="1"/>
                <w:bCs w:val="1"/>
                <w:color w:val="auto"/>
              </w:rPr>
              <w:t>Earnings</w:t>
            </w:r>
          </w:p>
        </w:tc>
        <w:tc>
          <w:tcPr>
            <w:tcW w:w="22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center"/>
              <w:ind w:right="135"/>
              <w:spacing w:after="0"/>
              <w:rPr>
                <w:sz w:val="20"/>
                <w:szCs w:val="20"/>
                <w:color w:val="auto"/>
              </w:rPr>
            </w:pPr>
            <w:r>
              <w:rPr>
                <w:rFonts w:ascii="Arial" w:cs="Arial" w:eastAsia="Arial" w:hAnsi="Arial"/>
                <w:sz w:val="14"/>
                <w:szCs w:val="14"/>
                <w:b w:val="1"/>
                <w:bCs w:val="1"/>
                <w:color w:val="auto"/>
                <w:w w:val="98"/>
              </w:rPr>
              <w:t>Equity</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0"/>
        </w:trPr>
        <w:tc>
          <w:tcPr>
            <w:tcW w:w="5200" w:type="dxa"/>
            <w:vAlign w:val="bottom"/>
          </w:tcPr>
          <w:p>
            <w:pPr>
              <w:spacing w:after="0"/>
              <w:rPr>
                <w:sz w:val="19"/>
                <w:szCs w:val="19"/>
                <w:color w:val="auto"/>
              </w:rPr>
            </w:pPr>
          </w:p>
        </w:tc>
        <w:tc>
          <w:tcPr>
            <w:tcW w:w="1140" w:type="dxa"/>
            <w:vAlign w:val="bottom"/>
            <w:gridSpan w:val="2"/>
          </w:tcPr>
          <w:p>
            <w:pPr>
              <w:jc w:val="right"/>
              <w:ind w:right="400"/>
              <w:spacing w:after="0"/>
              <w:rPr>
                <w:sz w:val="20"/>
                <w:szCs w:val="20"/>
                <w:color w:val="auto"/>
              </w:rPr>
            </w:pPr>
            <w:r>
              <w:rPr>
                <w:rFonts w:ascii="Arial" w:cs="Arial" w:eastAsia="Arial" w:hAnsi="Arial"/>
                <w:sz w:val="16"/>
                <w:szCs w:val="16"/>
                <w:b w:val="1"/>
                <w:bCs w:val="1"/>
                <w:color w:val="auto"/>
              </w:rPr>
              <w:t>Shares</w:t>
            </w:r>
          </w:p>
        </w:tc>
        <w:tc>
          <w:tcPr>
            <w:tcW w:w="80" w:type="dxa"/>
            <w:vAlign w:val="bottom"/>
          </w:tcPr>
          <w:p>
            <w:pPr>
              <w:spacing w:after="0"/>
              <w:rPr>
                <w:sz w:val="19"/>
                <w:szCs w:val="19"/>
                <w:color w:val="auto"/>
              </w:rPr>
            </w:pPr>
          </w:p>
        </w:tc>
        <w:tc>
          <w:tcPr>
            <w:tcW w:w="1220" w:type="dxa"/>
            <w:vAlign w:val="bottom"/>
            <w:gridSpan w:val="3"/>
          </w:tcPr>
          <w:p>
            <w:pPr>
              <w:ind w:left="220"/>
              <w:spacing w:after="0"/>
              <w:rPr>
                <w:sz w:val="20"/>
                <w:szCs w:val="20"/>
                <w:color w:val="auto"/>
              </w:rPr>
            </w:pPr>
            <w:r>
              <w:rPr>
                <w:rFonts w:ascii="Arial" w:cs="Arial" w:eastAsia="Arial" w:hAnsi="Arial"/>
                <w:sz w:val="16"/>
                <w:szCs w:val="16"/>
                <w:b w:val="1"/>
                <w:bCs w:val="1"/>
                <w:color w:val="auto"/>
              </w:rPr>
              <w:t>Amount</w:t>
            </w:r>
          </w:p>
        </w:tc>
        <w:tc>
          <w:tcPr>
            <w:tcW w:w="1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52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Balance at April 1, 2020</w:t>
            </w:r>
          </w:p>
        </w:tc>
        <w:tc>
          <w:tcPr>
            <w:tcW w:w="10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15,660</w:t>
            </w:r>
          </w:p>
        </w:tc>
        <w:tc>
          <w:tcPr>
            <w:tcW w:w="14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380" w:type="dxa"/>
            <w:vAlign w:val="bottom"/>
            <w:tcBorders>
              <w:top w:val="single" w:sz="8" w:color="auto"/>
            </w:tcBorders>
            <w:shd w:val="clear" w:color="auto" w:fill="CFF0FC"/>
          </w:tcPr>
          <w:p>
            <w:pPr>
              <w:jc w:val="right"/>
              <w:ind w:right="192"/>
              <w:spacing w:after="0"/>
              <w:rPr>
                <w:sz w:val="20"/>
                <w:szCs w:val="20"/>
                <w:color w:val="auto"/>
              </w:rPr>
            </w:pPr>
            <w:r>
              <w:rPr>
                <w:rFonts w:ascii="Arial" w:cs="Arial" w:eastAsia="Arial" w:hAnsi="Arial"/>
                <w:sz w:val="18"/>
                <w:szCs w:val="18"/>
                <w:color w:val="auto"/>
                <w:w w:val="79"/>
              </w:rPr>
              <w:t>$</w:t>
            </w:r>
          </w:p>
        </w:tc>
        <w:tc>
          <w:tcPr>
            <w:tcW w:w="6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w:t>
            </w:r>
          </w:p>
        </w:tc>
        <w:tc>
          <w:tcPr>
            <w:tcW w:w="20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362,102</w:t>
            </w:r>
          </w:p>
        </w:tc>
        <w:tc>
          <w:tcPr>
            <w:tcW w:w="380" w:type="dxa"/>
            <w:vAlign w:val="bottom"/>
            <w:tcBorders>
              <w:top w:val="single" w:sz="8" w:color="CFF0FC"/>
            </w:tcBorders>
            <w:gridSpan w:val="2"/>
            <w:shd w:val="clear" w:color="auto" w:fill="CFF0FC"/>
          </w:tcPr>
          <w:p>
            <w:pPr>
              <w:jc w:val="right"/>
              <w:ind w:right="7"/>
              <w:spacing w:after="0"/>
              <w:rPr>
                <w:sz w:val="20"/>
                <w:szCs w:val="20"/>
                <w:color w:val="auto"/>
              </w:rPr>
            </w:pPr>
            <w:r>
              <w:rPr>
                <w:rFonts w:ascii="Arial" w:cs="Arial" w:eastAsia="Arial" w:hAnsi="Arial"/>
                <w:sz w:val="18"/>
                <w:szCs w:val="18"/>
                <w:color w:val="auto"/>
              </w:rPr>
              <w:t>$</w:t>
            </w:r>
          </w:p>
        </w:tc>
        <w:tc>
          <w:tcPr>
            <w:tcW w:w="840" w:type="dxa"/>
            <w:vAlign w:val="bottom"/>
            <w:tcBorders>
              <w:top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124,690</w:t>
            </w:r>
          </w:p>
        </w:tc>
        <w:tc>
          <w:tcPr>
            <w:tcW w:w="22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CFF0FC"/>
            </w:tcBorders>
            <w:shd w:val="clear" w:color="auto" w:fill="CFF0FC"/>
          </w:tcPr>
          <w:p>
            <w:pPr>
              <w:jc w:val="right"/>
              <w:ind w:right="16"/>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486,808</w:t>
            </w: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5200" w:type="dxa"/>
            <w:vAlign w:val="bottom"/>
          </w:tcPr>
          <w:p>
            <w:pPr>
              <w:spacing w:after="0"/>
              <w:rPr>
                <w:sz w:val="20"/>
                <w:szCs w:val="20"/>
                <w:color w:val="auto"/>
              </w:rPr>
            </w:pPr>
            <w:r>
              <w:rPr>
                <w:rFonts w:ascii="Arial" w:cs="Arial" w:eastAsia="Arial" w:hAnsi="Arial"/>
                <w:sz w:val="18"/>
                <w:szCs w:val="18"/>
                <w:color w:val="auto"/>
              </w:rPr>
              <w:t>Forfeiture of shares of common stock under</w:t>
            </w:r>
          </w:p>
        </w:tc>
        <w:tc>
          <w:tcPr>
            <w:tcW w:w="100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80" w:type="dxa"/>
            <w:vAlign w:val="bottom"/>
            <w:tcBorders>
              <w:top w:val="single" w:sz="8" w:color="auto"/>
            </w:tcBorders>
          </w:tcPr>
          <w:p>
            <w:pPr>
              <w:spacing w:after="0"/>
              <w:rPr>
                <w:sz w:val="18"/>
                <w:szCs w:val="18"/>
                <w:color w:val="auto"/>
              </w:rPr>
            </w:pPr>
          </w:p>
        </w:tc>
        <w:tc>
          <w:tcPr>
            <w:tcW w:w="64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200" w:type="dxa"/>
            <w:vAlign w:val="bottom"/>
          </w:tcPr>
          <w:p>
            <w:pPr>
              <w:ind w:left="140"/>
              <w:spacing w:after="0"/>
              <w:rPr>
                <w:sz w:val="20"/>
                <w:szCs w:val="20"/>
                <w:color w:val="auto"/>
              </w:rPr>
            </w:pPr>
            <w:r>
              <w:rPr>
                <w:rFonts w:ascii="Arial" w:cs="Arial" w:eastAsia="Arial" w:hAnsi="Arial"/>
                <w:sz w:val="18"/>
                <w:szCs w:val="18"/>
                <w:color w:val="auto"/>
              </w:rPr>
              <w:t>restricted stock award agreements</w:t>
            </w:r>
          </w:p>
        </w:tc>
        <w:tc>
          <w:tcPr>
            <w:tcW w:w="1140" w:type="dxa"/>
            <w:vAlign w:val="bottom"/>
            <w:gridSpan w:val="2"/>
          </w:tcPr>
          <w:p>
            <w:pPr>
              <w:jc w:val="right"/>
              <w:ind w:right="80"/>
              <w:spacing w:after="0"/>
              <w:rPr>
                <w:sz w:val="20"/>
                <w:szCs w:val="20"/>
                <w:color w:val="auto"/>
              </w:rPr>
            </w:pPr>
            <w:r>
              <w:rPr>
                <w:rFonts w:ascii="Arial" w:cs="Arial" w:eastAsia="Arial" w:hAnsi="Arial"/>
                <w:sz w:val="18"/>
                <w:szCs w:val="18"/>
                <w:color w:val="auto"/>
              </w:rPr>
              <w:t>(1)</w:t>
            </w:r>
          </w:p>
        </w:tc>
        <w:tc>
          <w:tcPr>
            <w:tcW w:w="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9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5200" w:type="dxa"/>
            <w:vAlign w:val="bottom"/>
            <w:shd w:val="clear" w:color="auto" w:fill="CFF0FC"/>
          </w:tcPr>
          <w:p>
            <w:pPr>
              <w:spacing w:after="0"/>
              <w:rPr>
                <w:sz w:val="20"/>
                <w:szCs w:val="20"/>
                <w:color w:val="auto"/>
              </w:rPr>
            </w:pPr>
            <w:r>
              <w:rPr>
                <w:rFonts w:ascii="Arial" w:cs="Arial" w:eastAsia="Arial" w:hAnsi="Arial"/>
                <w:sz w:val="18"/>
                <w:szCs w:val="18"/>
                <w:color w:val="auto"/>
              </w:rPr>
              <w:t>Stock-based compensation</w:t>
            </w:r>
          </w:p>
        </w:tc>
        <w:tc>
          <w:tcPr>
            <w:tcW w:w="114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84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1,118</w:t>
            </w:r>
          </w:p>
        </w:tc>
        <w:tc>
          <w:tcPr>
            <w:tcW w:w="2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6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1,118</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200" w:type="dxa"/>
            <w:vAlign w:val="bottom"/>
          </w:tcPr>
          <w:p>
            <w:pPr>
              <w:spacing w:after="0"/>
              <w:rPr>
                <w:sz w:val="20"/>
                <w:szCs w:val="20"/>
                <w:color w:val="auto"/>
              </w:rPr>
            </w:pPr>
            <w:r>
              <w:rPr>
                <w:rFonts w:ascii="Arial" w:cs="Arial" w:eastAsia="Arial" w:hAnsi="Arial"/>
                <w:sz w:val="18"/>
                <w:szCs w:val="18"/>
                <w:color w:val="auto"/>
              </w:rPr>
              <w:t>Shares issued for exercise of stock options</w:t>
            </w:r>
          </w:p>
        </w:tc>
        <w:tc>
          <w:tcPr>
            <w:tcW w:w="1000" w:type="dxa"/>
            <w:vAlign w:val="bottom"/>
          </w:tcPr>
          <w:p>
            <w:pPr>
              <w:jc w:val="right"/>
              <w:spacing w:after="0"/>
              <w:rPr>
                <w:sz w:val="20"/>
                <w:szCs w:val="20"/>
                <w:color w:val="auto"/>
              </w:rPr>
            </w:pPr>
            <w:r>
              <w:rPr>
                <w:rFonts w:ascii="Arial" w:cs="Arial" w:eastAsia="Arial" w:hAnsi="Arial"/>
                <w:sz w:val="18"/>
                <w:szCs w:val="18"/>
                <w:color w:val="auto"/>
              </w:rPr>
              <w:t>6</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28</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00" w:type="dxa"/>
            <w:vAlign w:val="bottom"/>
            <w:shd w:val="clear" w:color="auto" w:fill="CFF0FC"/>
          </w:tcPr>
          <w:p>
            <w:pPr>
              <w:spacing w:after="0"/>
              <w:rPr>
                <w:sz w:val="20"/>
                <w:szCs w:val="20"/>
                <w:color w:val="auto"/>
              </w:rPr>
            </w:pPr>
            <w:r>
              <w:rPr>
                <w:rFonts w:ascii="Arial" w:cs="Arial" w:eastAsia="Arial" w:hAnsi="Arial"/>
                <w:sz w:val="18"/>
                <w:szCs w:val="18"/>
                <w:color w:val="auto"/>
              </w:rPr>
              <w:t>Net income</w:t>
            </w:r>
          </w:p>
        </w:tc>
        <w:tc>
          <w:tcPr>
            <w:tcW w:w="114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84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6,907</w:t>
            </w:r>
          </w:p>
        </w:tc>
        <w:tc>
          <w:tcPr>
            <w:tcW w:w="2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6,907</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200" w:type="dxa"/>
            <w:vAlign w:val="bottom"/>
          </w:tcPr>
          <w:p>
            <w:pPr>
              <w:spacing w:after="0"/>
              <w:rPr>
                <w:sz w:val="20"/>
                <w:szCs w:val="20"/>
                <w:color w:val="auto"/>
              </w:rPr>
            </w:pPr>
            <w:r>
              <w:rPr>
                <w:rFonts w:ascii="Arial" w:cs="Arial" w:eastAsia="Arial" w:hAnsi="Arial"/>
                <w:sz w:val="18"/>
                <w:szCs w:val="18"/>
                <w:color w:val="auto"/>
              </w:rPr>
              <w:t>Balance at June 30, 2020</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15,665</w:t>
            </w:r>
          </w:p>
        </w:tc>
        <w:tc>
          <w:tcPr>
            <w:tcW w:w="14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380" w:type="dxa"/>
            <w:vAlign w:val="bottom"/>
            <w:tcBorders>
              <w:top w:val="single" w:sz="8" w:color="auto"/>
              <w:bottom w:val="single" w:sz="8" w:color="auto"/>
            </w:tcBorders>
          </w:tcPr>
          <w:p>
            <w:pPr>
              <w:jc w:val="right"/>
              <w:ind w:right="192"/>
              <w:spacing w:after="0"/>
              <w:rPr>
                <w:sz w:val="20"/>
                <w:szCs w:val="20"/>
                <w:color w:val="auto"/>
              </w:rPr>
            </w:pPr>
            <w:r>
              <w:rPr>
                <w:rFonts w:ascii="Arial" w:cs="Arial" w:eastAsia="Arial" w:hAnsi="Arial"/>
                <w:sz w:val="18"/>
                <w:szCs w:val="18"/>
                <w:color w:val="auto"/>
                <w:w w:val="79"/>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w:t>
            </w:r>
          </w:p>
        </w:tc>
        <w:tc>
          <w:tcPr>
            <w:tcW w:w="200" w:type="dxa"/>
            <w:vAlign w:val="bottom"/>
            <w:tcBorders>
              <w:bottom w:val="single" w:sz="8" w:color="auto"/>
            </w:tcBorders>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363,248</w:t>
            </w:r>
          </w:p>
        </w:tc>
        <w:tc>
          <w:tcPr>
            <w:tcW w:w="220" w:type="dxa"/>
            <w:vAlign w:val="bottom"/>
            <w:tcBorders>
              <w:bottom w:val="single" w:sz="8" w:color="auto"/>
            </w:tcBorders>
          </w:tcPr>
          <w:p>
            <w:pPr>
              <w:spacing w:after="0"/>
              <w:rPr>
                <w:sz w:val="19"/>
                <w:szCs w:val="19"/>
                <w:color w:val="auto"/>
              </w:rPr>
            </w:pPr>
          </w:p>
        </w:tc>
        <w:tc>
          <w:tcPr>
            <w:tcW w:w="160" w:type="dxa"/>
            <w:vAlign w:val="bottom"/>
            <w:tcBorders>
              <w:top w:val="single" w:sz="8" w:color="auto"/>
              <w:bottom w:val="single" w:sz="8" w:color="auto"/>
            </w:tcBorders>
          </w:tcPr>
          <w:p>
            <w:pPr>
              <w:jc w:val="right"/>
              <w:ind w:right="7"/>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131,597</w:t>
            </w:r>
          </w:p>
        </w:tc>
        <w:tc>
          <w:tcPr>
            <w:tcW w:w="220" w:type="dxa"/>
            <w:vAlign w:val="bottom"/>
            <w:tcBorders>
              <w:bottom w:val="single" w:sz="8" w:color="auto"/>
            </w:tcBorders>
          </w:tcPr>
          <w:p>
            <w:pPr>
              <w:spacing w:after="0"/>
              <w:rPr>
                <w:sz w:val="19"/>
                <w:szCs w:val="19"/>
                <w:color w:val="auto"/>
              </w:rPr>
            </w:pPr>
          </w:p>
        </w:tc>
        <w:tc>
          <w:tcPr>
            <w:tcW w:w="200" w:type="dxa"/>
            <w:vAlign w:val="bottom"/>
            <w:tcBorders>
              <w:top w:val="single" w:sz="8" w:color="auto"/>
              <w:bottom w:val="single" w:sz="8" w:color="auto"/>
            </w:tcBorders>
          </w:tcPr>
          <w:p>
            <w:pPr>
              <w:jc w:val="right"/>
              <w:ind w:right="16"/>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494,861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20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3300" w:type="dxa"/>
            <w:vAlign w:val="bottom"/>
            <w:tcBorders>
              <w:bottom w:val="single" w:sz="8" w:color="auto"/>
            </w:tcBorders>
            <w:gridSpan w:val="8"/>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200" w:type="dxa"/>
            <w:vAlign w:val="bottom"/>
          </w:tcPr>
          <w:p>
            <w:pPr>
              <w:spacing w:after="0"/>
              <w:rPr>
                <w:sz w:val="18"/>
                <w:szCs w:val="18"/>
                <w:color w:val="auto"/>
              </w:rPr>
            </w:pPr>
          </w:p>
        </w:tc>
        <w:tc>
          <w:tcPr>
            <w:tcW w:w="100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3300" w:type="dxa"/>
            <w:vAlign w:val="bottom"/>
            <w:tcBorders>
              <w:bottom w:val="single" w:sz="8" w:color="auto"/>
            </w:tcBorders>
            <w:gridSpan w:val="8"/>
          </w:tcPr>
          <w:p>
            <w:pPr>
              <w:jc w:val="center"/>
              <w:ind w:right="580"/>
              <w:spacing w:after="0"/>
              <w:rPr>
                <w:sz w:val="20"/>
                <w:szCs w:val="20"/>
                <w:color w:val="auto"/>
              </w:rPr>
            </w:pPr>
            <w:r>
              <w:rPr>
                <w:rFonts w:ascii="Arial" w:cs="Arial" w:eastAsia="Arial" w:hAnsi="Arial"/>
                <w:sz w:val="14"/>
                <w:szCs w:val="14"/>
                <w:b w:val="1"/>
                <w:bCs w:val="1"/>
                <w:color w:val="auto"/>
                <w:w w:val="92"/>
              </w:rPr>
              <w:t>For the Six Months Ended June 30, 2020</w:t>
            </w:r>
          </w:p>
        </w:tc>
        <w:tc>
          <w:tcPr>
            <w:tcW w:w="20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33"/>
        </w:trPr>
        <w:tc>
          <w:tcPr>
            <w:tcW w:w="52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80" w:type="dxa"/>
            <w:vAlign w:val="bottom"/>
          </w:tcPr>
          <w:p>
            <w:pPr>
              <w:jc w:val="center"/>
              <w:ind w:right="56"/>
              <w:spacing w:after="0" w:line="133" w:lineRule="exact"/>
              <w:rPr>
                <w:sz w:val="20"/>
                <w:szCs w:val="20"/>
                <w:color w:val="auto"/>
              </w:rPr>
            </w:pPr>
            <w:r>
              <w:rPr>
                <w:rFonts w:ascii="Arial" w:cs="Arial" w:eastAsia="Arial" w:hAnsi="Arial"/>
                <w:sz w:val="14"/>
                <w:szCs w:val="14"/>
                <w:b w:val="1"/>
                <w:bCs w:val="1"/>
                <w:color w:val="auto"/>
                <w:w w:val="96"/>
              </w:rPr>
              <w:t>Additional</w:t>
            </w: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6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Retained</w:t>
            </w:r>
          </w:p>
        </w:tc>
        <w:tc>
          <w:tcPr>
            <w:tcW w:w="200" w:type="dxa"/>
            <w:vAlign w:val="bottom"/>
          </w:tcPr>
          <w:p>
            <w:pPr>
              <w:spacing w:after="0"/>
              <w:rPr>
                <w:sz w:val="11"/>
                <w:szCs w:val="11"/>
                <w:color w:val="auto"/>
              </w:rPr>
            </w:pPr>
          </w:p>
        </w:tc>
        <w:tc>
          <w:tcPr>
            <w:tcW w:w="840" w:type="dxa"/>
            <w:vAlign w:val="bottom"/>
          </w:tcPr>
          <w:p>
            <w:pPr>
              <w:jc w:val="center"/>
              <w:ind w:right="135"/>
              <w:spacing w:after="0" w:line="133" w:lineRule="exact"/>
              <w:rPr>
                <w:sz w:val="20"/>
                <w:szCs w:val="20"/>
                <w:color w:val="auto"/>
              </w:rPr>
            </w:pPr>
            <w:r>
              <w:rPr>
                <w:rFonts w:ascii="Arial" w:cs="Arial" w:eastAsia="Arial" w:hAnsi="Arial"/>
                <w:sz w:val="14"/>
                <w:szCs w:val="14"/>
                <w:b w:val="1"/>
                <w:bCs w:val="1"/>
                <w:color w:val="auto"/>
                <w:w w:val="89"/>
              </w:rPr>
              <w:t>Total</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5200" w:type="dxa"/>
            <w:vAlign w:val="bottom"/>
          </w:tcPr>
          <w:p>
            <w:pPr>
              <w:spacing w:after="0"/>
              <w:rPr>
                <w:sz w:val="12"/>
                <w:szCs w:val="12"/>
                <w:color w:val="auto"/>
              </w:rPr>
            </w:pPr>
          </w:p>
        </w:tc>
        <w:tc>
          <w:tcPr>
            <w:tcW w:w="1600" w:type="dxa"/>
            <w:vAlign w:val="bottom"/>
            <w:gridSpan w:val="4"/>
            <w:vMerge w:val="restart"/>
          </w:tcPr>
          <w:p>
            <w:pPr>
              <w:jc w:val="right"/>
              <w:spacing w:after="0"/>
              <w:rPr>
                <w:sz w:val="20"/>
                <w:szCs w:val="20"/>
                <w:color w:val="auto"/>
              </w:rPr>
            </w:pPr>
            <w:r>
              <w:rPr>
                <w:rFonts w:ascii="Arial" w:cs="Arial" w:eastAsia="Arial" w:hAnsi="Arial"/>
                <w:sz w:val="14"/>
                <w:szCs w:val="14"/>
                <w:b w:val="1"/>
                <w:bCs w:val="1"/>
                <w:color w:val="auto"/>
              </w:rPr>
              <w:t>Common Stock</w:t>
            </w:r>
          </w:p>
        </w:tc>
        <w:tc>
          <w:tcPr>
            <w:tcW w:w="6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tcPr>
          <w:p>
            <w:pPr>
              <w:jc w:val="center"/>
              <w:ind w:right="56"/>
              <w:spacing w:after="0" w:line="149" w:lineRule="exact"/>
              <w:rPr>
                <w:sz w:val="20"/>
                <w:szCs w:val="20"/>
                <w:color w:val="auto"/>
              </w:rPr>
            </w:pPr>
            <w:r>
              <w:rPr>
                <w:rFonts w:ascii="Arial" w:cs="Arial" w:eastAsia="Arial" w:hAnsi="Arial"/>
                <w:sz w:val="14"/>
                <w:szCs w:val="14"/>
                <w:b w:val="1"/>
                <w:bCs w:val="1"/>
                <w:color w:val="auto"/>
                <w:w w:val="98"/>
              </w:rPr>
              <w:t>Paid-in</w:t>
            </w: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60" w:type="dxa"/>
            <w:vAlign w:val="bottom"/>
            <w:gridSpan w:val="2"/>
            <w:vMerge w:val="continue"/>
          </w:tcPr>
          <w:p>
            <w:pPr>
              <w:spacing w:after="0"/>
              <w:rPr>
                <w:sz w:val="12"/>
                <w:szCs w:val="12"/>
                <w:color w:val="auto"/>
              </w:rPr>
            </w:pPr>
          </w:p>
        </w:tc>
        <w:tc>
          <w:tcPr>
            <w:tcW w:w="1140" w:type="dxa"/>
            <w:vAlign w:val="bottom"/>
            <w:gridSpan w:val="3"/>
          </w:tcPr>
          <w:p>
            <w:pPr>
              <w:jc w:val="center"/>
              <w:ind w:right="120"/>
              <w:spacing w:after="0" w:line="149" w:lineRule="exact"/>
              <w:rPr>
                <w:sz w:val="20"/>
                <w:szCs w:val="20"/>
                <w:color w:val="auto"/>
              </w:rPr>
            </w:pPr>
            <w:r>
              <w:rPr>
                <w:rFonts w:ascii="Arial" w:cs="Arial" w:eastAsia="Arial" w:hAnsi="Arial"/>
                <w:sz w:val="14"/>
                <w:szCs w:val="14"/>
                <w:b w:val="1"/>
                <w:bCs w:val="1"/>
                <w:color w:val="auto"/>
                <w:w w:val="92"/>
              </w:rPr>
              <w:t>Stockholders’</w:t>
            </w:r>
          </w:p>
        </w:tc>
        <w:tc>
          <w:tcPr>
            <w:tcW w:w="0" w:type="dxa"/>
            <w:vAlign w:val="bottom"/>
          </w:tcPr>
          <w:p>
            <w:pPr>
              <w:spacing w:after="0"/>
              <w:rPr>
                <w:sz w:val="1"/>
                <w:szCs w:val="1"/>
                <w:color w:val="auto"/>
              </w:rPr>
            </w:pPr>
          </w:p>
        </w:tc>
      </w:tr>
      <w:tr>
        <w:trPr>
          <w:trHeight w:val="171"/>
        </w:trPr>
        <w:tc>
          <w:tcPr>
            <w:tcW w:w="5200" w:type="dxa"/>
            <w:vAlign w:val="bottom"/>
          </w:tcPr>
          <w:p>
            <w:pPr>
              <w:spacing w:after="0"/>
              <w:rPr>
                <w:sz w:val="14"/>
                <w:szCs w:val="14"/>
                <w:color w:val="auto"/>
              </w:rPr>
            </w:pPr>
          </w:p>
        </w:tc>
        <w:tc>
          <w:tcPr>
            <w:tcW w:w="1600" w:type="dxa"/>
            <w:vAlign w:val="bottom"/>
            <w:gridSpan w:val="4"/>
            <w:vMerge w:val="continue"/>
          </w:tcPr>
          <w:p>
            <w:pPr>
              <w:spacing w:after="0"/>
              <w:rPr>
                <w:sz w:val="14"/>
                <w:szCs w:val="14"/>
                <w:color w:val="auto"/>
              </w:rPr>
            </w:pPr>
          </w:p>
        </w:tc>
        <w:tc>
          <w:tcPr>
            <w:tcW w:w="6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tcPr>
          <w:p>
            <w:pPr>
              <w:jc w:val="center"/>
              <w:ind w:right="56"/>
              <w:spacing w:after="0"/>
              <w:rPr>
                <w:sz w:val="20"/>
                <w:szCs w:val="20"/>
                <w:color w:val="auto"/>
              </w:rPr>
            </w:pPr>
            <w:r>
              <w:rPr>
                <w:rFonts w:ascii="Arial" w:cs="Arial" w:eastAsia="Arial" w:hAnsi="Arial"/>
                <w:sz w:val="14"/>
                <w:szCs w:val="14"/>
                <w:b w:val="1"/>
                <w:bCs w:val="1"/>
                <w:color w:val="auto"/>
                <w:w w:val="98"/>
              </w:rPr>
              <w:t>Capital</w:t>
            </w: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60" w:type="dxa"/>
            <w:vAlign w:val="bottom"/>
            <w:gridSpan w:val="2"/>
          </w:tcPr>
          <w:p>
            <w:pPr>
              <w:ind w:left="60"/>
              <w:spacing w:after="0"/>
              <w:rPr>
                <w:sz w:val="20"/>
                <w:szCs w:val="20"/>
                <w:color w:val="auto"/>
              </w:rPr>
            </w:pPr>
            <w:r>
              <w:rPr>
                <w:rFonts w:ascii="Arial" w:cs="Arial" w:eastAsia="Arial" w:hAnsi="Arial"/>
                <w:sz w:val="14"/>
                <w:szCs w:val="14"/>
                <w:b w:val="1"/>
                <w:bCs w:val="1"/>
                <w:color w:val="auto"/>
              </w:rPr>
              <w:t>Earnings</w:t>
            </w:r>
          </w:p>
        </w:tc>
        <w:tc>
          <w:tcPr>
            <w:tcW w:w="200" w:type="dxa"/>
            <w:vAlign w:val="bottom"/>
          </w:tcPr>
          <w:p>
            <w:pPr>
              <w:spacing w:after="0"/>
              <w:rPr>
                <w:sz w:val="14"/>
                <w:szCs w:val="14"/>
                <w:color w:val="auto"/>
              </w:rPr>
            </w:pPr>
          </w:p>
        </w:tc>
        <w:tc>
          <w:tcPr>
            <w:tcW w:w="94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8"/>
              </w:rPr>
              <w:t>Equity</w:t>
            </w:r>
          </w:p>
        </w:tc>
        <w:tc>
          <w:tcPr>
            <w:tcW w:w="0" w:type="dxa"/>
            <w:vAlign w:val="bottom"/>
          </w:tcPr>
          <w:p>
            <w:pPr>
              <w:spacing w:after="0"/>
              <w:rPr>
                <w:sz w:val="1"/>
                <w:szCs w:val="1"/>
                <w:color w:val="auto"/>
              </w:rPr>
            </w:pPr>
          </w:p>
        </w:tc>
      </w:tr>
      <w:tr>
        <w:trPr>
          <w:trHeight w:val="223"/>
        </w:trPr>
        <w:tc>
          <w:tcPr>
            <w:tcW w:w="52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Balance at January 1, 2020</w:t>
            </w:r>
          </w:p>
        </w:tc>
        <w:tc>
          <w:tcPr>
            <w:tcW w:w="10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15,617</w:t>
            </w:r>
          </w:p>
        </w:tc>
        <w:tc>
          <w:tcPr>
            <w:tcW w:w="140" w:type="dxa"/>
            <w:vAlign w:val="bottom"/>
            <w:tcBorders>
              <w:top w:val="single" w:sz="8" w:color="auto"/>
            </w:tcBorders>
            <w:shd w:val="clear" w:color="auto" w:fill="CFF0FC"/>
          </w:tcPr>
          <w:p>
            <w:pPr>
              <w:spacing w:after="0"/>
              <w:rPr>
                <w:sz w:val="19"/>
                <w:szCs w:val="19"/>
                <w:color w:val="auto"/>
              </w:rPr>
            </w:pPr>
          </w:p>
        </w:tc>
        <w:tc>
          <w:tcPr>
            <w:tcW w:w="460" w:type="dxa"/>
            <w:vAlign w:val="bottom"/>
            <w:tcBorders>
              <w:top w:val="single" w:sz="8" w:color="auto"/>
            </w:tcBorders>
            <w:gridSpan w:val="2"/>
            <w:shd w:val="clear" w:color="auto" w:fill="CFF0FC"/>
          </w:tcPr>
          <w:p>
            <w:pPr>
              <w:jc w:val="right"/>
              <w:ind w:right="192"/>
              <w:spacing w:after="0"/>
              <w:rPr>
                <w:sz w:val="20"/>
                <w:szCs w:val="20"/>
                <w:color w:val="auto"/>
              </w:rPr>
            </w:pPr>
            <w:r>
              <w:rPr>
                <w:rFonts w:ascii="Arial" w:cs="Arial" w:eastAsia="Arial" w:hAnsi="Arial"/>
                <w:sz w:val="18"/>
                <w:szCs w:val="18"/>
                <w:color w:val="auto"/>
              </w:rPr>
              <w:t>$</w:t>
            </w:r>
          </w:p>
        </w:tc>
        <w:tc>
          <w:tcPr>
            <w:tcW w:w="6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w:t>
            </w:r>
          </w:p>
        </w:tc>
        <w:tc>
          <w:tcPr>
            <w:tcW w:w="20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359,545</w:t>
            </w:r>
          </w:p>
        </w:tc>
        <w:tc>
          <w:tcPr>
            <w:tcW w:w="22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jc w:val="right"/>
              <w:ind w:right="7"/>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116,032</w:t>
            </w:r>
          </w:p>
        </w:tc>
        <w:tc>
          <w:tcPr>
            <w:tcW w:w="22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jc w:val="right"/>
              <w:ind w:right="16"/>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475,592</w:t>
            </w: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5200" w:type="dxa"/>
            <w:vAlign w:val="bottom"/>
          </w:tcPr>
          <w:p>
            <w:pPr>
              <w:spacing w:after="0"/>
              <w:rPr>
                <w:sz w:val="20"/>
                <w:szCs w:val="20"/>
                <w:color w:val="auto"/>
              </w:rPr>
            </w:pPr>
            <w:r>
              <w:rPr>
                <w:rFonts w:ascii="Arial" w:cs="Arial" w:eastAsia="Arial" w:hAnsi="Arial"/>
                <w:sz w:val="18"/>
                <w:szCs w:val="18"/>
                <w:color w:val="auto"/>
              </w:rPr>
              <w:t>Forfeiture of shares of common stock under</w:t>
            </w:r>
          </w:p>
        </w:tc>
        <w:tc>
          <w:tcPr>
            <w:tcW w:w="100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80" w:type="dxa"/>
            <w:vAlign w:val="bottom"/>
            <w:tcBorders>
              <w:top w:val="single" w:sz="8" w:color="auto"/>
            </w:tcBorders>
          </w:tcPr>
          <w:p>
            <w:pPr>
              <w:spacing w:after="0"/>
              <w:rPr>
                <w:sz w:val="18"/>
                <w:szCs w:val="18"/>
                <w:color w:val="auto"/>
              </w:rPr>
            </w:pPr>
          </w:p>
        </w:tc>
        <w:tc>
          <w:tcPr>
            <w:tcW w:w="64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200" w:type="dxa"/>
            <w:vAlign w:val="bottom"/>
          </w:tcPr>
          <w:p>
            <w:pPr>
              <w:ind w:left="140"/>
              <w:spacing w:after="0"/>
              <w:rPr>
                <w:sz w:val="20"/>
                <w:szCs w:val="20"/>
                <w:color w:val="auto"/>
              </w:rPr>
            </w:pPr>
            <w:r>
              <w:rPr>
                <w:rFonts w:ascii="Arial" w:cs="Arial" w:eastAsia="Arial" w:hAnsi="Arial"/>
                <w:sz w:val="18"/>
                <w:szCs w:val="18"/>
                <w:color w:val="auto"/>
              </w:rPr>
              <w:t>restricted stock award agreements</w:t>
            </w:r>
          </w:p>
        </w:tc>
        <w:tc>
          <w:tcPr>
            <w:tcW w:w="1140" w:type="dxa"/>
            <w:vAlign w:val="bottom"/>
            <w:gridSpan w:val="2"/>
          </w:tcPr>
          <w:p>
            <w:pPr>
              <w:jc w:val="right"/>
              <w:ind w:right="80"/>
              <w:spacing w:after="0"/>
              <w:rPr>
                <w:sz w:val="20"/>
                <w:szCs w:val="20"/>
                <w:color w:val="auto"/>
              </w:rPr>
            </w:pPr>
            <w:r>
              <w:rPr>
                <w:rFonts w:ascii="Arial" w:cs="Arial" w:eastAsia="Arial" w:hAnsi="Arial"/>
                <w:sz w:val="18"/>
                <w:szCs w:val="18"/>
                <w:color w:val="auto"/>
              </w:rPr>
              <w:t>(6)</w:t>
            </w:r>
          </w:p>
        </w:tc>
        <w:tc>
          <w:tcPr>
            <w:tcW w:w="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9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5200" w:type="dxa"/>
            <w:vAlign w:val="bottom"/>
            <w:shd w:val="clear" w:color="auto" w:fill="CFF0FC"/>
          </w:tcPr>
          <w:p>
            <w:pPr>
              <w:spacing w:after="0"/>
              <w:rPr>
                <w:sz w:val="20"/>
                <w:szCs w:val="20"/>
                <w:color w:val="auto"/>
              </w:rPr>
            </w:pPr>
            <w:r>
              <w:rPr>
                <w:rFonts w:ascii="Arial" w:cs="Arial" w:eastAsia="Arial" w:hAnsi="Arial"/>
                <w:sz w:val="18"/>
                <w:szCs w:val="18"/>
                <w:color w:val="auto"/>
              </w:rPr>
              <w:t>Stock-based compensation</w:t>
            </w:r>
          </w:p>
        </w:tc>
        <w:tc>
          <w:tcPr>
            <w:tcW w:w="114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84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2,525</w:t>
            </w:r>
          </w:p>
        </w:tc>
        <w:tc>
          <w:tcPr>
            <w:tcW w:w="2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6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2,525</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00" w:type="dxa"/>
            <w:vAlign w:val="bottom"/>
          </w:tcPr>
          <w:p>
            <w:pPr>
              <w:spacing w:after="0"/>
              <w:rPr>
                <w:sz w:val="20"/>
                <w:szCs w:val="20"/>
                <w:color w:val="auto"/>
              </w:rPr>
            </w:pPr>
            <w:r>
              <w:rPr>
                <w:rFonts w:ascii="Arial" w:cs="Arial" w:eastAsia="Arial" w:hAnsi="Arial"/>
                <w:sz w:val="18"/>
                <w:szCs w:val="18"/>
                <w:color w:val="auto"/>
              </w:rPr>
              <w:t>Shares issued for exercise of stock options</w:t>
            </w:r>
          </w:p>
        </w:tc>
        <w:tc>
          <w:tcPr>
            <w:tcW w:w="1000" w:type="dxa"/>
            <w:vAlign w:val="bottom"/>
          </w:tcPr>
          <w:p>
            <w:pPr>
              <w:jc w:val="right"/>
              <w:spacing w:after="0"/>
              <w:rPr>
                <w:sz w:val="20"/>
                <w:szCs w:val="20"/>
                <w:color w:val="auto"/>
              </w:rPr>
            </w:pPr>
            <w:r>
              <w:rPr>
                <w:rFonts w:ascii="Arial" w:cs="Arial" w:eastAsia="Arial" w:hAnsi="Arial"/>
                <w:sz w:val="18"/>
                <w:szCs w:val="18"/>
                <w:color w:val="auto"/>
              </w:rPr>
              <w:t>54</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1,178</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1,179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00" w:type="dxa"/>
            <w:vAlign w:val="bottom"/>
            <w:shd w:val="clear" w:color="auto" w:fill="CFF0FC"/>
          </w:tcPr>
          <w:p>
            <w:pPr>
              <w:spacing w:after="0"/>
              <w:rPr>
                <w:sz w:val="20"/>
                <w:szCs w:val="20"/>
                <w:color w:val="auto"/>
              </w:rPr>
            </w:pPr>
            <w:r>
              <w:rPr>
                <w:rFonts w:ascii="Arial" w:cs="Arial" w:eastAsia="Arial" w:hAnsi="Arial"/>
                <w:sz w:val="18"/>
                <w:szCs w:val="18"/>
                <w:color w:val="auto"/>
              </w:rPr>
              <w:t>Net income</w:t>
            </w:r>
          </w:p>
        </w:tc>
        <w:tc>
          <w:tcPr>
            <w:tcW w:w="114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84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15,565</w:t>
            </w:r>
          </w:p>
        </w:tc>
        <w:tc>
          <w:tcPr>
            <w:tcW w:w="2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15,565</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200" w:type="dxa"/>
            <w:vAlign w:val="bottom"/>
          </w:tcPr>
          <w:p>
            <w:pPr>
              <w:spacing w:after="0"/>
              <w:rPr>
                <w:sz w:val="20"/>
                <w:szCs w:val="20"/>
                <w:color w:val="auto"/>
              </w:rPr>
            </w:pPr>
            <w:r>
              <w:rPr>
                <w:rFonts w:ascii="Arial" w:cs="Arial" w:eastAsia="Arial" w:hAnsi="Arial"/>
                <w:sz w:val="18"/>
                <w:szCs w:val="18"/>
                <w:color w:val="auto"/>
              </w:rPr>
              <w:t>Balance at June 30, 2020</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15,665</w:t>
            </w:r>
          </w:p>
        </w:tc>
        <w:tc>
          <w:tcPr>
            <w:tcW w:w="14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380" w:type="dxa"/>
            <w:vAlign w:val="bottom"/>
            <w:tcBorders>
              <w:top w:val="single" w:sz="8" w:color="auto"/>
              <w:bottom w:val="single" w:sz="8" w:color="auto"/>
            </w:tcBorders>
          </w:tcPr>
          <w:p>
            <w:pPr>
              <w:jc w:val="right"/>
              <w:ind w:right="192"/>
              <w:spacing w:after="0"/>
              <w:rPr>
                <w:sz w:val="20"/>
                <w:szCs w:val="20"/>
                <w:color w:val="auto"/>
              </w:rPr>
            </w:pPr>
            <w:r>
              <w:rPr>
                <w:rFonts w:ascii="Arial" w:cs="Arial" w:eastAsia="Arial" w:hAnsi="Arial"/>
                <w:sz w:val="18"/>
                <w:szCs w:val="18"/>
                <w:color w:val="auto"/>
                <w:w w:val="79"/>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w:t>
            </w:r>
          </w:p>
        </w:tc>
        <w:tc>
          <w:tcPr>
            <w:tcW w:w="200" w:type="dxa"/>
            <w:vAlign w:val="bottom"/>
            <w:tcBorders>
              <w:bottom w:val="single" w:sz="8" w:color="auto"/>
            </w:tcBorders>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363,248</w:t>
            </w:r>
          </w:p>
        </w:tc>
        <w:tc>
          <w:tcPr>
            <w:tcW w:w="220" w:type="dxa"/>
            <w:vAlign w:val="bottom"/>
            <w:tcBorders>
              <w:bottom w:val="single" w:sz="8" w:color="auto"/>
            </w:tcBorders>
          </w:tcPr>
          <w:p>
            <w:pPr>
              <w:spacing w:after="0"/>
              <w:rPr>
                <w:sz w:val="19"/>
                <w:szCs w:val="19"/>
                <w:color w:val="auto"/>
              </w:rPr>
            </w:pPr>
          </w:p>
        </w:tc>
        <w:tc>
          <w:tcPr>
            <w:tcW w:w="160" w:type="dxa"/>
            <w:vAlign w:val="bottom"/>
            <w:tcBorders>
              <w:top w:val="single" w:sz="8" w:color="auto"/>
              <w:bottom w:val="single" w:sz="8" w:color="auto"/>
            </w:tcBorders>
          </w:tcPr>
          <w:p>
            <w:pPr>
              <w:jc w:val="right"/>
              <w:ind w:right="7"/>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131,597</w:t>
            </w:r>
          </w:p>
        </w:tc>
        <w:tc>
          <w:tcPr>
            <w:tcW w:w="220" w:type="dxa"/>
            <w:vAlign w:val="bottom"/>
            <w:tcBorders>
              <w:bottom w:val="single" w:sz="8" w:color="auto"/>
            </w:tcBorders>
          </w:tcPr>
          <w:p>
            <w:pPr>
              <w:spacing w:after="0"/>
              <w:rPr>
                <w:sz w:val="19"/>
                <w:szCs w:val="19"/>
                <w:color w:val="auto"/>
              </w:rPr>
            </w:pPr>
          </w:p>
        </w:tc>
        <w:tc>
          <w:tcPr>
            <w:tcW w:w="200" w:type="dxa"/>
            <w:vAlign w:val="bottom"/>
            <w:tcBorders>
              <w:top w:val="single" w:sz="8" w:color="auto"/>
              <w:bottom w:val="single" w:sz="8" w:color="auto"/>
            </w:tcBorders>
          </w:tcPr>
          <w:p>
            <w:pPr>
              <w:jc w:val="right"/>
              <w:ind w:right="16"/>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494,861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20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3300" w:type="dxa"/>
            <w:vAlign w:val="bottom"/>
            <w:tcBorders>
              <w:bottom w:val="single" w:sz="8" w:color="auto"/>
            </w:tcBorders>
            <w:gridSpan w:val="8"/>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200" w:type="dxa"/>
            <w:vAlign w:val="bottom"/>
          </w:tcPr>
          <w:p>
            <w:pPr>
              <w:spacing w:after="0"/>
              <w:rPr>
                <w:sz w:val="18"/>
                <w:szCs w:val="18"/>
                <w:color w:val="auto"/>
              </w:rPr>
            </w:pPr>
          </w:p>
        </w:tc>
        <w:tc>
          <w:tcPr>
            <w:tcW w:w="100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3300" w:type="dxa"/>
            <w:vAlign w:val="bottom"/>
            <w:tcBorders>
              <w:bottom w:val="single" w:sz="8" w:color="auto"/>
            </w:tcBorders>
            <w:gridSpan w:val="8"/>
          </w:tcPr>
          <w:p>
            <w:pPr>
              <w:jc w:val="center"/>
              <w:ind w:right="580"/>
              <w:spacing w:after="0"/>
              <w:rPr>
                <w:sz w:val="20"/>
                <w:szCs w:val="20"/>
                <w:color w:val="auto"/>
              </w:rPr>
            </w:pPr>
            <w:r>
              <w:rPr>
                <w:rFonts w:ascii="Arial" w:cs="Arial" w:eastAsia="Arial" w:hAnsi="Arial"/>
                <w:sz w:val="14"/>
                <w:szCs w:val="14"/>
                <w:b w:val="1"/>
                <w:bCs w:val="1"/>
                <w:color w:val="auto"/>
                <w:w w:val="94"/>
              </w:rPr>
              <w:t>For the Three Months Ended June 30, 2019</w:t>
            </w:r>
          </w:p>
        </w:tc>
        <w:tc>
          <w:tcPr>
            <w:tcW w:w="20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33"/>
        </w:trPr>
        <w:tc>
          <w:tcPr>
            <w:tcW w:w="52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80" w:type="dxa"/>
            <w:vAlign w:val="bottom"/>
          </w:tcPr>
          <w:p>
            <w:pPr>
              <w:jc w:val="center"/>
              <w:ind w:right="56"/>
              <w:spacing w:after="0" w:line="133" w:lineRule="exact"/>
              <w:rPr>
                <w:sz w:val="20"/>
                <w:szCs w:val="20"/>
                <w:color w:val="auto"/>
              </w:rPr>
            </w:pPr>
            <w:r>
              <w:rPr>
                <w:rFonts w:ascii="Arial" w:cs="Arial" w:eastAsia="Arial" w:hAnsi="Arial"/>
                <w:sz w:val="14"/>
                <w:szCs w:val="14"/>
                <w:b w:val="1"/>
                <w:bCs w:val="1"/>
                <w:color w:val="auto"/>
                <w:w w:val="96"/>
              </w:rPr>
              <w:t>Additional</w:t>
            </w: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6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Retained</w:t>
            </w:r>
          </w:p>
        </w:tc>
        <w:tc>
          <w:tcPr>
            <w:tcW w:w="200" w:type="dxa"/>
            <w:vAlign w:val="bottom"/>
          </w:tcPr>
          <w:p>
            <w:pPr>
              <w:spacing w:after="0"/>
              <w:rPr>
                <w:sz w:val="11"/>
                <w:szCs w:val="11"/>
                <w:color w:val="auto"/>
              </w:rPr>
            </w:pPr>
          </w:p>
        </w:tc>
        <w:tc>
          <w:tcPr>
            <w:tcW w:w="840" w:type="dxa"/>
            <w:vAlign w:val="bottom"/>
          </w:tcPr>
          <w:p>
            <w:pPr>
              <w:jc w:val="center"/>
              <w:ind w:right="135"/>
              <w:spacing w:after="0" w:line="133" w:lineRule="exact"/>
              <w:rPr>
                <w:sz w:val="20"/>
                <w:szCs w:val="20"/>
                <w:color w:val="auto"/>
              </w:rPr>
            </w:pPr>
            <w:r>
              <w:rPr>
                <w:rFonts w:ascii="Arial" w:cs="Arial" w:eastAsia="Arial" w:hAnsi="Arial"/>
                <w:sz w:val="14"/>
                <w:szCs w:val="14"/>
                <w:b w:val="1"/>
                <w:bCs w:val="1"/>
                <w:color w:val="auto"/>
                <w:w w:val="89"/>
              </w:rPr>
              <w:t>Total</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5200" w:type="dxa"/>
            <w:vAlign w:val="bottom"/>
          </w:tcPr>
          <w:p>
            <w:pPr>
              <w:spacing w:after="0"/>
              <w:rPr>
                <w:sz w:val="12"/>
                <w:szCs w:val="12"/>
                <w:color w:val="auto"/>
              </w:rPr>
            </w:pPr>
          </w:p>
        </w:tc>
        <w:tc>
          <w:tcPr>
            <w:tcW w:w="1600" w:type="dxa"/>
            <w:vAlign w:val="bottom"/>
            <w:gridSpan w:val="4"/>
            <w:vMerge w:val="restart"/>
          </w:tcPr>
          <w:p>
            <w:pPr>
              <w:jc w:val="right"/>
              <w:spacing w:after="0"/>
              <w:rPr>
                <w:sz w:val="20"/>
                <w:szCs w:val="20"/>
                <w:color w:val="auto"/>
              </w:rPr>
            </w:pPr>
            <w:r>
              <w:rPr>
                <w:rFonts w:ascii="Arial" w:cs="Arial" w:eastAsia="Arial" w:hAnsi="Arial"/>
                <w:sz w:val="14"/>
                <w:szCs w:val="14"/>
                <w:b w:val="1"/>
                <w:bCs w:val="1"/>
                <w:color w:val="auto"/>
              </w:rPr>
              <w:t>Common Stock</w:t>
            </w:r>
          </w:p>
        </w:tc>
        <w:tc>
          <w:tcPr>
            <w:tcW w:w="6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tcPr>
          <w:p>
            <w:pPr>
              <w:jc w:val="center"/>
              <w:ind w:right="56"/>
              <w:spacing w:after="0" w:line="149" w:lineRule="exact"/>
              <w:rPr>
                <w:sz w:val="20"/>
                <w:szCs w:val="20"/>
                <w:color w:val="auto"/>
              </w:rPr>
            </w:pPr>
            <w:r>
              <w:rPr>
                <w:rFonts w:ascii="Arial" w:cs="Arial" w:eastAsia="Arial" w:hAnsi="Arial"/>
                <w:sz w:val="14"/>
                <w:szCs w:val="14"/>
                <w:b w:val="1"/>
                <w:bCs w:val="1"/>
                <w:color w:val="auto"/>
                <w:w w:val="98"/>
              </w:rPr>
              <w:t>Paid-in</w:t>
            </w: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60" w:type="dxa"/>
            <w:vAlign w:val="bottom"/>
            <w:gridSpan w:val="2"/>
            <w:vMerge w:val="continue"/>
          </w:tcPr>
          <w:p>
            <w:pPr>
              <w:spacing w:after="0"/>
              <w:rPr>
                <w:sz w:val="12"/>
                <w:szCs w:val="12"/>
                <w:color w:val="auto"/>
              </w:rPr>
            </w:pPr>
          </w:p>
        </w:tc>
        <w:tc>
          <w:tcPr>
            <w:tcW w:w="1140" w:type="dxa"/>
            <w:vAlign w:val="bottom"/>
            <w:gridSpan w:val="3"/>
          </w:tcPr>
          <w:p>
            <w:pPr>
              <w:jc w:val="center"/>
              <w:ind w:right="120"/>
              <w:spacing w:after="0" w:line="149" w:lineRule="exact"/>
              <w:rPr>
                <w:sz w:val="20"/>
                <w:szCs w:val="20"/>
                <w:color w:val="auto"/>
              </w:rPr>
            </w:pPr>
            <w:r>
              <w:rPr>
                <w:rFonts w:ascii="Arial" w:cs="Arial" w:eastAsia="Arial" w:hAnsi="Arial"/>
                <w:sz w:val="14"/>
                <w:szCs w:val="14"/>
                <w:b w:val="1"/>
                <w:bCs w:val="1"/>
                <w:color w:val="auto"/>
                <w:w w:val="92"/>
              </w:rPr>
              <w:t>Stockholders’</w:t>
            </w:r>
          </w:p>
        </w:tc>
        <w:tc>
          <w:tcPr>
            <w:tcW w:w="0" w:type="dxa"/>
            <w:vAlign w:val="bottom"/>
          </w:tcPr>
          <w:p>
            <w:pPr>
              <w:spacing w:after="0"/>
              <w:rPr>
                <w:sz w:val="1"/>
                <w:szCs w:val="1"/>
                <w:color w:val="auto"/>
              </w:rPr>
            </w:pPr>
          </w:p>
        </w:tc>
      </w:tr>
      <w:tr>
        <w:trPr>
          <w:trHeight w:val="171"/>
        </w:trPr>
        <w:tc>
          <w:tcPr>
            <w:tcW w:w="5200" w:type="dxa"/>
            <w:vAlign w:val="bottom"/>
          </w:tcPr>
          <w:p>
            <w:pPr>
              <w:spacing w:after="0"/>
              <w:rPr>
                <w:sz w:val="14"/>
                <w:szCs w:val="14"/>
                <w:color w:val="auto"/>
              </w:rPr>
            </w:pPr>
          </w:p>
        </w:tc>
        <w:tc>
          <w:tcPr>
            <w:tcW w:w="1600" w:type="dxa"/>
            <w:vAlign w:val="bottom"/>
            <w:gridSpan w:val="4"/>
            <w:vMerge w:val="continue"/>
          </w:tcPr>
          <w:p>
            <w:pPr>
              <w:spacing w:after="0"/>
              <w:rPr>
                <w:sz w:val="14"/>
                <w:szCs w:val="14"/>
                <w:color w:val="auto"/>
              </w:rPr>
            </w:pPr>
          </w:p>
        </w:tc>
        <w:tc>
          <w:tcPr>
            <w:tcW w:w="6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tcPr>
          <w:p>
            <w:pPr>
              <w:jc w:val="center"/>
              <w:ind w:right="56"/>
              <w:spacing w:after="0"/>
              <w:rPr>
                <w:sz w:val="20"/>
                <w:szCs w:val="20"/>
                <w:color w:val="auto"/>
              </w:rPr>
            </w:pPr>
            <w:r>
              <w:rPr>
                <w:rFonts w:ascii="Arial" w:cs="Arial" w:eastAsia="Arial" w:hAnsi="Arial"/>
                <w:sz w:val="14"/>
                <w:szCs w:val="14"/>
                <w:b w:val="1"/>
                <w:bCs w:val="1"/>
                <w:color w:val="auto"/>
                <w:w w:val="98"/>
              </w:rPr>
              <w:t>Capital</w:t>
            </w: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60" w:type="dxa"/>
            <w:vAlign w:val="bottom"/>
            <w:gridSpan w:val="2"/>
          </w:tcPr>
          <w:p>
            <w:pPr>
              <w:ind w:left="60"/>
              <w:spacing w:after="0"/>
              <w:rPr>
                <w:sz w:val="20"/>
                <w:szCs w:val="20"/>
                <w:color w:val="auto"/>
              </w:rPr>
            </w:pPr>
            <w:r>
              <w:rPr>
                <w:rFonts w:ascii="Arial" w:cs="Arial" w:eastAsia="Arial" w:hAnsi="Arial"/>
                <w:sz w:val="14"/>
                <w:szCs w:val="14"/>
                <w:b w:val="1"/>
                <w:bCs w:val="1"/>
                <w:color w:val="auto"/>
              </w:rPr>
              <w:t>Earnings</w:t>
            </w:r>
          </w:p>
        </w:tc>
        <w:tc>
          <w:tcPr>
            <w:tcW w:w="200" w:type="dxa"/>
            <w:vAlign w:val="bottom"/>
          </w:tcPr>
          <w:p>
            <w:pPr>
              <w:spacing w:after="0"/>
              <w:rPr>
                <w:sz w:val="14"/>
                <w:szCs w:val="14"/>
                <w:color w:val="auto"/>
              </w:rPr>
            </w:pPr>
          </w:p>
        </w:tc>
        <w:tc>
          <w:tcPr>
            <w:tcW w:w="94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8"/>
              </w:rPr>
              <w:t>Equity</w:t>
            </w:r>
          </w:p>
        </w:tc>
        <w:tc>
          <w:tcPr>
            <w:tcW w:w="0" w:type="dxa"/>
            <w:vAlign w:val="bottom"/>
          </w:tcPr>
          <w:p>
            <w:pPr>
              <w:spacing w:after="0"/>
              <w:rPr>
                <w:sz w:val="1"/>
                <w:szCs w:val="1"/>
                <w:color w:val="auto"/>
              </w:rPr>
            </w:pPr>
          </w:p>
        </w:tc>
      </w:tr>
      <w:tr>
        <w:trPr>
          <w:trHeight w:val="223"/>
        </w:trPr>
        <w:tc>
          <w:tcPr>
            <w:tcW w:w="52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Balance at April 1, 2019</w:t>
            </w:r>
          </w:p>
        </w:tc>
        <w:tc>
          <w:tcPr>
            <w:tcW w:w="10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13,178</w:t>
            </w:r>
          </w:p>
        </w:tc>
        <w:tc>
          <w:tcPr>
            <w:tcW w:w="140" w:type="dxa"/>
            <w:vAlign w:val="bottom"/>
            <w:tcBorders>
              <w:top w:val="single" w:sz="8" w:color="auto"/>
            </w:tcBorders>
            <w:shd w:val="clear" w:color="auto" w:fill="CFF0FC"/>
          </w:tcPr>
          <w:p>
            <w:pPr>
              <w:spacing w:after="0"/>
              <w:rPr>
                <w:sz w:val="19"/>
                <w:szCs w:val="19"/>
                <w:color w:val="auto"/>
              </w:rPr>
            </w:pPr>
          </w:p>
        </w:tc>
        <w:tc>
          <w:tcPr>
            <w:tcW w:w="460" w:type="dxa"/>
            <w:vAlign w:val="bottom"/>
            <w:tcBorders>
              <w:top w:val="single" w:sz="8" w:color="auto"/>
            </w:tcBorders>
            <w:gridSpan w:val="2"/>
            <w:shd w:val="clear" w:color="auto" w:fill="CFF0FC"/>
          </w:tcPr>
          <w:p>
            <w:pPr>
              <w:jc w:val="right"/>
              <w:ind w:right="192"/>
              <w:spacing w:after="0"/>
              <w:rPr>
                <w:sz w:val="20"/>
                <w:szCs w:val="20"/>
                <w:color w:val="auto"/>
              </w:rPr>
            </w:pPr>
            <w:r>
              <w:rPr>
                <w:rFonts w:ascii="Arial" w:cs="Arial" w:eastAsia="Arial" w:hAnsi="Arial"/>
                <w:sz w:val="18"/>
                <w:szCs w:val="18"/>
                <w:color w:val="auto"/>
              </w:rPr>
              <w:t>$</w:t>
            </w:r>
          </w:p>
        </w:tc>
        <w:tc>
          <w:tcPr>
            <w:tcW w:w="6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w:t>
            </w:r>
          </w:p>
        </w:tc>
        <w:tc>
          <w:tcPr>
            <w:tcW w:w="20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178,916</w:t>
            </w:r>
          </w:p>
        </w:tc>
        <w:tc>
          <w:tcPr>
            <w:tcW w:w="22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jc w:val="right"/>
              <w:ind w:right="7"/>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95,091</w:t>
            </w:r>
          </w:p>
        </w:tc>
        <w:tc>
          <w:tcPr>
            <w:tcW w:w="22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jc w:val="right"/>
              <w:ind w:right="16"/>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274,020</w:t>
            </w: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5200" w:type="dxa"/>
            <w:vAlign w:val="bottom"/>
          </w:tcPr>
          <w:p>
            <w:pPr>
              <w:spacing w:after="0"/>
              <w:rPr>
                <w:sz w:val="20"/>
                <w:szCs w:val="20"/>
                <w:color w:val="auto"/>
              </w:rPr>
            </w:pPr>
            <w:r>
              <w:rPr>
                <w:rFonts w:ascii="Arial" w:cs="Arial" w:eastAsia="Arial" w:hAnsi="Arial"/>
                <w:sz w:val="18"/>
                <w:szCs w:val="18"/>
                <w:color w:val="auto"/>
              </w:rPr>
              <w:t>Issuance of shares of common stock under</w:t>
            </w:r>
          </w:p>
        </w:tc>
        <w:tc>
          <w:tcPr>
            <w:tcW w:w="100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80" w:type="dxa"/>
            <w:vAlign w:val="bottom"/>
            <w:tcBorders>
              <w:top w:val="single" w:sz="8" w:color="auto"/>
            </w:tcBorders>
          </w:tcPr>
          <w:p>
            <w:pPr>
              <w:spacing w:after="0"/>
              <w:rPr>
                <w:sz w:val="18"/>
                <w:szCs w:val="18"/>
                <w:color w:val="auto"/>
              </w:rPr>
            </w:pPr>
          </w:p>
        </w:tc>
        <w:tc>
          <w:tcPr>
            <w:tcW w:w="64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200" w:type="dxa"/>
            <w:vAlign w:val="bottom"/>
          </w:tcPr>
          <w:p>
            <w:pPr>
              <w:ind w:left="140"/>
              <w:spacing w:after="0"/>
              <w:rPr>
                <w:sz w:val="20"/>
                <w:szCs w:val="20"/>
                <w:color w:val="auto"/>
              </w:rPr>
            </w:pPr>
            <w:r>
              <w:rPr>
                <w:rFonts w:ascii="Arial" w:cs="Arial" w:eastAsia="Arial" w:hAnsi="Arial"/>
                <w:sz w:val="18"/>
                <w:szCs w:val="18"/>
                <w:color w:val="auto"/>
              </w:rPr>
              <w:t>restricted stock award agreements</w:t>
            </w:r>
          </w:p>
        </w:tc>
        <w:tc>
          <w:tcPr>
            <w:tcW w:w="1000" w:type="dxa"/>
            <w:vAlign w:val="bottom"/>
          </w:tcPr>
          <w:p>
            <w:pPr>
              <w:jc w:val="right"/>
              <w:spacing w:after="0"/>
              <w:rPr>
                <w:sz w:val="20"/>
                <w:szCs w:val="20"/>
                <w:color w:val="auto"/>
              </w:rPr>
            </w:pPr>
            <w:r>
              <w:rPr>
                <w:rFonts w:ascii="Arial" w:cs="Arial" w:eastAsia="Arial" w:hAnsi="Arial"/>
                <w:sz w:val="18"/>
                <w:szCs w:val="18"/>
                <w:color w:val="auto"/>
              </w:rPr>
              <w:t>11</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9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5200" w:type="dxa"/>
            <w:vAlign w:val="bottom"/>
            <w:shd w:val="clear" w:color="auto" w:fill="CFF0FC"/>
          </w:tcPr>
          <w:p>
            <w:pPr>
              <w:spacing w:after="0"/>
              <w:rPr>
                <w:sz w:val="20"/>
                <w:szCs w:val="20"/>
                <w:color w:val="auto"/>
              </w:rPr>
            </w:pPr>
            <w:r>
              <w:rPr>
                <w:rFonts w:ascii="Arial" w:cs="Arial" w:eastAsia="Arial" w:hAnsi="Arial"/>
                <w:sz w:val="18"/>
                <w:szCs w:val="18"/>
                <w:color w:val="auto"/>
              </w:rPr>
              <w:t>Stock-based compensation</w:t>
            </w:r>
          </w:p>
        </w:tc>
        <w:tc>
          <w:tcPr>
            <w:tcW w:w="114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84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1,482</w:t>
            </w:r>
          </w:p>
        </w:tc>
        <w:tc>
          <w:tcPr>
            <w:tcW w:w="2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6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1,482</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00" w:type="dxa"/>
            <w:vAlign w:val="bottom"/>
          </w:tcPr>
          <w:p>
            <w:pPr>
              <w:spacing w:after="0"/>
              <w:rPr>
                <w:sz w:val="20"/>
                <w:szCs w:val="20"/>
                <w:color w:val="auto"/>
              </w:rPr>
            </w:pPr>
            <w:r>
              <w:rPr>
                <w:rFonts w:ascii="Arial" w:cs="Arial" w:eastAsia="Arial" w:hAnsi="Arial"/>
                <w:sz w:val="18"/>
                <w:szCs w:val="18"/>
                <w:color w:val="auto"/>
              </w:rPr>
              <w:t>Shares issued for exercise of stock options</w:t>
            </w:r>
          </w:p>
        </w:tc>
        <w:tc>
          <w:tcPr>
            <w:tcW w:w="1000" w:type="dxa"/>
            <w:vAlign w:val="bottom"/>
          </w:tcPr>
          <w:p>
            <w:pPr>
              <w:jc w:val="right"/>
              <w:spacing w:after="0"/>
              <w:rPr>
                <w:sz w:val="20"/>
                <w:szCs w:val="20"/>
                <w:color w:val="auto"/>
              </w:rPr>
            </w:pPr>
            <w:r>
              <w:rPr>
                <w:rFonts w:ascii="Arial" w:cs="Arial" w:eastAsia="Arial" w:hAnsi="Arial"/>
                <w:sz w:val="18"/>
                <w:szCs w:val="18"/>
                <w:color w:val="auto"/>
              </w:rPr>
              <w:t>30</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713</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713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00" w:type="dxa"/>
            <w:vAlign w:val="bottom"/>
            <w:shd w:val="clear" w:color="auto" w:fill="CFF0FC"/>
          </w:tcPr>
          <w:p>
            <w:pPr>
              <w:spacing w:after="0"/>
              <w:rPr>
                <w:sz w:val="20"/>
                <w:szCs w:val="20"/>
                <w:color w:val="auto"/>
              </w:rPr>
            </w:pPr>
            <w:r>
              <w:rPr>
                <w:rFonts w:ascii="Arial" w:cs="Arial" w:eastAsia="Arial" w:hAnsi="Arial"/>
                <w:sz w:val="18"/>
                <w:szCs w:val="18"/>
                <w:color w:val="auto"/>
              </w:rPr>
              <w:t>Net income</w:t>
            </w:r>
          </w:p>
        </w:tc>
        <w:tc>
          <w:tcPr>
            <w:tcW w:w="114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84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5,292</w:t>
            </w:r>
          </w:p>
        </w:tc>
        <w:tc>
          <w:tcPr>
            <w:tcW w:w="2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5,292</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200" w:type="dxa"/>
            <w:vAlign w:val="bottom"/>
          </w:tcPr>
          <w:p>
            <w:pPr>
              <w:spacing w:after="0"/>
              <w:rPr>
                <w:sz w:val="20"/>
                <w:szCs w:val="20"/>
                <w:color w:val="auto"/>
              </w:rPr>
            </w:pPr>
            <w:r>
              <w:rPr>
                <w:rFonts w:ascii="Arial" w:cs="Arial" w:eastAsia="Arial" w:hAnsi="Arial"/>
                <w:sz w:val="18"/>
                <w:szCs w:val="18"/>
                <w:color w:val="auto"/>
              </w:rPr>
              <w:t>Balance at June 30, 2019</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13,219</w:t>
            </w:r>
          </w:p>
        </w:tc>
        <w:tc>
          <w:tcPr>
            <w:tcW w:w="14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380" w:type="dxa"/>
            <w:vAlign w:val="bottom"/>
            <w:tcBorders>
              <w:top w:val="single" w:sz="8" w:color="auto"/>
              <w:bottom w:val="single" w:sz="8" w:color="auto"/>
            </w:tcBorders>
          </w:tcPr>
          <w:p>
            <w:pPr>
              <w:jc w:val="right"/>
              <w:ind w:right="192"/>
              <w:spacing w:after="0"/>
              <w:rPr>
                <w:sz w:val="20"/>
                <w:szCs w:val="20"/>
                <w:color w:val="auto"/>
              </w:rPr>
            </w:pPr>
            <w:r>
              <w:rPr>
                <w:rFonts w:ascii="Arial" w:cs="Arial" w:eastAsia="Arial" w:hAnsi="Arial"/>
                <w:sz w:val="18"/>
                <w:szCs w:val="18"/>
                <w:color w:val="auto"/>
                <w:w w:val="79"/>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w:t>
            </w:r>
          </w:p>
        </w:tc>
        <w:tc>
          <w:tcPr>
            <w:tcW w:w="200" w:type="dxa"/>
            <w:vAlign w:val="bottom"/>
            <w:tcBorders>
              <w:bottom w:val="single" w:sz="8" w:color="auto"/>
            </w:tcBorders>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181,111</w:t>
            </w:r>
          </w:p>
        </w:tc>
        <w:tc>
          <w:tcPr>
            <w:tcW w:w="220" w:type="dxa"/>
            <w:vAlign w:val="bottom"/>
            <w:tcBorders>
              <w:bottom w:val="single" w:sz="8" w:color="auto"/>
            </w:tcBorders>
          </w:tcPr>
          <w:p>
            <w:pPr>
              <w:spacing w:after="0"/>
              <w:rPr>
                <w:sz w:val="19"/>
                <w:szCs w:val="19"/>
                <w:color w:val="auto"/>
              </w:rPr>
            </w:pPr>
          </w:p>
        </w:tc>
        <w:tc>
          <w:tcPr>
            <w:tcW w:w="160" w:type="dxa"/>
            <w:vAlign w:val="bottom"/>
            <w:tcBorders>
              <w:top w:val="single" w:sz="8" w:color="auto"/>
              <w:bottom w:val="single" w:sz="8" w:color="auto"/>
            </w:tcBorders>
          </w:tcPr>
          <w:p>
            <w:pPr>
              <w:jc w:val="right"/>
              <w:ind w:right="7"/>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100,383</w:t>
            </w:r>
          </w:p>
        </w:tc>
        <w:tc>
          <w:tcPr>
            <w:tcW w:w="220" w:type="dxa"/>
            <w:vAlign w:val="bottom"/>
            <w:tcBorders>
              <w:bottom w:val="single" w:sz="8" w:color="auto"/>
            </w:tcBorders>
          </w:tcPr>
          <w:p>
            <w:pPr>
              <w:spacing w:after="0"/>
              <w:rPr>
                <w:sz w:val="19"/>
                <w:szCs w:val="19"/>
                <w:color w:val="auto"/>
              </w:rPr>
            </w:pPr>
          </w:p>
        </w:tc>
        <w:tc>
          <w:tcPr>
            <w:tcW w:w="200" w:type="dxa"/>
            <w:vAlign w:val="bottom"/>
            <w:tcBorders>
              <w:top w:val="single" w:sz="8" w:color="auto"/>
              <w:bottom w:val="single" w:sz="8" w:color="auto"/>
            </w:tcBorders>
          </w:tcPr>
          <w:p>
            <w:pPr>
              <w:jc w:val="right"/>
              <w:ind w:right="16"/>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281,507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20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3300" w:type="dxa"/>
            <w:vAlign w:val="bottom"/>
            <w:tcBorders>
              <w:bottom w:val="single" w:sz="8" w:color="auto"/>
            </w:tcBorders>
            <w:gridSpan w:val="8"/>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200" w:type="dxa"/>
            <w:vAlign w:val="bottom"/>
          </w:tcPr>
          <w:p>
            <w:pPr>
              <w:spacing w:after="0"/>
              <w:rPr>
                <w:sz w:val="18"/>
                <w:szCs w:val="18"/>
                <w:color w:val="auto"/>
              </w:rPr>
            </w:pPr>
          </w:p>
        </w:tc>
        <w:tc>
          <w:tcPr>
            <w:tcW w:w="100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3300" w:type="dxa"/>
            <w:vAlign w:val="bottom"/>
            <w:tcBorders>
              <w:bottom w:val="single" w:sz="8" w:color="auto"/>
            </w:tcBorders>
            <w:gridSpan w:val="8"/>
          </w:tcPr>
          <w:p>
            <w:pPr>
              <w:jc w:val="center"/>
              <w:ind w:right="580"/>
              <w:spacing w:after="0"/>
              <w:rPr>
                <w:sz w:val="20"/>
                <w:szCs w:val="20"/>
                <w:color w:val="auto"/>
              </w:rPr>
            </w:pPr>
            <w:r>
              <w:rPr>
                <w:rFonts w:ascii="Arial" w:cs="Arial" w:eastAsia="Arial" w:hAnsi="Arial"/>
                <w:sz w:val="14"/>
                <w:szCs w:val="14"/>
                <w:b w:val="1"/>
                <w:bCs w:val="1"/>
                <w:color w:val="auto"/>
                <w:w w:val="92"/>
              </w:rPr>
              <w:t>For the Six Months Ended June 30, 2019</w:t>
            </w:r>
          </w:p>
        </w:tc>
        <w:tc>
          <w:tcPr>
            <w:tcW w:w="20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33"/>
        </w:trPr>
        <w:tc>
          <w:tcPr>
            <w:tcW w:w="52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80" w:type="dxa"/>
            <w:vAlign w:val="bottom"/>
          </w:tcPr>
          <w:p>
            <w:pPr>
              <w:jc w:val="center"/>
              <w:ind w:right="56"/>
              <w:spacing w:after="0" w:line="133" w:lineRule="exact"/>
              <w:rPr>
                <w:sz w:val="20"/>
                <w:szCs w:val="20"/>
                <w:color w:val="auto"/>
              </w:rPr>
            </w:pPr>
            <w:r>
              <w:rPr>
                <w:rFonts w:ascii="Arial" w:cs="Arial" w:eastAsia="Arial" w:hAnsi="Arial"/>
                <w:sz w:val="14"/>
                <w:szCs w:val="14"/>
                <w:b w:val="1"/>
                <w:bCs w:val="1"/>
                <w:color w:val="auto"/>
                <w:w w:val="96"/>
              </w:rPr>
              <w:t>Additional</w:t>
            </w: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6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Retained</w:t>
            </w:r>
          </w:p>
        </w:tc>
        <w:tc>
          <w:tcPr>
            <w:tcW w:w="200" w:type="dxa"/>
            <w:vAlign w:val="bottom"/>
          </w:tcPr>
          <w:p>
            <w:pPr>
              <w:spacing w:after="0"/>
              <w:rPr>
                <w:sz w:val="11"/>
                <w:szCs w:val="11"/>
                <w:color w:val="auto"/>
              </w:rPr>
            </w:pPr>
          </w:p>
        </w:tc>
        <w:tc>
          <w:tcPr>
            <w:tcW w:w="840" w:type="dxa"/>
            <w:vAlign w:val="bottom"/>
          </w:tcPr>
          <w:p>
            <w:pPr>
              <w:jc w:val="center"/>
              <w:ind w:right="135"/>
              <w:spacing w:after="0" w:line="133" w:lineRule="exact"/>
              <w:rPr>
                <w:sz w:val="20"/>
                <w:szCs w:val="20"/>
                <w:color w:val="auto"/>
              </w:rPr>
            </w:pPr>
            <w:r>
              <w:rPr>
                <w:rFonts w:ascii="Arial" w:cs="Arial" w:eastAsia="Arial" w:hAnsi="Arial"/>
                <w:sz w:val="14"/>
                <w:szCs w:val="14"/>
                <w:b w:val="1"/>
                <w:bCs w:val="1"/>
                <w:color w:val="auto"/>
                <w:w w:val="89"/>
              </w:rPr>
              <w:t>Total</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5200" w:type="dxa"/>
            <w:vAlign w:val="bottom"/>
          </w:tcPr>
          <w:p>
            <w:pPr>
              <w:spacing w:after="0"/>
              <w:rPr>
                <w:sz w:val="12"/>
                <w:szCs w:val="12"/>
                <w:color w:val="auto"/>
              </w:rPr>
            </w:pPr>
          </w:p>
        </w:tc>
        <w:tc>
          <w:tcPr>
            <w:tcW w:w="1600" w:type="dxa"/>
            <w:vAlign w:val="bottom"/>
            <w:gridSpan w:val="4"/>
            <w:vMerge w:val="restart"/>
          </w:tcPr>
          <w:p>
            <w:pPr>
              <w:jc w:val="right"/>
              <w:spacing w:after="0"/>
              <w:rPr>
                <w:sz w:val="20"/>
                <w:szCs w:val="20"/>
                <w:color w:val="auto"/>
              </w:rPr>
            </w:pPr>
            <w:r>
              <w:rPr>
                <w:rFonts w:ascii="Arial" w:cs="Arial" w:eastAsia="Arial" w:hAnsi="Arial"/>
                <w:sz w:val="14"/>
                <w:szCs w:val="14"/>
                <w:b w:val="1"/>
                <w:bCs w:val="1"/>
                <w:color w:val="auto"/>
              </w:rPr>
              <w:t>Common Stock</w:t>
            </w:r>
          </w:p>
        </w:tc>
        <w:tc>
          <w:tcPr>
            <w:tcW w:w="6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tcPr>
          <w:p>
            <w:pPr>
              <w:jc w:val="center"/>
              <w:ind w:right="56"/>
              <w:spacing w:after="0" w:line="149" w:lineRule="exact"/>
              <w:rPr>
                <w:sz w:val="20"/>
                <w:szCs w:val="20"/>
                <w:color w:val="auto"/>
              </w:rPr>
            </w:pPr>
            <w:r>
              <w:rPr>
                <w:rFonts w:ascii="Arial" w:cs="Arial" w:eastAsia="Arial" w:hAnsi="Arial"/>
                <w:sz w:val="14"/>
                <w:szCs w:val="14"/>
                <w:b w:val="1"/>
                <w:bCs w:val="1"/>
                <w:color w:val="auto"/>
                <w:w w:val="98"/>
              </w:rPr>
              <w:t>Paid-in</w:t>
            </w: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60" w:type="dxa"/>
            <w:vAlign w:val="bottom"/>
            <w:gridSpan w:val="2"/>
            <w:vMerge w:val="continue"/>
          </w:tcPr>
          <w:p>
            <w:pPr>
              <w:spacing w:after="0"/>
              <w:rPr>
                <w:sz w:val="12"/>
                <w:szCs w:val="12"/>
                <w:color w:val="auto"/>
              </w:rPr>
            </w:pPr>
          </w:p>
        </w:tc>
        <w:tc>
          <w:tcPr>
            <w:tcW w:w="1140" w:type="dxa"/>
            <w:vAlign w:val="bottom"/>
            <w:gridSpan w:val="3"/>
          </w:tcPr>
          <w:p>
            <w:pPr>
              <w:jc w:val="center"/>
              <w:ind w:right="120"/>
              <w:spacing w:after="0" w:line="149" w:lineRule="exact"/>
              <w:rPr>
                <w:sz w:val="20"/>
                <w:szCs w:val="20"/>
                <w:color w:val="auto"/>
              </w:rPr>
            </w:pPr>
            <w:r>
              <w:rPr>
                <w:rFonts w:ascii="Arial" w:cs="Arial" w:eastAsia="Arial" w:hAnsi="Arial"/>
                <w:sz w:val="14"/>
                <w:szCs w:val="14"/>
                <w:b w:val="1"/>
                <w:bCs w:val="1"/>
                <w:color w:val="auto"/>
                <w:w w:val="92"/>
              </w:rPr>
              <w:t>Stockholders’</w:t>
            </w:r>
          </w:p>
        </w:tc>
        <w:tc>
          <w:tcPr>
            <w:tcW w:w="0" w:type="dxa"/>
            <w:vAlign w:val="bottom"/>
          </w:tcPr>
          <w:p>
            <w:pPr>
              <w:spacing w:after="0"/>
              <w:rPr>
                <w:sz w:val="1"/>
                <w:szCs w:val="1"/>
                <w:color w:val="auto"/>
              </w:rPr>
            </w:pPr>
          </w:p>
        </w:tc>
      </w:tr>
      <w:tr>
        <w:trPr>
          <w:trHeight w:val="171"/>
        </w:trPr>
        <w:tc>
          <w:tcPr>
            <w:tcW w:w="5200" w:type="dxa"/>
            <w:vAlign w:val="bottom"/>
          </w:tcPr>
          <w:p>
            <w:pPr>
              <w:spacing w:after="0"/>
              <w:rPr>
                <w:sz w:val="14"/>
                <w:szCs w:val="14"/>
                <w:color w:val="auto"/>
              </w:rPr>
            </w:pPr>
          </w:p>
        </w:tc>
        <w:tc>
          <w:tcPr>
            <w:tcW w:w="1600" w:type="dxa"/>
            <w:vAlign w:val="bottom"/>
            <w:gridSpan w:val="4"/>
            <w:vMerge w:val="continue"/>
          </w:tcPr>
          <w:p>
            <w:pPr>
              <w:spacing w:after="0"/>
              <w:rPr>
                <w:sz w:val="14"/>
                <w:szCs w:val="14"/>
                <w:color w:val="auto"/>
              </w:rPr>
            </w:pPr>
          </w:p>
        </w:tc>
        <w:tc>
          <w:tcPr>
            <w:tcW w:w="6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tcPr>
          <w:p>
            <w:pPr>
              <w:jc w:val="center"/>
              <w:ind w:right="56"/>
              <w:spacing w:after="0"/>
              <w:rPr>
                <w:sz w:val="20"/>
                <w:szCs w:val="20"/>
                <w:color w:val="auto"/>
              </w:rPr>
            </w:pPr>
            <w:r>
              <w:rPr>
                <w:rFonts w:ascii="Arial" w:cs="Arial" w:eastAsia="Arial" w:hAnsi="Arial"/>
                <w:sz w:val="14"/>
                <w:szCs w:val="14"/>
                <w:b w:val="1"/>
                <w:bCs w:val="1"/>
                <w:color w:val="auto"/>
                <w:w w:val="98"/>
              </w:rPr>
              <w:t>Capital</w:t>
            </w: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60" w:type="dxa"/>
            <w:vAlign w:val="bottom"/>
            <w:gridSpan w:val="2"/>
          </w:tcPr>
          <w:p>
            <w:pPr>
              <w:ind w:left="60"/>
              <w:spacing w:after="0"/>
              <w:rPr>
                <w:sz w:val="20"/>
                <w:szCs w:val="20"/>
                <w:color w:val="auto"/>
              </w:rPr>
            </w:pPr>
            <w:r>
              <w:rPr>
                <w:rFonts w:ascii="Arial" w:cs="Arial" w:eastAsia="Arial" w:hAnsi="Arial"/>
                <w:sz w:val="14"/>
                <w:szCs w:val="14"/>
                <w:b w:val="1"/>
                <w:bCs w:val="1"/>
                <w:color w:val="auto"/>
              </w:rPr>
              <w:t>Earnings</w:t>
            </w:r>
          </w:p>
        </w:tc>
        <w:tc>
          <w:tcPr>
            <w:tcW w:w="200" w:type="dxa"/>
            <w:vAlign w:val="bottom"/>
          </w:tcPr>
          <w:p>
            <w:pPr>
              <w:spacing w:after="0"/>
              <w:rPr>
                <w:sz w:val="14"/>
                <w:szCs w:val="14"/>
                <w:color w:val="auto"/>
              </w:rPr>
            </w:pPr>
          </w:p>
        </w:tc>
        <w:tc>
          <w:tcPr>
            <w:tcW w:w="94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8"/>
              </w:rPr>
              <w:t>Equity</w:t>
            </w:r>
          </w:p>
        </w:tc>
        <w:tc>
          <w:tcPr>
            <w:tcW w:w="0" w:type="dxa"/>
            <w:vAlign w:val="bottom"/>
          </w:tcPr>
          <w:p>
            <w:pPr>
              <w:spacing w:after="0"/>
              <w:rPr>
                <w:sz w:val="1"/>
                <w:szCs w:val="1"/>
                <w:color w:val="auto"/>
              </w:rPr>
            </w:pPr>
          </w:p>
        </w:tc>
      </w:tr>
      <w:tr>
        <w:trPr>
          <w:trHeight w:val="223"/>
        </w:trPr>
        <w:tc>
          <w:tcPr>
            <w:tcW w:w="52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Balance at January 1, 2019</w:t>
            </w:r>
          </w:p>
        </w:tc>
        <w:tc>
          <w:tcPr>
            <w:tcW w:w="10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13,126</w:t>
            </w:r>
          </w:p>
        </w:tc>
        <w:tc>
          <w:tcPr>
            <w:tcW w:w="140" w:type="dxa"/>
            <w:vAlign w:val="bottom"/>
            <w:tcBorders>
              <w:top w:val="single" w:sz="8" w:color="auto"/>
            </w:tcBorders>
            <w:shd w:val="clear" w:color="auto" w:fill="CFF0FC"/>
          </w:tcPr>
          <w:p>
            <w:pPr>
              <w:spacing w:after="0"/>
              <w:rPr>
                <w:sz w:val="19"/>
                <w:szCs w:val="19"/>
                <w:color w:val="auto"/>
              </w:rPr>
            </w:pPr>
          </w:p>
        </w:tc>
        <w:tc>
          <w:tcPr>
            <w:tcW w:w="460" w:type="dxa"/>
            <w:vAlign w:val="bottom"/>
            <w:tcBorders>
              <w:top w:val="single" w:sz="8" w:color="auto"/>
            </w:tcBorders>
            <w:gridSpan w:val="2"/>
            <w:shd w:val="clear" w:color="auto" w:fill="CFF0FC"/>
          </w:tcPr>
          <w:p>
            <w:pPr>
              <w:jc w:val="right"/>
              <w:ind w:right="192"/>
              <w:spacing w:after="0"/>
              <w:rPr>
                <w:sz w:val="20"/>
                <w:szCs w:val="20"/>
                <w:color w:val="auto"/>
              </w:rPr>
            </w:pPr>
            <w:r>
              <w:rPr>
                <w:rFonts w:ascii="Arial" w:cs="Arial" w:eastAsia="Arial" w:hAnsi="Arial"/>
                <w:sz w:val="18"/>
                <w:szCs w:val="18"/>
                <w:color w:val="auto"/>
              </w:rPr>
              <w:t>$</w:t>
            </w:r>
          </w:p>
        </w:tc>
        <w:tc>
          <w:tcPr>
            <w:tcW w:w="6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w:t>
            </w:r>
          </w:p>
        </w:tc>
        <w:tc>
          <w:tcPr>
            <w:tcW w:w="20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177,683</w:t>
            </w:r>
          </w:p>
        </w:tc>
        <w:tc>
          <w:tcPr>
            <w:tcW w:w="22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jc w:val="right"/>
              <w:ind w:right="7"/>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90,795</w:t>
            </w:r>
          </w:p>
        </w:tc>
        <w:tc>
          <w:tcPr>
            <w:tcW w:w="22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jc w:val="right"/>
              <w:ind w:right="16"/>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268,491</w:t>
            </w: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5200" w:type="dxa"/>
            <w:vAlign w:val="bottom"/>
          </w:tcPr>
          <w:p>
            <w:pPr>
              <w:spacing w:after="0"/>
              <w:rPr>
                <w:sz w:val="20"/>
                <w:szCs w:val="20"/>
                <w:color w:val="auto"/>
              </w:rPr>
            </w:pPr>
            <w:r>
              <w:rPr>
                <w:rFonts w:ascii="Arial" w:cs="Arial" w:eastAsia="Arial" w:hAnsi="Arial"/>
                <w:sz w:val="18"/>
                <w:szCs w:val="18"/>
                <w:color w:val="auto"/>
              </w:rPr>
              <w:t>Issuance of shares of common stock under</w:t>
            </w:r>
          </w:p>
        </w:tc>
        <w:tc>
          <w:tcPr>
            <w:tcW w:w="100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80" w:type="dxa"/>
            <w:vAlign w:val="bottom"/>
            <w:tcBorders>
              <w:top w:val="single" w:sz="8" w:color="auto"/>
            </w:tcBorders>
          </w:tcPr>
          <w:p>
            <w:pPr>
              <w:spacing w:after="0"/>
              <w:rPr>
                <w:sz w:val="18"/>
                <w:szCs w:val="18"/>
                <w:color w:val="auto"/>
              </w:rPr>
            </w:pPr>
          </w:p>
        </w:tc>
        <w:tc>
          <w:tcPr>
            <w:tcW w:w="64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200" w:type="dxa"/>
            <w:vAlign w:val="bottom"/>
          </w:tcPr>
          <w:p>
            <w:pPr>
              <w:ind w:left="140"/>
              <w:spacing w:after="0"/>
              <w:rPr>
                <w:sz w:val="20"/>
                <w:szCs w:val="20"/>
                <w:color w:val="auto"/>
              </w:rPr>
            </w:pPr>
            <w:r>
              <w:rPr>
                <w:rFonts w:ascii="Arial" w:cs="Arial" w:eastAsia="Arial" w:hAnsi="Arial"/>
                <w:sz w:val="18"/>
                <w:szCs w:val="18"/>
                <w:color w:val="auto"/>
              </w:rPr>
              <w:t>restricted stock award agreements</w:t>
            </w:r>
          </w:p>
        </w:tc>
        <w:tc>
          <w:tcPr>
            <w:tcW w:w="1000" w:type="dxa"/>
            <w:vAlign w:val="bottom"/>
          </w:tcPr>
          <w:p>
            <w:pPr>
              <w:jc w:val="right"/>
              <w:spacing w:after="0"/>
              <w:rPr>
                <w:sz w:val="20"/>
                <w:szCs w:val="20"/>
                <w:color w:val="auto"/>
              </w:rPr>
            </w:pPr>
            <w:r>
              <w:rPr>
                <w:rFonts w:ascii="Arial" w:cs="Arial" w:eastAsia="Arial" w:hAnsi="Arial"/>
                <w:sz w:val="18"/>
                <w:szCs w:val="18"/>
                <w:color w:val="auto"/>
              </w:rPr>
              <w:t>63</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9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5200" w:type="dxa"/>
            <w:vAlign w:val="bottom"/>
            <w:shd w:val="clear" w:color="auto" w:fill="CFF0FC"/>
          </w:tcPr>
          <w:p>
            <w:pPr>
              <w:spacing w:after="0"/>
              <w:rPr>
                <w:sz w:val="20"/>
                <w:szCs w:val="20"/>
                <w:color w:val="auto"/>
              </w:rPr>
            </w:pPr>
            <w:r>
              <w:rPr>
                <w:rFonts w:ascii="Arial" w:cs="Arial" w:eastAsia="Arial" w:hAnsi="Arial"/>
                <w:sz w:val="18"/>
                <w:szCs w:val="18"/>
                <w:color w:val="auto"/>
              </w:rPr>
              <w:t>Stock-based compensation</w:t>
            </w:r>
          </w:p>
        </w:tc>
        <w:tc>
          <w:tcPr>
            <w:tcW w:w="114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84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2,715</w:t>
            </w:r>
          </w:p>
        </w:tc>
        <w:tc>
          <w:tcPr>
            <w:tcW w:w="2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6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2,715</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00" w:type="dxa"/>
            <w:vAlign w:val="bottom"/>
          </w:tcPr>
          <w:p>
            <w:pPr>
              <w:spacing w:after="0"/>
              <w:rPr>
                <w:sz w:val="20"/>
                <w:szCs w:val="20"/>
                <w:color w:val="auto"/>
              </w:rPr>
            </w:pPr>
            <w:r>
              <w:rPr>
                <w:rFonts w:ascii="Arial" w:cs="Arial" w:eastAsia="Arial" w:hAnsi="Arial"/>
                <w:sz w:val="18"/>
                <w:szCs w:val="18"/>
                <w:color w:val="auto"/>
              </w:rPr>
              <w:t>Shares issued for exercise of stock options</w:t>
            </w:r>
          </w:p>
        </w:tc>
        <w:tc>
          <w:tcPr>
            <w:tcW w:w="1000" w:type="dxa"/>
            <w:vAlign w:val="bottom"/>
          </w:tcPr>
          <w:p>
            <w:pPr>
              <w:jc w:val="right"/>
              <w:spacing w:after="0"/>
              <w:rPr>
                <w:sz w:val="20"/>
                <w:szCs w:val="20"/>
                <w:color w:val="auto"/>
              </w:rPr>
            </w:pPr>
            <w:r>
              <w:rPr>
                <w:rFonts w:ascii="Arial" w:cs="Arial" w:eastAsia="Arial" w:hAnsi="Arial"/>
                <w:sz w:val="18"/>
                <w:szCs w:val="18"/>
                <w:color w:val="auto"/>
              </w:rPr>
              <w:t>30</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713</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713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00" w:type="dxa"/>
            <w:vAlign w:val="bottom"/>
            <w:shd w:val="clear" w:color="auto" w:fill="CFF0FC"/>
          </w:tcPr>
          <w:p>
            <w:pPr>
              <w:spacing w:after="0"/>
              <w:rPr>
                <w:sz w:val="20"/>
                <w:szCs w:val="20"/>
                <w:color w:val="auto"/>
              </w:rPr>
            </w:pPr>
            <w:r>
              <w:rPr>
                <w:rFonts w:ascii="Arial" w:cs="Arial" w:eastAsia="Arial" w:hAnsi="Arial"/>
                <w:sz w:val="18"/>
                <w:szCs w:val="18"/>
                <w:color w:val="auto"/>
              </w:rPr>
              <w:t>Net income</w:t>
            </w:r>
          </w:p>
        </w:tc>
        <w:tc>
          <w:tcPr>
            <w:tcW w:w="114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84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9,588</w:t>
            </w:r>
          </w:p>
        </w:tc>
        <w:tc>
          <w:tcPr>
            <w:tcW w:w="2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9,588</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200" w:type="dxa"/>
            <w:vAlign w:val="bottom"/>
          </w:tcPr>
          <w:p>
            <w:pPr>
              <w:spacing w:after="0"/>
              <w:rPr>
                <w:sz w:val="20"/>
                <w:szCs w:val="20"/>
                <w:color w:val="auto"/>
              </w:rPr>
            </w:pPr>
            <w:r>
              <w:rPr>
                <w:rFonts w:ascii="Arial" w:cs="Arial" w:eastAsia="Arial" w:hAnsi="Arial"/>
                <w:sz w:val="18"/>
                <w:szCs w:val="18"/>
                <w:color w:val="auto"/>
              </w:rPr>
              <w:t>Balance at June 30, 2019</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13,219</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80" w:type="dxa"/>
            <w:vAlign w:val="bottom"/>
            <w:tcBorders>
              <w:top w:val="single" w:sz="8" w:color="auto"/>
              <w:bottom w:val="single" w:sz="8" w:color="auto"/>
            </w:tcBorders>
          </w:tcPr>
          <w:p>
            <w:pPr>
              <w:jc w:val="right"/>
              <w:ind w:right="192"/>
              <w:spacing w:after="0"/>
              <w:rPr>
                <w:sz w:val="20"/>
                <w:szCs w:val="20"/>
                <w:color w:val="auto"/>
              </w:rPr>
            </w:pPr>
            <w:r>
              <w:rPr>
                <w:rFonts w:ascii="Arial" w:cs="Arial" w:eastAsia="Arial" w:hAnsi="Arial"/>
                <w:sz w:val="18"/>
                <w:szCs w:val="18"/>
                <w:color w:val="auto"/>
                <w:w w:val="79"/>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w:t>
            </w:r>
          </w:p>
        </w:tc>
        <w:tc>
          <w:tcPr>
            <w:tcW w:w="20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181,111</w:t>
            </w:r>
          </w:p>
        </w:tc>
        <w:tc>
          <w:tcPr>
            <w:tcW w:w="22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ind w:right="7"/>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100,383</w:t>
            </w:r>
          </w:p>
        </w:tc>
        <w:tc>
          <w:tcPr>
            <w:tcW w:w="22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ind w:right="16"/>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281,507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20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Condensed Consolidated Financial Statements (Unaudited)</w:t>
      </w: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223520</wp:posOffset>
            </wp:positionV>
            <wp:extent cx="71323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ADDUS HOMECARE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AND SUBSIDIARIES</w:t>
      </w:r>
    </w:p>
    <w:p>
      <w:pPr>
        <w:spacing w:after="0" w:line="15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Six Months Ended June 30, 2020 and 2019</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Thousands)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77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440" w:type="dxa"/>
            <w:vAlign w:val="bottom"/>
            <w:gridSpan w:val="3"/>
          </w:tcPr>
          <w:p>
            <w:pPr>
              <w:jc w:val="right"/>
              <w:spacing w:after="0"/>
              <w:rPr>
                <w:sz w:val="20"/>
                <w:szCs w:val="20"/>
                <w:color w:val="auto"/>
              </w:rPr>
            </w:pPr>
            <w:r>
              <w:rPr>
                <w:rFonts w:ascii="Arial" w:cs="Arial" w:eastAsia="Arial" w:hAnsi="Arial"/>
                <w:sz w:val="16"/>
                <w:szCs w:val="16"/>
                <w:b w:val="1"/>
                <w:bCs w:val="1"/>
                <w:color w:val="auto"/>
                <w:w w:val="95"/>
              </w:rPr>
              <w:t>For the Six Months</w:t>
            </w: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7720" w:type="dxa"/>
            <w:vAlign w:val="bottom"/>
          </w:tcPr>
          <w:p>
            <w:pPr>
              <w:spacing w:after="0"/>
              <w:rPr>
                <w:sz w:val="19"/>
                <w:szCs w:val="19"/>
                <w:color w:val="auto"/>
              </w:rPr>
            </w:pPr>
          </w:p>
        </w:tc>
        <w:tc>
          <w:tcPr>
            <w:tcW w:w="96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gridSpan w:val="3"/>
          </w:tcPr>
          <w:p>
            <w:pPr>
              <w:jc w:val="right"/>
              <w:ind w:right="70"/>
              <w:spacing w:after="0"/>
              <w:rPr>
                <w:sz w:val="20"/>
                <w:szCs w:val="20"/>
                <w:color w:val="auto"/>
              </w:rPr>
            </w:pPr>
            <w:r>
              <w:rPr>
                <w:rFonts w:ascii="Arial" w:cs="Arial" w:eastAsia="Arial" w:hAnsi="Arial"/>
                <w:sz w:val="16"/>
                <w:szCs w:val="16"/>
                <w:b w:val="1"/>
                <w:bCs w:val="1"/>
                <w:color w:val="auto"/>
              </w:rPr>
              <w:t>Ended June 30,</w:t>
            </w:r>
          </w:p>
        </w:tc>
        <w:tc>
          <w:tcPr>
            <w:tcW w:w="100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7720" w:type="dxa"/>
            <w:vAlign w:val="bottom"/>
            <w:tcBorders>
              <w:bottom w:val="single" w:sz="8" w:color="CFF0FC"/>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2020</w:t>
            </w:r>
          </w:p>
        </w:tc>
        <w:tc>
          <w:tcPr>
            <w:tcW w:w="600" w:type="dxa"/>
            <w:vAlign w:val="bottom"/>
            <w:tcBorders>
              <w:bottom w:val="single" w:sz="8" w:color="auto"/>
            </w:tcBorders>
          </w:tcPr>
          <w:p>
            <w:pPr>
              <w:spacing w:after="0"/>
              <w:rPr>
                <w:sz w:val="18"/>
                <w:szCs w:val="18"/>
                <w:color w:val="auto"/>
              </w:rPr>
            </w:pPr>
          </w:p>
        </w:tc>
        <w:tc>
          <w:tcPr>
            <w:tcW w:w="280" w:type="dxa"/>
            <w:vAlign w:val="bottom"/>
            <w:tcBorders>
              <w:bottom w:val="single" w:sz="8" w:color="CFF0FC"/>
            </w:tcBorders>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530"/>
              <w:spacing w:after="0"/>
              <w:rPr>
                <w:sz w:val="20"/>
                <w:szCs w:val="20"/>
                <w:color w:val="auto"/>
              </w:rPr>
            </w:pPr>
            <w:r>
              <w:rPr>
                <w:rFonts w:ascii="Arial" w:cs="Arial" w:eastAsia="Arial" w:hAnsi="Arial"/>
                <w:sz w:val="16"/>
                <w:szCs w:val="16"/>
                <w:b w:val="1"/>
                <w:bCs w:val="1"/>
                <w:color w:val="auto"/>
              </w:rPr>
              <w:t>2019</w:t>
            </w:r>
          </w:p>
        </w:tc>
        <w:tc>
          <w:tcPr>
            <w:tcW w:w="120" w:type="dxa"/>
            <w:vAlign w:val="bottom"/>
            <w:tcBorders>
              <w:bottom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26"/>
        </w:trPr>
        <w:tc>
          <w:tcPr>
            <w:tcW w:w="7720" w:type="dxa"/>
            <w:vAlign w:val="bottom"/>
            <w:shd w:val="clear" w:color="auto" w:fill="CFF0FC"/>
          </w:tcPr>
          <w:p>
            <w:pPr>
              <w:spacing w:after="0"/>
              <w:rPr>
                <w:sz w:val="20"/>
                <w:szCs w:val="20"/>
                <w:color w:val="auto"/>
              </w:rPr>
            </w:pPr>
            <w:r>
              <w:rPr>
                <w:rFonts w:ascii="Arial" w:cs="Arial" w:eastAsia="Arial" w:hAnsi="Arial"/>
                <w:sz w:val="18"/>
                <w:szCs w:val="18"/>
                <w:color w:val="auto"/>
              </w:rPr>
              <w:t>Cash flows from operating activities:</w:t>
            </w:r>
          </w:p>
        </w:tc>
        <w:tc>
          <w:tcPr>
            <w:tcW w:w="960" w:type="dxa"/>
            <w:vAlign w:val="bottom"/>
            <w:shd w:val="clear" w:color="auto" w:fill="CFF0FC"/>
          </w:tcPr>
          <w:p>
            <w:pPr>
              <w:spacing w:after="0"/>
              <w:rPr>
                <w:sz w:val="19"/>
                <w:szCs w:val="19"/>
                <w:color w:val="auto"/>
              </w:rPr>
            </w:pPr>
          </w:p>
        </w:tc>
        <w:tc>
          <w:tcPr>
            <w:tcW w:w="6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720" w:type="dxa"/>
            <w:vAlign w:val="bottom"/>
          </w:tcPr>
          <w:p>
            <w:pPr>
              <w:ind w:left="260"/>
              <w:spacing w:after="0"/>
              <w:rPr>
                <w:sz w:val="20"/>
                <w:szCs w:val="20"/>
                <w:color w:val="auto"/>
              </w:rPr>
            </w:pPr>
            <w:r>
              <w:rPr>
                <w:rFonts w:ascii="Arial" w:cs="Arial" w:eastAsia="Arial" w:hAnsi="Arial"/>
                <w:sz w:val="18"/>
                <w:szCs w:val="18"/>
                <w:color w:val="auto"/>
              </w:rPr>
              <w:t>Net income</w:t>
            </w:r>
          </w:p>
        </w:tc>
        <w:tc>
          <w:tcPr>
            <w:tcW w:w="960" w:type="dxa"/>
            <w:vAlign w:val="bottom"/>
          </w:tcPr>
          <w:p>
            <w:pPr>
              <w:jc w:val="right"/>
              <w:ind w:right="772"/>
              <w:spacing w:after="0"/>
              <w:rPr>
                <w:sz w:val="20"/>
                <w:szCs w:val="20"/>
                <w:color w:val="auto"/>
              </w:rPr>
            </w:pPr>
            <w:r>
              <w:rPr>
                <w:rFonts w:ascii="Arial" w:cs="Arial" w:eastAsia="Arial" w:hAnsi="Arial"/>
                <w:sz w:val="18"/>
                <w:szCs w:val="18"/>
                <w:color w:val="auto"/>
                <w:w w:val="79"/>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15,565</w:t>
            </w:r>
          </w:p>
        </w:tc>
        <w:tc>
          <w:tcPr>
            <w:tcW w:w="280" w:type="dxa"/>
            <w:vAlign w:val="bottom"/>
          </w:tcPr>
          <w:p>
            <w:pPr>
              <w:spacing w:after="0"/>
              <w:rPr>
                <w:sz w:val="19"/>
                <w:szCs w:val="19"/>
                <w:color w:val="auto"/>
              </w:rPr>
            </w:pPr>
          </w:p>
        </w:tc>
        <w:tc>
          <w:tcPr>
            <w:tcW w:w="560" w:type="dxa"/>
            <w:vAlign w:val="bottom"/>
          </w:tcPr>
          <w:p>
            <w:pPr>
              <w:jc w:val="right"/>
              <w:ind w:right="370"/>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9,588</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77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Adjustments to reconcile net income to net cash provided by (used in) operating</w:t>
            </w:r>
          </w:p>
        </w:tc>
        <w:tc>
          <w:tcPr>
            <w:tcW w:w="960" w:type="dxa"/>
            <w:vAlign w:val="bottom"/>
            <w:shd w:val="clear" w:color="auto" w:fill="CFF0FC"/>
          </w:tcPr>
          <w:p>
            <w:pPr>
              <w:spacing w:after="0"/>
              <w:rPr>
                <w:sz w:val="18"/>
                <w:szCs w:val="18"/>
                <w:color w:val="auto"/>
              </w:rPr>
            </w:pPr>
          </w:p>
        </w:tc>
        <w:tc>
          <w:tcPr>
            <w:tcW w:w="60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56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720" w:type="dxa"/>
            <w:vAlign w:val="bottom"/>
            <w:shd w:val="clear" w:color="auto" w:fill="CFF0FC"/>
          </w:tcPr>
          <w:p>
            <w:pPr>
              <w:ind w:left="380"/>
              <w:spacing w:after="0"/>
              <w:rPr>
                <w:sz w:val="20"/>
                <w:szCs w:val="20"/>
                <w:color w:val="auto"/>
              </w:rPr>
            </w:pPr>
            <w:r>
              <w:rPr>
                <w:rFonts w:ascii="Arial" w:cs="Arial" w:eastAsia="Arial" w:hAnsi="Arial"/>
                <w:sz w:val="18"/>
                <w:szCs w:val="18"/>
                <w:color w:val="auto"/>
              </w:rPr>
              <w:t>activities, net of acquisitions:</w:t>
            </w:r>
          </w:p>
        </w:tc>
        <w:tc>
          <w:tcPr>
            <w:tcW w:w="960" w:type="dxa"/>
            <w:vAlign w:val="bottom"/>
            <w:shd w:val="clear" w:color="auto" w:fill="CFF0FC"/>
          </w:tcPr>
          <w:p>
            <w:pPr>
              <w:spacing w:after="0"/>
              <w:rPr>
                <w:sz w:val="20"/>
                <w:szCs w:val="20"/>
                <w:color w:val="auto"/>
              </w:rPr>
            </w:pPr>
          </w:p>
        </w:tc>
        <w:tc>
          <w:tcPr>
            <w:tcW w:w="60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560" w:type="dxa"/>
            <w:vAlign w:val="bottom"/>
            <w:shd w:val="clear" w:color="auto" w:fill="CFF0FC"/>
          </w:tcPr>
          <w:p>
            <w:pPr>
              <w:spacing w:after="0"/>
              <w:rPr>
                <w:sz w:val="20"/>
                <w:szCs w:val="20"/>
                <w:color w:val="auto"/>
              </w:rPr>
            </w:pPr>
          </w:p>
        </w:tc>
        <w:tc>
          <w:tcPr>
            <w:tcW w:w="100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7720" w:type="dxa"/>
            <w:vAlign w:val="bottom"/>
          </w:tcPr>
          <w:p>
            <w:pPr>
              <w:ind w:left="500"/>
              <w:spacing w:after="0"/>
              <w:rPr>
                <w:sz w:val="20"/>
                <w:szCs w:val="20"/>
                <w:color w:val="auto"/>
              </w:rPr>
            </w:pPr>
            <w:r>
              <w:rPr>
                <w:rFonts w:ascii="Arial" w:cs="Arial" w:eastAsia="Arial" w:hAnsi="Arial"/>
                <w:sz w:val="18"/>
                <w:szCs w:val="18"/>
                <w:color w:val="auto"/>
              </w:rPr>
              <w:t>Depreciation and amortization</w:t>
            </w:r>
          </w:p>
        </w:tc>
        <w:tc>
          <w:tcPr>
            <w:tcW w:w="96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5,827</w:t>
            </w:r>
          </w:p>
        </w:tc>
        <w:tc>
          <w:tcPr>
            <w:tcW w:w="2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4,609</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20" w:type="dxa"/>
            <w:vAlign w:val="bottom"/>
            <w:shd w:val="clear" w:color="auto" w:fill="CFF0FC"/>
          </w:tcPr>
          <w:p>
            <w:pPr>
              <w:ind w:left="500"/>
              <w:spacing w:after="0"/>
              <w:rPr>
                <w:sz w:val="20"/>
                <w:szCs w:val="20"/>
                <w:color w:val="auto"/>
              </w:rPr>
            </w:pPr>
            <w:r>
              <w:rPr>
                <w:rFonts w:ascii="Arial" w:cs="Arial" w:eastAsia="Arial" w:hAnsi="Arial"/>
                <w:sz w:val="18"/>
                <w:szCs w:val="18"/>
                <w:color w:val="auto"/>
              </w:rPr>
              <w:t>Deferred income taxes</w:t>
            </w:r>
          </w:p>
        </w:tc>
        <w:tc>
          <w:tcPr>
            <w:tcW w:w="960" w:type="dxa"/>
            <w:vAlign w:val="bottom"/>
            <w:shd w:val="clear" w:color="auto" w:fill="CFF0FC"/>
          </w:tcPr>
          <w:p>
            <w:pPr>
              <w:spacing w:after="0"/>
              <w:rPr>
                <w:sz w:val="19"/>
                <w:szCs w:val="19"/>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100</w:t>
            </w:r>
          </w:p>
        </w:tc>
        <w:tc>
          <w:tcPr>
            <w:tcW w:w="28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(154)</w:t>
            </w:r>
          </w:p>
        </w:tc>
        <w:tc>
          <w:tcPr>
            <w:tcW w:w="0" w:type="dxa"/>
            <w:vAlign w:val="bottom"/>
          </w:tcPr>
          <w:p>
            <w:pPr>
              <w:spacing w:after="0"/>
              <w:rPr>
                <w:sz w:val="1"/>
                <w:szCs w:val="1"/>
                <w:color w:val="auto"/>
              </w:rPr>
            </w:pPr>
          </w:p>
        </w:tc>
      </w:tr>
      <w:tr>
        <w:trPr>
          <w:trHeight w:val="229"/>
        </w:trPr>
        <w:tc>
          <w:tcPr>
            <w:tcW w:w="7720" w:type="dxa"/>
            <w:vAlign w:val="bottom"/>
          </w:tcPr>
          <w:p>
            <w:pPr>
              <w:ind w:left="500"/>
              <w:spacing w:after="0"/>
              <w:rPr>
                <w:sz w:val="20"/>
                <w:szCs w:val="20"/>
                <w:color w:val="auto"/>
              </w:rPr>
            </w:pPr>
            <w:r>
              <w:rPr>
                <w:rFonts w:ascii="Arial" w:cs="Arial" w:eastAsia="Arial" w:hAnsi="Arial"/>
                <w:sz w:val="18"/>
                <w:szCs w:val="18"/>
                <w:color w:val="auto"/>
              </w:rPr>
              <w:t>Stock-based compensation</w:t>
            </w:r>
          </w:p>
        </w:tc>
        <w:tc>
          <w:tcPr>
            <w:tcW w:w="96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2,525</w:t>
            </w:r>
          </w:p>
        </w:tc>
        <w:tc>
          <w:tcPr>
            <w:tcW w:w="2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2,715</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720" w:type="dxa"/>
            <w:vAlign w:val="bottom"/>
            <w:shd w:val="clear" w:color="auto" w:fill="CFF0FC"/>
          </w:tcPr>
          <w:p>
            <w:pPr>
              <w:ind w:left="500"/>
              <w:spacing w:after="0"/>
              <w:rPr>
                <w:sz w:val="20"/>
                <w:szCs w:val="20"/>
                <w:color w:val="auto"/>
              </w:rPr>
            </w:pPr>
            <w:r>
              <w:rPr>
                <w:rFonts w:ascii="Arial" w:cs="Arial" w:eastAsia="Arial" w:hAnsi="Arial"/>
                <w:sz w:val="18"/>
                <w:szCs w:val="18"/>
                <w:color w:val="auto"/>
              </w:rPr>
              <w:t>Amortization of debt issuance costs under the credit facility</w:t>
            </w:r>
          </w:p>
        </w:tc>
        <w:tc>
          <w:tcPr>
            <w:tcW w:w="960" w:type="dxa"/>
            <w:vAlign w:val="bottom"/>
            <w:shd w:val="clear" w:color="auto" w:fill="CFF0FC"/>
          </w:tcPr>
          <w:p>
            <w:pPr>
              <w:spacing w:after="0"/>
              <w:rPr>
                <w:sz w:val="19"/>
                <w:szCs w:val="19"/>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370</w:t>
            </w:r>
          </w:p>
        </w:tc>
        <w:tc>
          <w:tcPr>
            <w:tcW w:w="28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347</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20" w:type="dxa"/>
            <w:vAlign w:val="bottom"/>
          </w:tcPr>
          <w:p>
            <w:pPr>
              <w:ind w:left="500"/>
              <w:spacing w:after="0"/>
              <w:rPr>
                <w:sz w:val="20"/>
                <w:szCs w:val="20"/>
                <w:color w:val="auto"/>
              </w:rPr>
            </w:pPr>
            <w:r>
              <w:rPr>
                <w:rFonts w:ascii="Arial" w:cs="Arial" w:eastAsia="Arial" w:hAnsi="Arial"/>
                <w:sz w:val="18"/>
                <w:szCs w:val="18"/>
                <w:color w:val="auto"/>
              </w:rPr>
              <w:t>Provision for doubtful accounts</w:t>
            </w:r>
          </w:p>
        </w:tc>
        <w:tc>
          <w:tcPr>
            <w:tcW w:w="96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436</w:t>
            </w:r>
          </w:p>
        </w:tc>
        <w:tc>
          <w:tcPr>
            <w:tcW w:w="2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106</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720" w:type="dxa"/>
            <w:vAlign w:val="bottom"/>
            <w:shd w:val="clear" w:color="auto" w:fill="CFF0FC"/>
          </w:tcPr>
          <w:p>
            <w:pPr>
              <w:ind w:left="500"/>
              <w:spacing w:after="0"/>
              <w:rPr>
                <w:sz w:val="20"/>
                <w:szCs w:val="20"/>
                <w:color w:val="auto"/>
              </w:rPr>
            </w:pPr>
            <w:r>
              <w:rPr>
                <w:rFonts w:ascii="Arial" w:cs="Arial" w:eastAsia="Arial" w:hAnsi="Arial"/>
                <w:sz w:val="18"/>
                <w:szCs w:val="18"/>
                <w:color w:val="auto"/>
              </w:rPr>
              <w:t>Loss (gain) of disposal of assets</w:t>
            </w:r>
          </w:p>
        </w:tc>
        <w:tc>
          <w:tcPr>
            <w:tcW w:w="960" w:type="dxa"/>
            <w:vAlign w:val="bottom"/>
            <w:shd w:val="clear" w:color="auto" w:fill="CFF0FC"/>
          </w:tcPr>
          <w:p>
            <w:pPr>
              <w:spacing w:after="0"/>
              <w:rPr>
                <w:sz w:val="19"/>
                <w:szCs w:val="19"/>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352</w:t>
            </w:r>
          </w:p>
        </w:tc>
        <w:tc>
          <w:tcPr>
            <w:tcW w:w="28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(51)</w:t>
            </w:r>
          </w:p>
        </w:tc>
        <w:tc>
          <w:tcPr>
            <w:tcW w:w="0" w:type="dxa"/>
            <w:vAlign w:val="bottom"/>
          </w:tcPr>
          <w:p>
            <w:pPr>
              <w:spacing w:after="0"/>
              <w:rPr>
                <w:sz w:val="1"/>
                <w:szCs w:val="1"/>
                <w:color w:val="auto"/>
              </w:rPr>
            </w:pPr>
          </w:p>
        </w:tc>
      </w:tr>
      <w:tr>
        <w:trPr>
          <w:trHeight w:val="230"/>
        </w:trPr>
        <w:tc>
          <w:tcPr>
            <w:tcW w:w="7720" w:type="dxa"/>
            <w:vAlign w:val="bottom"/>
          </w:tcPr>
          <w:p>
            <w:pPr>
              <w:ind w:left="500"/>
              <w:spacing w:after="0"/>
              <w:rPr>
                <w:sz w:val="20"/>
                <w:szCs w:val="20"/>
                <w:color w:val="auto"/>
              </w:rPr>
            </w:pPr>
            <w:r>
              <w:rPr>
                <w:rFonts w:ascii="Arial" w:cs="Arial" w:eastAsia="Arial" w:hAnsi="Arial"/>
                <w:sz w:val="18"/>
                <w:szCs w:val="18"/>
                <w:color w:val="auto"/>
              </w:rPr>
              <w:t>Changes in operating assets and liabilities, net of acquisitions:</w:t>
            </w:r>
          </w:p>
        </w:tc>
        <w:tc>
          <w:tcPr>
            <w:tcW w:w="9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720" w:type="dxa"/>
            <w:vAlign w:val="bottom"/>
            <w:shd w:val="clear" w:color="auto" w:fill="CFF0FC"/>
          </w:tcPr>
          <w:p>
            <w:pPr>
              <w:ind w:left="740"/>
              <w:spacing w:after="0"/>
              <w:rPr>
                <w:sz w:val="20"/>
                <w:szCs w:val="20"/>
                <w:color w:val="auto"/>
              </w:rPr>
            </w:pPr>
            <w:r>
              <w:rPr>
                <w:rFonts w:ascii="Arial" w:cs="Arial" w:eastAsia="Arial" w:hAnsi="Arial"/>
                <w:sz w:val="18"/>
                <w:szCs w:val="18"/>
                <w:color w:val="auto"/>
              </w:rPr>
              <w:t>Accounts receivable</w:t>
            </w:r>
          </w:p>
        </w:tc>
        <w:tc>
          <w:tcPr>
            <w:tcW w:w="960" w:type="dxa"/>
            <w:vAlign w:val="bottom"/>
            <w:shd w:val="clear" w:color="auto" w:fill="CFF0FC"/>
          </w:tcPr>
          <w:p>
            <w:pPr>
              <w:spacing w:after="0"/>
              <w:rPr>
                <w:sz w:val="19"/>
                <w:szCs w:val="19"/>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23,342</w:t>
            </w:r>
          </w:p>
        </w:tc>
        <w:tc>
          <w:tcPr>
            <w:tcW w:w="28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(17,360)</w:t>
            </w:r>
          </w:p>
        </w:tc>
        <w:tc>
          <w:tcPr>
            <w:tcW w:w="0" w:type="dxa"/>
            <w:vAlign w:val="bottom"/>
          </w:tcPr>
          <w:p>
            <w:pPr>
              <w:spacing w:after="0"/>
              <w:rPr>
                <w:sz w:val="1"/>
                <w:szCs w:val="1"/>
                <w:color w:val="auto"/>
              </w:rPr>
            </w:pPr>
          </w:p>
        </w:tc>
      </w:tr>
      <w:tr>
        <w:trPr>
          <w:trHeight w:val="229"/>
        </w:trPr>
        <w:tc>
          <w:tcPr>
            <w:tcW w:w="7720" w:type="dxa"/>
            <w:vAlign w:val="bottom"/>
          </w:tcPr>
          <w:p>
            <w:pPr>
              <w:ind w:left="740"/>
              <w:spacing w:after="0"/>
              <w:rPr>
                <w:sz w:val="20"/>
                <w:szCs w:val="20"/>
                <w:color w:val="auto"/>
              </w:rPr>
            </w:pPr>
            <w:r>
              <w:rPr>
                <w:rFonts w:ascii="Arial" w:cs="Arial" w:eastAsia="Arial" w:hAnsi="Arial"/>
                <w:sz w:val="18"/>
                <w:szCs w:val="18"/>
                <w:color w:val="auto"/>
              </w:rPr>
              <w:t>Prepaid expenses and other current assets</w:t>
            </w:r>
          </w:p>
        </w:tc>
        <w:tc>
          <w:tcPr>
            <w:tcW w:w="960" w:type="dxa"/>
            <w:vAlign w:val="bottom"/>
          </w:tcPr>
          <w:p>
            <w:pPr>
              <w:spacing w:after="0"/>
              <w:rPr>
                <w:sz w:val="19"/>
                <w:szCs w:val="19"/>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8"/>
                <w:szCs w:val="18"/>
                <w:color w:val="auto"/>
              </w:rPr>
              <w:t>(3,608)</w:t>
            </w:r>
          </w:p>
        </w:tc>
        <w:tc>
          <w:tcPr>
            <w:tcW w:w="5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328</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20" w:type="dxa"/>
            <w:vAlign w:val="bottom"/>
            <w:shd w:val="clear" w:color="auto" w:fill="CFF0FC"/>
          </w:tcPr>
          <w:p>
            <w:pPr>
              <w:ind w:left="740"/>
              <w:spacing w:after="0"/>
              <w:rPr>
                <w:sz w:val="20"/>
                <w:szCs w:val="20"/>
                <w:color w:val="auto"/>
              </w:rPr>
            </w:pPr>
            <w:r>
              <w:rPr>
                <w:rFonts w:ascii="Arial" w:cs="Arial" w:eastAsia="Arial" w:hAnsi="Arial"/>
                <w:sz w:val="18"/>
                <w:szCs w:val="18"/>
                <w:color w:val="auto"/>
              </w:rPr>
              <w:t>Accounts payable</w:t>
            </w:r>
          </w:p>
        </w:tc>
        <w:tc>
          <w:tcPr>
            <w:tcW w:w="960" w:type="dxa"/>
            <w:vAlign w:val="bottom"/>
            <w:shd w:val="clear" w:color="auto" w:fill="CFF0FC"/>
          </w:tcPr>
          <w:p>
            <w:pPr>
              <w:spacing w:after="0"/>
              <w:rPr>
                <w:sz w:val="19"/>
                <w:szCs w:val="19"/>
                <w:color w:val="auto"/>
              </w:rPr>
            </w:pPr>
          </w:p>
        </w:tc>
        <w:tc>
          <w:tcPr>
            <w:tcW w:w="88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(2,700)</w:t>
            </w:r>
          </w:p>
        </w:tc>
        <w:tc>
          <w:tcPr>
            <w:tcW w:w="56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641</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720" w:type="dxa"/>
            <w:vAlign w:val="bottom"/>
          </w:tcPr>
          <w:p>
            <w:pPr>
              <w:ind w:left="740"/>
              <w:spacing w:after="0"/>
              <w:rPr>
                <w:sz w:val="20"/>
                <w:szCs w:val="20"/>
                <w:color w:val="auto"/>
              </w:rPr>
            </w:pPr>
            <w:r>
              <w:rPr>
                <w:rFonts w:ascii="Arial" w:cs="Arial" w:eastAsia="Arial" w:hAnsi="Arial"/>
                <w:sz w:val="18"/>
                <w:szCs w:val="18"/>
                <w:color w:val="auto"/>
              </w:rPr>
              <w:t>Accrued expenses and other long-term liabilities</w:t>
            </w:r>
          </w:p>
        </w:tc>
        <w:tc>
          <w:tcPr>
            <w:tcW w:w="96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8,678</w:t>
            </w:r>
          </w:p>
        </w:tc>
        <w:tc>
          <w:tcPr>
            <w:tcW w:w="2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120" w:type="dxa"/>
            <w:vAlign w:val="bottom"/>
            <w:gridSpan w:val="2"/>
          </w:tcPr>
          <w:p>
            <w:pPr>
              <w:jc w:val="right"/>
              <w:ind w:right="60"/>
              <w:spacing w:after="0"/>
              <w:rPr>
                <w:sz w:val="20"/>
                <w:szCs w:val="20"/>
                <w:color w:val="auto"/>
              </w:rPr>
            </w:pPr>
            <w:r>
              <w:rPr>
                <w:rFonts w:ascii="Arial" w:cs="Arial" w:eastAsia="Arial" w:hAnsi="Arial"/>
                <w:sz w:val="18"/>
                <w:szCs w:val="18"/>
                <w:color w:val="auto"/>
              </w:rPr>
              <w:t>(4,847)</w:t>
            </w:r>
          </w:p>
        </w:tc>
        <w:tc>
          <w:tcPr>
            <w:tcW w:w="0" w:type="dxa"/>
            <w:vAlign w:val="bottom"/>
          </w:tcPr>
          <w:p>
            <w:pPr>
              <w:spacing w:after="0"/>
              <w:rPr>
                <w:sz w:val="1"/>
                <w:szCs w:val="1"/>
                <w:color w:val="auto"/>
              </w:rPr>
            </w:pPr>
          </w:p>
        </w:tc>
      </w:tr>
      <w:tr>
        <w:trPr>
          <w:trHeight w:val="223"/>
        </w:trPr>
        <w:tc>
          <w:tcPr>
            <w:tcW w:w="77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Net cash provided by (used in) operating activities</w:t>
            </w:r>
          </w:p>
        </w:tc>
        <w:tc>
          <w:tcPr>
            <w:tcW w:w="960" w:type="dxa"/>
            <w:vAlign w:val="bottom"/>
            <w:tcBorders>
              <w:top w:val="single" w:sz="8" w:color="auto"/>
              <w:bottom w:val="single" w:sz="8" w:color="auto"/>
            </w:tcBorders>
            <w:shd w:val="clear" w:color="auto" w:fill="CFF0FC"/>
          </w:tcPr>
          <w:p>
            <w:pPr>
              <w:spacing w:after="0"/>
              <w:rPr>
                <w:sz w:val="19"/>
                <w:szCs w:val="19"/>
                <w:color w:val="auto"/>
              </w:rPr>
            </w:pPr>
          </w:p>
        </w:tc>
        <w:tc>
          <w:tcPr>
            <w:tcW w:w="6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50,887</w:t>
            </w:r>
          </w:p>
        </w:tc>
        <w:tc>
          <w:tcPr>
            <w:tcW w:w="280" w:type="dxa"/>
            <w:vAlign w:val="bottom"/>
            <w:tcBorders>
              <w:top w:val="single" w:sz="8" w:color="CFF0FC"/>
            </w:tcBorders>
            <w:shd w:val="clear" w:color="auto" w:fill="CFF0FC"/>
          </w:tcPr>
          <w:p>
            <w:pPr>
              <w:spacing w:after="0"/>
              <w:rPr>
                <w:sz w:val="19"/>
                <w:szCs w:val="19"/>
                <w:color w:val="auto"/>
              </w:rPr>
            </w:pPr>
          </w:p>
        </w:tc>
        <w:tc>
          <w:tcPr>
            <w:tcW w:w="560" w:type="dxa"/>
            <w:vAlign w:val="bottom"/>
            <w:tcBorders>
              <w:top w:val="single" w:sz="8" w:color="auto"/>
              <w:bottom w:val="single" w:sz="8" w:color="auto"/>
            </w:tcBorders>
            <w:shd w:val="clear" w:color="auto" w:fill="CFF0FC"/>
          </w:tcPr>
          <w:p>
            <w:pPr>
              <w:spacing w:after="0"/>
              <w:rPr>
                <w:sz w:val="19"/>
                <w:szCs w:val="19"/>
                <w:color w:val="auto"/>
              </w:rPr>
            </w:pPr>
          </w:p>
        </w:tc>
        <w:tc>
          <w:tcPr>
            <w:tcW w:w="10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(4,078)</w:t>
            </w:r>
          </w:p>
        </w:tc>
        <w:tc>
          <w:tcPr>
            <w:tcW w:w="12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720" w:type="dxa"/>
            <w:vAlign w:val="bottom"/>
          </w:tcPr>
          <w:p>
            <w:pPr>
              <w:spacing w:after="0"/>
              <w:rPr>
                <w:sz w:val="20"/>
                <w:szCs w:val="20"/>
                <w:color w:val="auto"/>
              </w:rPr>
            </w:pPr>
            <w:r>
              <w:rPr>
                <w:rFonts w:ascii="Arial" w:cs="Arial" w:eastAsia="Arial" w:hAnsi="Arial"/>
                <w:sz w:val="18"/>
                <w:szCs w:val="18"/>
                <w:color w:val="auto"/>
              </w:rPr>
              <w:t>Cash flows from investing activities:</w:t>
            </w:r>
          </w:p>
        </w:tc>
        <w:tc>
          <w:tcPr>
            <w:tcW w:w="9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Purchases of property and equipment</w:t>
            </w:r>
          </w:p>
        </w:tc>
        <w:tc>
          <w:tcPr>
            <w:tcW w:w="960" w:type="dxa"/>
            <w:vAlign w:val="bottom"/>
            <w:shd w:val="clear" w:color="auto" w:fill="CFF0FC"/>
          </w:tcPr>
          <w:p>
            <w:pPr>
              <w:spacing w:after="0"/>
              <w:rPr>
                <w:sz w:val="19"/>
                <w:szCs w:val="19"/>
                <w:color w:val="auto"/>
              </w:rPr>
            </w:pPr>
          </w:p>
        </w:tc>
        <w:tc>
          <w:tcPr>
            <w:tcW w:w="88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(4,842)</w:t>
            </w:r>
          </w:p>
        </w:tc>
        <w:tc>
          <w:tcPr>
            <w:tcW w:w="56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(1,996)</w:t>
            </w:r>
          </w:p>
        </w:tc>
        <w:tc>
          <w:tcPr>
            <w:tcW w:w="0" w:type="dxa"/>
            <w:vAlign w:val="bottom"/>
          </w:tcPr>
          <w:p>
            <w:pPr>
              <w:spacing w:after="0"/>
              <w:rPr>
                <w:sz w:val="1"/>
                <w:szCs w:val="1"/>
                <w:color w:val="auto"/>
              </w:rPr>
            </w:pPr>
          </w:p>
        </w:tc>
      </w:tr>
      <w:tr>
        <w:trPr>
          <w:trHeight w:val="230"/>
        </w:trPr>
        <w:tc>
          <w:tcPr>
            <w:tcW w:w="7720" w:type="dxa"/>
            <w:vAlign w:val="bottom"/>
          </w:tcPr>
          <w:p>
            <w:pPr>
              <w:ind w:left="260"/>
              <w:spacing w:after="0"/>
              <w:rPr>
                <w:sz w:val="20"/>
                <w:szCs w:val="20"/>
                <w:color w:val="auto"/>
              </w:rPr>
            </w:pPr>
            <w:r>
              <w:rPr>
                <w:rFonts w:ascii="Arial" w:cs="Arial" w:eastAsia="Arial" w:hAnsi="Arial"/>
                <w:sz w:val="18"/>
                <w:szCs w:val="18"/>
                <w:color w:val="auto"/>
              </w:rPr>
              <w:t>Acquisitions of businesses, net of cash acquired</w:t>
            </w:r>
          </w:p>
        </w:tc>
        <w:tc>
          <w:tcPr>
            <w:tcW w:w="960" w:type="dxa"/>
            <w:vAlign w:val="bottom"/>
          </w:tcPr>
          <w:p>
            <w:pPr>
              <w:spacing w:after="0"/>
              <w:rPr>
                <w:sz w:val="19"/>
                <w:szCs w:val="19"/>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8"/>
                <w:szCs w:val="18"/>
                <w:color w:val="auto"/>
              </w:rPr>
              <w:t>(295)</w:t>
            </w:r>
          </w:p>
        </w:tc>
        <w:tc>
          <w:tcPr>
            <w:tcW w:w="560" w:type="dxa"/>
            <w:vAlign w:val="bottom"/>
          </w:tcPr>
          <w:p>
            <w:pPr>
              <w:spacing w:after="0"/>
              <w:rPr>
                <w:sz w:val="19"/>
                <w:szCs w:val="19"/>
                <w:color w:val="auto"/>
              </w:rPr>
            </w:pPr>
          </w:p>
        </w:tc>
        <w:tc>
          <w:tcPr>
            <w:tcW w:w="1120" w:type="dxa"/>
            <w:vAlign w:val="bottom"/>
            <w:gridSpan w:val="2"/>
          </w:tcPr>
          <w:p>
            <w:pPr>
              <w:jc w:val="right"/>
              <w:ind w:right="60"/>
              <w:spacing w:after="0"/>
              <w:rPr>
                <w:sz w:val="20"/>
                <w:szCs w:val="20"/>
                <w:color w:val="auto"/>
              </w:rPr>
            </w:pPr>
            <w:r>
              <w:rPr>
                <w:rFonts w:ascii="Arial" w:cs="Arial" w:eastAsia="Arial" w:hAnsi="Arial"/>
                <w:sz w:val="18"/>
                <w:szCs w:val="18"/>
                <w:color w:val="auto"/>
              </w:rPr>
              <w:t>(29,808)</w:t>
            </w:r>
          </w:p>
        </w:tc>
        <w:tc>
          <w:tcPr>
            <w:tcW w:w="0" w:type="dxa"/>
            <w:vAlign w:val="bottom"/>
          </w:tcPr>
          <w:p>
            <w:pPr>
              <w:spacing w:after="0"/>
              <w:rPr>
                <w:sz w:val="1"/>
                <w:szCs w:val="1"/>
                <w:color w:val="auto"/>
              </w:rPr>
            </w:pPr>
          </w:p>
        </w:tc>
      </w:tr>
      <w:tr>
        <w:trPr>
          <w:trHeight w:val="230"/>
        </w:trPr>
        <w:tc>
          <w:tcPr>
            <w:tcW w:w="77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Proceeds from disposal of assets</w:t>
            </w:r>
          </w:p>
        </w:tc>
        <w:tc>
          <w:tcPr>
            <w:tcW w:w="960" w:type="dxa"/>
            <w:vAlign w:val="bottom"/>
            <w:shd w:val="clear" w:color="auto" w:fill="CFF0FC"/>
          </w:tcPr>
          <w:p>
            <w:pPr>
              <w:spacing w:after="0"/>
              <w:rPr>
                <w:sz w:val="19"/>
                <w:szCs w:val="19"/>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172</w:t>
            </w:r>
          </w:p>
        </w:tc>
        <w:tc>
          <w:tcPr>
            <w:tcW w:w="28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772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Net cash used in investing activities</w:t>
            </w:r>
          </w:p>
        </w:tc>
        <w:tc>
          <w:tcPr>
            <w:tcW w:w="960" w:type="dxa"/>
            <w:vAlign w:val="bottom"/>
            <w:tcBorders>
              <w:top w:val="single" w:sz="8" w:color="auto"/>
              <w:bottom w:val="single" w:sz="8" w:color="auto"/>
            </w:tcBorders>
          </w:tcPr>
          <w:p>
            <w:pPr>
              <w:spacing w:after="0"/>
              <w:rPr>
                <w:sz w:val="19"/>
                <w:szCs w:val="19"/>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(4,965)</w:t>
            </w:r>
          </w:p>
        </w:tc>
        <w:tc>
          <w:tcPr>
            <w:tcW w:w="280" w:type="dxa"/>
            <w:vAlign w:val="bottom"/>
            <w:tcBorders>
              <w:bottom w:val="single" w:sz="8" w:color="CFF0FC"/>
            </w:tcBorders>
          </w:tcPr>
          <w:p>
            <w:pPr>
              <w:spacing w:after="0"/>
              <w:rPr>
                <w:sz w:val="19"/>
                <w:szCs w:val="19"/>
                <w:color w:val="auto"/>
              </w:rPr>
            </w:pPr>
          </w:p>
        </w:tc>
        <w:tc>
          <w:tcPr>
            <w:tcW w:w="560" w:type="dxa"/>
            <w:vAlign w:val="bottom"/>
            <w:tcBorders>
              <w:top w:val="single" w:sz="8" w:color="auto"/>
              <w:bottom w:val="single" w:sz="8" w:color="auto"/>
            </w:tcBorders>
          </w:tcPr>
          <w:p>
            <w:pPr>
              <w:spacing w:after="0"/>
              <w:rPr>
                <w:sz w:val="19"/>
                <w:szCs w:val="19"/>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(31,804)</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720" w:type="dxa"/>
            <w:vAlign w:val="bottom"/>
            <w:shd w:val="clear" w:color="auto" w:fill="CFF0FC"/>
          </w:tcPr>
          <w:p>
            <w:pPr>
              <w:spacing w:after="0"/>
              <w:rPr>
                <w:sz w:val="20"/>
                <w:szCs w:val="20"/>
                <w:color w:val="auto"/>
              </w:rPr>
            </w:pPr>
            <w:r>
              <w:rPr>
                <w:rFonts w:ascii="Arial" w:cs="Arial" w:eastAsia="Arial" w:hAnsi="Arial"/>
                <w:sz w:val="18"/>
                <w:szCs w:val="18"/>
                <w:color w:val="auto"/>
              </w:rPr>
              <w:t>Cash flows from financing activities:</w:t>
            </w:r>
          </w:p>
        </w:tc>
        <w:tc>
          <w:tcPr>
            <w:tcW w:w="960" w:type="dxa"/>
            <w:vAlign w:val="bottom"/>
            <w:shd w:val="clear" w:color="auto" w:fill="CFF0FC"/>
          </w:tcPr>
          <w:p>
            <w:pPr>
              <w:spacing w:after="0"/>
              <w:rPr>
                <w:sz w:val="19"/>
                <w:szCs w:val="19"/>
                <w:color w:val="auto"/>
              </w:rPr>
            </w:pPr>
          </w:p>
        </w:tc>
        <w:tc>
          <w:tcPr>
            <w:tcW w:w="6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20" w:type="dxa"/>
            <w:vAlign w:val="bottom"/>
          </w:tcPr>
          <w:p>
            <w:pPr>
              <w:ind w:left="260"/>
              <w:spacing w:after="0"/>
              <w:rPr>
                <w:sz w:val="20"/>
                <w:szCs w:val="20"/>
                <w:color w:val="auto"/>
              </w:rPr>
            </w:pPr>
            <w:r>
              <w:rPr>
                <w:rFonts w:ascii="Arial" w:cs="Arial" w:eastAsia="Arial" w:hAnsi="Arial"/>
                <w:sz w:val="18"/>
                <w:szCs w:val="18"/>
                <w:color w:val="auto"/>
              </w:rPr>
              <w:t>Borrowings on term loan — credit facility</w:t>
            </w:r>
          </w:p>
        </w:tc>
        <w:tc>
          <w:tcPr>
            <w:tcW w:w="960" w:type="dxa"/>
            <w:vAlign w:val="bottom"/>
          </w:tcPr>
          <w:p>
            <w:pPr>
              <w:spacing w:after="0"/>
              <w:rPr>
                <w:sz w:val="19"/>
                <w:szCs w:val="19"/>
                <w:color w:val="auto"/>
              </w:rPr>
            </w:pPr>
          </w:p>
        </w:tc>
        <w:tc>
          <w:tcPr>
            <w:tcW w:w="88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5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19,600</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Payments on term loan — credit facility</w:t>
            </w:r>
          </w:p>
        </w:tc>
        <w:tc>
          <w:tcPr>
            <w:tcW w:w="960" w:type="dxa"/>
            <w:vAlign w:val="bottom"/>
            <w:shd w:val="clear" w:color="auto" w:fill="CFF0FC"/>
          </w:tcPr>
          <w:p>
            <w:pPr>
              <w:spacing w:after="0"/>
              <w:rPr>
                <w:sz w:val="19"/>
                <w:szCs w:val="19"/>
                <w:color w:val="auto"/>
              </w:rPr>
            </w:pPr>
          </w:p>
        </w:tc>
        <w:tc>
          <w:tcPr>
            <w:tcW w:w="88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(245)</w:t>
            </w:r>
          </w:p>
        </w:tc>
        <w:tc>
          <w:tcPr>
            <w:tcW w:w="56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7720" w:type="dxa"/>
            <w:vAlign w:val="bottom"/>
          </w:tcPr>
          <w:p>
            <w:pPr>
              <w:ind w:left="260"/>
              <w:spacing w:after="0"/>
              <w:rPr>
                <w:sz w:val="20"/>
                <w:szCs w:val="20"/>
                <w:color w:val="auto"/>
              </w:rPr>
            </w:pPr>
            <w:r>
              <w:rPr>
                <w:rFonts w:ascii="Arial" w:cs="Arial" w:eastAsia="Arial" w:hAnsi="Arial"/>
                <w:sz w:val="18"/>
                <w:szCs w:val="18"/>
                <w:color w:val="auto"/>
              </w:rPr>
              <w:t>Payments on financing lease obligations</w:t>
            </w:r>
          </w:p>
        </w:tc>
        <w:tc>
          <w:tcPr>
            <w:tcW w:w="960" w:type="dxa"/>
            <w:vAlign w:val="bottom"/>
          </w:tcPr>
          <w:p>
            <w:pPr>
              <w:spacing w:after="0"/>
              <w:rPr>
                <w:sz w:val="19"/>
                <w:szCs w:val="19"/>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8"/>
                <w:szCs w:val="18"/>
                <w:color w:val="auto"/>
              </w:rPr>
              <w:t>(21)</w:t>
            </w:r>
          </w:p>
        </w:tc>
        <w:tc>
          <w:tcPr>
            <w:tcW w:w="560" w:type="dxa"/>
            <w:vAlign w:val="bottom"/>
          </w:tcPr>
          <w:p>
            <w:pPr>
              <w:spacing w:after="0"/>
              <w:rPr>
                <w:sz w:val="19"/>
                <w:szCs w:val="19"/>
                <w:color w:val="auto"/>
              </w:rPr>
            </w:pPr>
          </w:p>
        </w:tc>
        <w:tc>
          <w:tcPr>
            <w:tcW w:w="1120" w:type="dxa"/>
            <w:vAlign w:val="bottom"/>
            <w:gridSpan w:val="2"/>
          </w:tcPr>
          <w:p>
            <w:pPr>
              <w:jc w:val="right"/>
              <w:ind w:right="60"/>
              <w:spacing w:after="0"/>
              <w:rPr>
                <w:sz w:val="20"/>
                <w:szCs w:val="20"/>
                <w:color w:val="auto"/>
              </w:rPr>
            </w:pPr>
            <w:r>
              <w:rPr>
                <w:rFonts w:ascii="Arial" w:cs="Arial" w:eastAsia="Arial" w:hAnsi="Arial"/>
                <w:sz w:val="18"/>
                <w:szCs w:val="18"/>
                <w:color w:val="auto"/>
              </w:rPr>
              <w:t>(45)</w:t>
            </w:r>
          </w:p>
        </w:tc>
        <w:tc>
          <w:tcPr>
            <w:tcW w:w="0" w:type="dxa"/>
            <w:vAlign w:val="bottom"/>
          </w:tcPr>
          <w:p>
            <w:pPr>
              <w:spacing w:after="0"/>
              <w:rPr>
                <w:sz w:val="1"/>
                <w:szCs w:val="1"/>
                <w:color w:val="auto"/>
              </w:rPr>
            </w:pPr>
          </w:p>
        </w:tc>
      </w:tr>
      <w:tr>
        <w:trPr>
          <w:trHeight w:val="230"/>
        </w:trPr>
        <w:tc>
          <w:tcPr>
            <w:tcW w:w="77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Cash received from exercise of stock options</w:t>
            </w:r>
          </w:p>
        </w:tc>
        <w:tc>
          <w:tcPr>
            <w:tcW w:w="960" w:type="dxa"/>
            <w:vAlign w:val="bottom"/>
            <w:tcBorders>
              <w:bottom w:val="single" w:sz="8" w:color="auto"/>
            </w:tcBorders>
            <w:shd w:val="clear" w:color="auto" w:fill="CFF0FC"/>
          </w:tcPr>
          <w:p>
            <w:pPr>
              <w:spacing w:after="0"/>
              <w:rPr>
                <w:sz w:val="19"/>
                <w:szCs w:val="19"/>
                <w:color w:val="auto"/>
              </w:rPr>
            </w:pPr>
          </w:p>
        </w:tc>
        <w:tc>
          <w:tcPr>
            <w:tcW w:w="6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1,179</w:t>
            </w:r>
          </w:p>
        </w:tc>
        <w:tc>
          <w:tcPr>
            <w:tcW w:w="280" w:type="dxa"/>
            <w:vAlign w:val="bottom"/>
            <w:shd w:val="clear" w:color="auto" w:fill="CFF0FC"/>
          </w:tcPr>
          <w:p>
            <w:pPr>
              <w:spacing w:after="0"/>
              <w:rPr>
                <w:sz w:val="19"/>
                <w:szCs w:val="19"/>
                <w:color w:val="auto"/>
              </w:rPr>
            </w:pPr>
          </w:p>
        </w:tc>
        <w:tc>
          <w:tcPr>
            <w:tcW w:w="560" w:type="dxa"/>
            <w:vAlign w:val="bottom"/>
            <w:tcBorders>
              <w:bottom w:val="single" w:sz="8" w:color="auto"/>
            </w:tcBorders>
            <w:shd w:val="clear" w:color="auto" w:fill="CFF0FC"/>
          </w:tcPr>
          <w:p>
            <w:pPr>
              <w:spacing w:after="0"/>
              <w:rPr>
                <w:sz w:val="19"/>
                <w:szCs w:val="19"/>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713</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72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Net cash provided by financing activities</w:t>
            </w:r>
          </w:p>
        </w:tc>
        <w:tc>
          <w:tcPr>
            <w:tcW w:w="96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913</w:t>
            </w:r>
          </w:p>
        </w:tc>
        <w:tc>
          <w:tcPr>
            <w:tcW w:w="280" w:type="dxa"/>
            <w:vAlign w:val="bottom"/>
            <w:tcBorders>
              <w:bottom w:val="single" w:sz="8" w:color="CFF0FC"/>
            </w:tcBorders>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20,268</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720" w:type="dxa"/>
            <w:vAlign w:val="bottom"/>
            <w:shd w:val="clear" w:color="auto" w:fill="CFF0FC"/>
          </w:tcPr>
          <w:p>
            <w:pPr>
              <w:spacing w:after="0"/>
              <w:rPr>
                <w:sz w:val="20"/>
                <w:szCs w:val="20"/>
                <w:color w:val="auto"/>
              </w:rPr>
            </w:pPr>
            <w:r>
              <w:rPr>
                <w:rFonts w:ascii="Arial" w:cs="Arial" w:eastAsia="Arial" w:hAnsi="Arial"/>
                <w:sz w:val="18"/>
                <w:szCs w:val="18"/>
                <w:color w:val="auto"/>
              </w:rPr>
              <w:t>Net change in cash</w:t>
            </w:r>
          </w:p>
        </w:tc>
        <w:tc>
          <w:tcPr>
            <w:tcW w:w="960" w:type="dxa"/>
            <w:vAlign w:val="bottom"/>
            <w:shd w:val="clear" w:color="auto" w:fill="CFF0FC"/>
          </w:tcPr>
          <w:p>
            <w:pPr>
              <w:spacing w:after="0"/>
              <w:rPr>
                <w:sz w:val="19"/>
                <w:szCs w:val="19"/>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46,835</w:t>
            </w:r>
          </w:p>
        </w:tc>
        <w:tc>
          <w:tcPr>
            <w:tcW w:w="28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(15,614)</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2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Cash, at beginning of period</w:t>
            </w:r>
          </w:p>
        </w:tc>
        <w:tc>
          <w:tcPr>
            <w:tcW w:w="96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6"/>
              </w:rPr>
              <w:t>111,714</w:t>
            </w:r>
          </w:p>
        </w:tc>
        <w:tc>
          <w:tcPr>
            <w:tcW w:w="280" w:type="dxa"/>
            <w:vAlign w:val="bottom"/>
            <w:tcBorders>
              <w:bottom w:val="single" w:sz="8" w:color="CFF0FC"/>
            </w:tcBorders>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70,406</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72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Cash, at end of period</w:t>
            </w:r>
          </w:p>
        </w:tc>
        <w:tc>
          <w:tcPr>
            <w:tcW w:w="960" w:type="dxa"/>
            <w:vAlign w:val="bottom"/>
            <w:tcBorders>
              <w:bottom w:val="single" w:sz="8" w:color="auto"/>
            </w:tcBorders>
            <w:shd w:val="clear" w:color="auto" w:fill="CFF0FC"/>
          </w:tcPr>
          <w:p>
            <w:pPr>
              <w:jc w:val="right"/>
              <w:ind w:right="772"/>
              <w:spacing w:after="0"/>
              <w:rPr>
                <w:sz w:val="20"/>
                <w:szCs w:val="20"/>
                <w:color w:val="auto"/>
              </w:rPr>
            </w:pPr>
            <w:r>
              <w:rPr>
                <w:rFonts w:ascii="Arial" w:cs="Arial" w:eastAsia="Arial" w:hAnsi="Arial"/>
                <w:sz w:val="18"/>
                <w:szCs w:val="18"/>
                <w:color w:val="auto"/>
                <w:w w:val="79"/>
              </w:rPr>
              <w:t>$</w:t>
            </w:r>
          </w:p>
        </w:tc>
        <w:tc>
          <w:tcPr>
            <w:tcW w:w="6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86"/>
              </w:rPr>
              <w:t>158,549</w:t>
            </w:r>
          </w:p>
        </w:tc>
        <w:tc>
          <w:tcPr>
            <w:tcW w:w="280" w:type="dxa"/>
            <w:vAlign w:val="bottom"/>
            <w:tcBorders>
              <w:bottom w:val="single" w:sz="8" w:color="CFF0FC"/>
            </w:tcBorders>
            <w:shd w:val="clear" w:color="auto" w:fill="CFF0FC"/>
          </w:tcPr>
          <w:p>
            <w:pPr>
              <w:spacing w:after="0"/>
              <w:rPr>
                <w:sz w:val="19"/>
                <w:szCs w:val="19"/>
                <w:color w:val="auto"/>
              </w:rPr>
            </w:pPr>
          </w:p>
        </w:tc>
        <w:tc>
          <w:tcPr>
            <w:tcW w:w="560" w:type="dxa"/>
            <w:vAlign w:val="bottom"/>
            <w:tcBorders>
              <w:bottom w:val="single" w:sz="8" w:color="auto"/>
            </w:tcBorders>
            <w:shd w:val="clear" w:color="auto" w:fill="CFF0FC"/>
          </w:tcPr>
          <w:p>
            <w:pPr>
              <w:jc w:val="right"/>
              <w:ind w:right="37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54,792</w:t>
            </w:r>
          </w:p>
        </w:tc>
        <w:tc>
          <w:tcPr>
            <w:tcW w:w="12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720" w:type="dxa"/>
            <w:vAlign w:val="bottom"/>
            <w:vMerge w:val="restart"/>
          </w:tcPr>
          <w:p>
            <w:pPr>
              <w:spacing w:after="0"/>
              <w:rPr>
                <w:sz w:val="20"/>
                <w:szCs w:val="20"/>
                <w:color w:val="auto"/>
              </w:rPr>
            </w:pPr>
            <w:r>
              <w:rPr>
                <w:rFonts w:ascii="Arial" w:cs="Arial" w:eastAsia="Arial" w:hAnsi="Arial"/>
                <w:sz w:val="18"/>
                <w:szCs w:val="18"/>
                <w:color w:val="auto"/>
              </w:rPr>
              <w:t>Supplemental disclosures of cash flow information:</w:t>
            </w:r>
          </w:p>
        </w:tc>
        <w:tc>
          <w:tcPr>
            <w:tcW w:w="9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720" w:type="dxa"/>
            <w:vAlign w:val="bottom"/>
            <w:vMerge w:val="continue"/>
          </w:tcPr>
          <w:p>
            <w:pPr>
              <w:spacing w:after="0"/>
              <w:rPr>
                <w:sz w:val="18"/>
                <w:szCs w:val="18"/>
                <w:color w:val="auto"/>
              </w:rPr>
            </w:pPr>
          </w:p>
        </w:tc>
        <w:tc>
          <w:tcPr>
            <w:tcW w:w="9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7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Cash paid for interest</w:t>
            </w:r>
          </w:p>
        </w:tc>
        <w:tc>
          <w:tcPr>
            <w:tcW w:w="960" w:type="dxa"/>
            <w:vAlign w:val="bottom"/>
            <w:shd w:val="clear" w:color="auto" w:fill="CFF0FC"/>
          </w:tcPr>
          <w:p>
            <w:pPr>
              <w:jc w:val="right"/>
              <w:ind w:right="772"/>
              <w:spacing w:after="0"/>
              <w:rPr>
                <w:sz w:val="20"/>
                <w:szCs w:val="20"/>
                <w:color w:val="auto"/>
              </w:rPr>
            </w:pPr>
            <w:r>
              <w:rPr>
                <w:rFonts w:ascii="Arial" w:cs="Arial" w:eastAsia="Arial" w:hAnsi="Arial"/>
                <w:sz w:val="18"/>
                <w:szCs w:val="18"/>
                <w:color w:val="auto"/>
                <w:w w:val="79"/>
              </w:rPr>
              <w:t>$</w:t>
            </w: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992</w:t>
            </w:r>
          </w:p>
        </w:tc>
        <w:tc>
          <w:tcPr>
            <w:tcW w:w="280" w:type="dxa"/>
            <w:vAlign w:val="bottom"/>
            <w:shd w:val="clear" w:color="auto" w:fill="CFF0FC"/>
          </w:tcPr>
          <w:p>
            <w:pPr>
              <w:spacing w:after="0"/>
              <w:rPr>
                <w:sz w:val="19"/>
                <w:szCs w:val="19"/>
                <w:color w:val="auto"/>
              </w:rPr>
            </w:pPr>
          </w:p>
        </w:tc>
        <w:tc>
          <w:tcPr>
            <w:tcW w:w="560" w:type="dxa"/>
            <w:vAlign w:val="bottom"/>
            <w:shd w:val="clear" w:color="auto" w:fill="CFF0FC"/>
          </w:tcPr>
          <w:p>
            <w:pPr>
              <w:jc w:val="right"/>
              <w:ind w:right="370"/>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904</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20" w:type="dxa"/>
            <w:vAlign w:val="bottom"/>
          </w:tcPr>
          <w:p>
            <w:pPr>
              <w:ind w:left="260"/>
              <w:spacing w:after="0"/>
              <w:rPr>
                <w:sz w:val="20"/>
                <w:szCs w:val="20"/>
                <w:color w:val="auto"/>
              </w:rPr>
            </w:pPr>
            <w:r>
              <w:rPr>
                <w:rFonts w:ascii="Arial" w:cs="Arial" w:eastAsia="Arial" w:hAnsi="Arial"/>
                <w:sz w:val="18"/>
                <w:szCs w:val="18"/>
                <w:color w:val="auto"/>
              </w:rPr>
              <w:t>Cash paid for income taxes</w:t>
            </w:r>
          </w:p>
        </w:tc>
        <w:tc>
          <w:tcPr>
            <w:tcW w:w="96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6,414</w:t>
            </w:r>
          </w:p>
        </w:tc>
        <w:tc>
          <w:tcPr>
            <w:tcW w:w="2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3,474</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20" w:type="dxa"/>
            <w:vAlign w:val="bottom"/>
            <w:shd w:val="clear" w:color="auto" w:fill="CFF0FC"/>
          </w:tcPr>
          <w:p>
            <w:pPr>
              <w:spacing w:after="0"/>
              <w:rPr>
                <w:sz w:val="20"/>
                <w:szCs w:val="20"/>
                <w:color w:val="auto"/>
              </w:rPr>
            </w:pPr>
            <w:r>
              <w:rPr>
                <w:rFonts w:ascii="Arial" w:cs="Arial" w:eastAsia="Arial" w:hAnsi="Arial"/>
                <w:sz w:val="18"/>
                <w:szCs w:val="18"/>
                <w:color w:val="auto"/>
              </w:rPr>
              <w:t>Supplemental disclosures of non-cash investing and financing activities:</w:t>
            </w:r>
          </w:p>
        </w:tc>
        <w:tc>
          <w:tcPr>
            <w:tcW w:w="960" w:type="dxa"/>
            <w:vAlign w:val="bottom"/>
            <w:shd w:val="clear" w:color="auto" w:fill="CFF0FC"/>
          </w:tcPr>
          <w:p>
            <w:pPr>
              <w:spacing w:after="0"/>
              <w:rPr>
                <w:sz w:val="19"/>
                <w:szCs w:val="19"/>
                <w:color w:val="auto"/>
              </w:rPr>
            </w:pPr>
          </w:p>
        </w:tc>
        <w:tc>
          <w:tcPr>
            <w:tcW w:w="6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20" w:type="dxa"/>
            <w:vAlign w:val="bottom"/>
          </w:tcPr>
          <w:p>
            <w:pPr>
              <w:ind w:left="260"/>
              <w:spacing w:after="0"/>
              <w:rPr>
                <w:sz w:val="20"/>
                <w:szCs w:val="20"/>
                <w:color w:val="auto"/>
              </w:rPr>
            </w:pPr>
            <w:r>
              <w:rPr>
                <w:rFonts w:ascii="Arial" w:cs="Arial" w:eastAsia="Arial" w:hAnsi="Arial"/>
                <w:sz w:val="18"/>
                <w:szCs w:val="18"/>
                <w:color w:val="auto"/>
              </w:rPr>
              <w:t>Leasehold improvements acquired through tenant allowances</w:t>
            </w:r>
          </w:p>
        </w:tc>
        <w:tc>
          <w:tcPr>
            <w:tcW w:w="960" w:type="dxa"/>
            <w:vAlign w:val="bottom"/>
          </w:tcPr>
          <w:p>
            <w:pPr>
              <w:jc w:val="right"/>
              <w:ind w:right="772"/>
              <w:spacing w:after="0"/>
              <w:rPr>
                <w:sz w:val="20"/>
                <w:szCs w:val="20"/>
                <w:color w:val="auto"/>
              </w:rPr>
            </w:pPr>
            <w:r>
              <w:rPr>
                <w:rFonts w:ascii="Arial" w:cs="Arial" w:eastAsia="Arial" w:hAnsi="Arial"/>
                <w:sz w:val="18"/>
                <w:szCs w:val="18"/>
                <w:color w:val="auto"/>
                <w:w w:val="79"/>
              </w:rPr>
              <w:t>$</w:t>
            </w:r>
          </w:p>
        </w:tc>
        <w:tc>
          <w:tcPr>
            <w:tcW w:w="88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560" w:type="dxa"/>
            <w:vAlign w:val="bottom"/>
          </w:tcPr>
          <w:p>
            <w:pPr>
              <w:jc w:val="right"/>
              <w:ind w:right="370"/>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682</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Condensed Consolidated Financial Statements (Unaudited)</w:t>
      </w: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223520</wp:posOffset>
            </wp:positionV>
            <wp:extent cx="71323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ADDUS HOMECARE CORPORATION</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AND SUBSIDIARIES</w:t>
      </w:r>
    </w:p>
    <w:p>
      <w:pPr>
        <w:spacing w:after="0" w:line="15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Nature of Operations, Consolidation, and Presentation of Financial Statements</w:t>
      </w:r>
    </w:p>
    <w:p>
      <w:pPr>
        <w:spacing w:after="0" w:line="81" w:lineRule="exact"/>
        <w:rPr>
          <w:sz w:val="20"/>
          <w:szCs w:val="20"/>
          <w:color w:val="auto"/>
        </w:rPr>
      </w:pPr>
    </w:p>
    <w:p>
      <w:pPr>
        <w:ind w:right="60" w:firstLine="476"/>
        <w:spacing w:after="0" w:line="291" w:lineRule="auto"/>
        <w:rPr>
          <w:sz w:val="20"/>
          <w:szCs w:val="20"/>
          <w:color w:val="auto"/>
        </w:rPr>
      </w:pPr>
      <w:r>
        <w:rPr>
          <w:rFonts w:ascii="Arial" w:cs="Arial" w:eastAsia="Arial" w:hAnsi="Arial"/>
          <w:sz w:val="16"/>
          <w:szCs w:val="16"/>
          <w:color w:val="auto"/>
        </w:rPr>
        <w:t>Addus HomeCare Corporation (“Holdings”) and its subsidiaries (together with Holdings, the “Company”, “we”, “us” or “our”) operate as a multi-state provider of three distinct but related business segments providing in-home services. In its personal care services segment, the Company provides non-medical assistance with activities of daily living, primarily to persons who are at increased risk of hospitalization or institutionalization, such as the elderly, chronically ill or disabled. In its hospice segment, the Company provides physical, emotional and spiritual care for people who are terminally ill as well as related services for their families. In its home health segment, the Company provides services that are primarily medical in nature to individuals who may require assistance during an illness or after hospitalization and include skilled nursing and physical, occupational and speech therapy. The Company’s payors include federal, state and local governmental agencies, managed care organizations, commercial insurers and private individuals.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Basis of Presentation</w:t>
      </w:r>
    </w:p>
    <w:p>
      <w:pPr>
        <w:spacing w:after="0" w:line="77" w:lineRule="exact"/>
        <w:rPr>
          <w:sz w:val="20"/>
          <w:szCs w:val="20"/>
          <w:color w:val="auto"/>
        </w:rPr>
      </w:pPr>
    </w:p>
    <w:p>
      <w:pPr>
        <w:ind w:right="120" w:firstLine="476"/>
        <w:spacing w:after="0" w:line="254" w:lineRule="auto"/>
        <w:rPr>
          <w:sz w:val="20"/>
          <w:szCs w:val="20"/>
          <w:color w:val="auto"/>
        </w:rPr>
      </w:pPr>
      <w:r>
        <w:rPr>
          <w:rFonts w:ascii="Arial" w:cs="Arial" w:eastAsia="Arial" w:hAnsi="Arial"/>
          <w:sz w:val="18"/>
          <w:szCs w:val="18"/>
          <w:color w:val="auto"/>
        </w:rPr>
        <w:t>The accompanying Unaudited Condensed Consolidated Financial Statements and related notes have been prepared in accordance with the rules and regulations of the U.S. Securities and Exchange Commission (“SEC”) for Quarterly Reports on Form 10-Q. The accompanying balance sheet as of December 31, 2019 has been derived from the Company’s audited financial statements for the year ended December 31, 2019 previously filed with the SEC. Accordingly, these financial statements do not include all of the information and note disclosures required by accounting principles generally accepted in the United States of America (“GAAP”) for annual financial statements and should be read in conjunction with our consolidated financial statements and notes thereto for the year ended December 31, 2019 included in our Annual Report on Form 10-K, which includes information and disclosures not included herein.</w:t>
      </w:r>
    </w:p>
    <w:p>
      <w:pPr>
        <w:spacing w:after="0" w:line="141" w:lineRule="exact"/>
        <w:rPr>
          <w:sz w:val="20"/>
          <w:szCs w:val="20"/>
          <w:color w:val="auto"/>
        </w:rPr>
      </w:pPr>
    </w:p>
    <w:p>
      <w:pPr>
        <w:jc w:val="both"/>
        <w:ind w:right="120" w:firstLine="476"/>
        <w:spacing w:after="0" w:line="263" w:lineRule="auto"/>
        <w:rPr>
          <w:sz w:val="20"/>
          <w:szCs w:val="20"/>
          <w:color w:val="auto"/>
        </w:rPr>
      </w:pPr>
      <w:r>
        <w:rPr>
          <w:rFonts w:ascii="Arial" w:cs="Arial" w:eastAsia="Arial" w:hAnsi="Arial"/>
          <w:sz w:val="18"/>
          <w:szCs w:val="18"/>
          <w:color w:val="auto"/>
        </w:rPr>
        <w:t>In the opinion of management, these financial statements reflect all adjustments of a normal, recurring nature necessary for the fair statement of our financial position, results of operations, and cash flows for the interim periods presented in conformity with GAAP. Our results for any interim period are not necessarily indicative of results for a full year or any other interim period.</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Principles of Consolidation</w:t>
      </w:r>
    </w:p>
    <w:p>
      <w:pPr>
        <w:spacing w:after="0" w:line="90" w:lineRule="exact"/>
        <w:rPr>
          <w:sz w:val="20"/>
          <w:szCs w:val="20"/>
          <w:color w:val="auto"/>
        </w:rPr>
      </w:pPr>
    </w:p>
    <w:p>
      <w:pPr>
        <w:ind w:right="400" w:firstLine="476"/>
        <w:spacing w:after="0" w:line="277" w:lineRule="auto"/>
        <w:rPr>
          <w:sz w:val="20"/>
          <w:szCs w:val="20"/>
          <w:color w:val="auto"/>
        </w:rPr>
      </w:pPr>
      <w:r>
        <w:rPr>
          <w:rFonts w:ascii="Arial" w:cs="Arial" w:eastAsia="Arial" w:hAnsi="Arial"/>
          <w:sz w:val="18"/>
          <w:szCs w:val="18"/>
          <w:color w:val="auto"/>
        </w:rPr>
        <w:t>These Unaudited Condensed Consolidated Financial Statements include the accounts of Addus HomeCare Corporation, and its subsidiaries. All intercompany balances and transactions have been eliminated in consolidation.</w:t>
      </w:r>
    </w:p>
    <w:p>
      <w:pPr>
        <w:spacing w:after="0" w:line="220" w:lineRule="exact"/>
        <w:rPr>
          <w:sz w:val="20"/>
          <w:szCs w:val="20"/>
          <w:color w:val="auto"/>
        </w:rPr>
      </w:pPr>
    </w:p>
    <w:p>
      <w:pPr>
        <w:ind w:right="7680" w:firstLine="8"/>
        <w:spacing w:after="0" w:line="331" w:lineRule="auto"/>
        <w:tabs>
          <w:tab w:leader="none" w:pos="180" w:val="left"/>
        </w:tabs>
        <w:numPr>
          <w:ilvl w:val="0"/>
          <w:numId w:val="3"/>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Summary of Significant Accounting Policies </w:t>
      </w:r>
      <w:r>
        <w:rPr>
          <w:rFonts w:ascii="Arial" w:cs="Arial" w:eastAsia="Arial" w:hAnsi="Arial"/>
          <w:sz w:val="18"/>
          <w:szCs w:val="18"/>
          <w:b w:val="1"/>
          <w:bCs w:val="1"/>
          <w:i w:val="1"/>
          <w:iCs w:val="1"/>
          <w:color w:val="auto"/>
        </w:rPr>
        <w:t>Estimates</w:t>
      </w:r>
    </w:p>
    <w:p>
      <w:pPr>
        <w:ind w:right="300" w:firstLine="476"/>
        <w:spacing w:after="0" w:line="263" w:lineRule="auto"/>
        <w:rPr>
          <w:sz w:val="20"/>
          <w:szCs w:val="20"/>
          <w:color w:val="auto"/>
        </w:rPr>
      </w:pPr>
      <w:r>
        <w:rPr>
          <w:rFonts w:ascii="Arial" w:cs="Arial" w:eastAsia="Arial" w:hAnsi="Arial"/>
          <w:sz w:val="18"/>
          <w:szCs w:val="18"/>
          <w:color w:val="auto"/>
        </w:rPr>
        <w:t>The financial statements are prepared by management in conformity with GAAP and include estimated amounts and certain disclosures based on assumptions about future events. The Company’s critical accounting estimates include revenue recognition, accounts receivable and allowances and goodwill and intangible assets. Actual results could differ from those estimates.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Diluted Net Income Per Common Share</w:t>
      </w:r>
    </w:p>
    <w:p>
      <w:pPr>
        <w:spacing w:after="0" w:line="77" w:lineRule="exact"/>
        <w:rPr>
          <w:sz w:val="20"/>
          <w:szCs w:val="20"/>
          <w:color w:val="auto"/>
        </w:rPr>
      </w:pPr>
    </w:p>
    <w:p>
      <w:pPr>
        <w:ind w:right="420" w:firstLine="476"/>
        <w:spacing w:after="0" w:line="342" w:lineRule="auto"/>
        <w:rPr>
          <w:sz w:val="20"/>
          <w:szCs w:val="20"/>
          <w:color w:val="auto"/>
        </w:rPr>
      </w:pPr>
      <w:r>
        <w:rPr>
          <w:rFonts w:ascii="Arial" w:cs="Arial" w:eastAsia="Arial" w:hAnsi="Arial"/>
          <w:sz w:val="16"/>
          <w:szCs w:val="16"/>
          <w:color w:val="auto"/>
        </w:rPr>
        <w:t>Diluted net income per common share, calculated on the treasury stock method, is based on the weighted average number of shares outstanding during the period. The Company’s outstanding securities that may potentially dilute the common stock are stock options and restricted stock awards.</w:t>
      </w:r>
    </w:p>
    <w:p>
      <w:pPr>
        <w:spacing w:after="0" w:line="70" w:lineRule="exact"/>
        <w:rPr>
          <w:sz w:val="20"/>
          <w:szCs w:val="20"/>
          <w:color w:val="auto"/>
        </w:rPr>
      </w:pPr>
    </w:p>
    <w:p>
      <w:pPr>
        <w:ind w:firstLine="476"/>
        <w:spacing w:after="0" w:line="277" w:lineRule="auto"/>
        <w:rPr>
          <w:sz w:val="20"/>
          <w:szCs w:val="20"/>
          <w:color w:val="auto"/>
        </w:rPr>
      </w:pPr>
      <w:r>
        <w:rPr>
          <w:rFonts w:ascii="Arial" w:cs="Arial" w:eastAsia="Arial" w:hAnsi="Arial"/>
          <w:sz w:val="18"/>
          <w:szCs w:val="18"/>
          <w:color w:val="auto"/>
        </w:rPr>
        <w:t>As of June 30, 2020 and 2019, dilutive stock options outstanding were approximately 579,000 and 695,000, respectively, and dilutive restricted stock awards outstanding were approximately 72,000 and 154,000, respectively.</w:t>
      </w:r>
    </w:p>
    <w:p>
      <w:pPr>
        <w:spacing w:after="0" w:line="116" w:lineRule="exact"/>
        <w:rPr>
          <w:sz w:val="20"/>
          <w:szCs w:val="20"/>
          <w:color w:val="auto"/>
        </w:rPr>
      </w:pPr>
    </w:p>
    <w:p>
      <w:pPr>
        <w:ind w:right="300" w:firstLine="476"/>
        <w:spacing w:after="0" w:line="263" w:lineRule="auto"/>
        <w:rPr>
          <w:sz w:val="20"/>
          <w:szCs w:val="20"/>
          <w:color w:val="auto"/>
        </w:rPr>
      </w:pPr>
      <w:r>
        <w:rPr>
          <w:rFonts w:ascii="Arial" w:cs="Arial" w:eastAsia="Arial" w:hAnsi="Arial"/>
          <w:sz w:val="18"/>
          <w:szCs w:val="18"/>
          <w:color w:val="auto"/>
        </w:rPr>
        <w:t>Included in the Company’s calculation of diluted earnings per share for the three and six months ended June 30, 2020, dilutive stock options outstanding were approximately 296,000 and 304,000, respectively. In addition, dilutive restricted stock awards outstanding were approximately 37,000 and 63,000 for the three and six months ended June 30, 2020, respectively.</w:t>
      </w:r>
    </w:p>
    <w:p>
      <w:pPr>
        <w:spacing w:after="0" w:line="130" w:lineRule="exact"/>
        <w:rPr>
          <w:sz w:val="20"/>
          <w:szCs w:val="20"/>
          <w:color w:val="auto"/>
        </w:rPr>
      </w:pPr>
    </w:p>
    <w:p>
      <w:pPr>
        <w:ind w:right="140" w:firstLine="476"/>
        <w:spacing w:after="0" w:line="263" w:lineRule="auto"/>
        <w:rPr>
          <w:sz w:val="20"/>
          <w:szCs w:val="20"/>
          <w:color w:val="auto"/>
        </w:rPr>
      </w:pPr>
      <w:r>
        <w:rPr>
          <w:rFonts w:ascii="Arial" w:cs="Arial" w:eastAsia="Arial" w:hAnsi="Arial"/>
          <w:sz w:val="18"/>
          <w:szCs w:val="18"/>
          <w:color w:val="auto"/>
        </w:rPr>
        <w:t>Included in the Company’s calculation of diluted earnings per share for the three and six months ended June 30, 2019, were approximately 327,000 and 316,000 dilutive stock options outstanding , respectively. In addition, dilutive restricted stock awards outstanding were approximately 62,000 and 78,000 for the three and six months ended June 30, 2019, respectively.</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223520</wp:posOffset>
            </wp:positionV>
            <wp:extent cx="71323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5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Recently Adopted Accounting Pronouncements</w:t>
      </w:r>
    </w:p>
    <w:p>
      <w:pPr>
        <w:spacing w:after="0" w:line="90" w:lineRule="exact"/>
        <w:rPr>
          <w:sz w:val="20"/>
          <w:szCs w:val="20"/>
          <w:color w:val="auto"/>
        </w:rPr>
      </w:pPr>
    </w:p>
    <w:p>
      <w:pPr>
        <w:ind w:right="60" w:firstLine="476"/>
        <w:spacing w:after="0" w:line="288" w:lineRule="auto"/>
        <w:rPr>
          <w:sz w:val="20"/>
          <w:szCs w:val="20"/>
          <w:color w:val="auto"/>
        </w:rPr>
      </w:pPr>
      <w:r>
        <w:rPr>
          <w:rFonts w:ascii="Arial" w:cs="Arial" w:eastAsia="Arial" w:hAnsi="Arial"/>
          <w:sz w:val="16"/>
          <w:szCs w:val="16"/>
          <w:color w:val="auto"/>
        </w:rPr>
        <w:t xml:space="preserve">In June 2016, the FASB issued ASU 2016-13, </w:t>
      </w:r>
      <w:r>
        <w:rPr>
          <w:rFonts w:ascii="Arial" w:cs="Arial" w:eastAsia="Arial" w:hAnsi="Arial"/>
          <w:sz w:val="16"/>
          <w:szCs w:val="16"/>
          <w:i w:val="1"/>
          <w:iCs w:val="1"/>
          <w:color w:val="auto"/>
        </w:rPr>
        <w:t>Financial Instruments—Credit Losses (Topic 326)</w:t>
      </w:r>
      <w:r>
        <w:rPr>
          <w:rFonts w:ascii="Arial" w:cs="Arial" w:eastAsia="Arial" w:hAnsi="Arial"/>
          <w:sz w:val="16"/>
          <w:szCs w:val="16"/>
          <w:color w:val="auto"/>
        </w:rPr>
        <w:t xml:space="preserve">: </w:t>
      </w:r>
      <w:r>
        <w:rPr>
          <w:rFonts w:ascii="Arial" w:cs="Arial" w:eastAsia="Arial" w:hAnsi="Arial"/>
          <w:sz w:val="16"/>
          <w:szCs w:val="16"/>
          <w:i w:val="1"/>
          <w:iCs w:val="1"/>
          <w:color w:val="auto"/>
        </w:rPr>
        <w:t>Measurement of Credit Losses on Financial</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Instruments. </w:t>
      </w:r>
      <w:r>
        <w:rPr>
          <w:rFonts w:ascii="Arial" w:cs="Arial" w:eastAsia="Arial" w:hAnsi="Arial"/>
          <w:sz w:val="16"/>
          <w:szCs w:val="16"/>
          <w:color w:val="auto"/>
        </w:rPr>
        <w:t>ASU 2016-13 changes the impairment model for most financial assets and certain other instruments. Under the new standard, entities holding</w:t>
      </w:r>
      <w:r>
        <w:rPr>
          <w:rFonts w:ascii="Arial" w:cs="Arial" w:eastAsia="Arial" w:hAnsi="Arial"/>
          <w:sz w:val="16"/>
          <w:szCs w:val="16"/>
          <w:i w:val="1"/>
          <w:iCs w:val="1"/>
          <w:color w:val="auto"/>
        </w:rPr>
        <w:t xml:space="preserve"> </w:t>
      </w:r>
      <w:r>
        <w:rPr>
          <w:rFonts w:ascii="Arial" w:cs="Arial" w:eastAsia="Arial" w:hAnsi="Arial"/>
          <w:sz w:val="16"/>
          <w:szCs w:val="16"/>
          <w:color w:val="auto"/>
        </w:rPr>
        <w:t>financial assets and net investment in leases that are not accounted for at fair value through net income are to be presented at the net amount expected to be collected. An allowance for credit losses will be a valuation account that will be deducted from the amortized cost basis of the financial asset to present the net carrying value at the amount expected to be collected on the financial asset. We have reviewed our provision for doubtful accounts process as required by ASU 2016-13. Management estimates allowances on accounts receivable based upon historical experience and other factors, including an aging of accounts receivable, evaluation of expected adjustments, past adjustments and collection experience in relation to amounts billed, current contract and reimbursement terms, shifts in payors and other current relevant information. The Company recorded a provision for doubtful accounts of $0.2 million and $0.4 million for the three and six months ended June 30, 2020, respectively. Allowance for doubtful accounts was $0.9 million and $1.0 million as of June 30, 2020 and December 31, 2019, respectively. Adoption of the new standard did not have a significant impact on our results of operations or liquidity.</w:t>
      </w:r>
    </w:p>
    <w:p>
      <w:pPr>
        <w:spacing w:after="0" w:line="114" w:lineRule="exact"/>
        <w:rPr>
          <w:sz w:val="20"/>
          <w:szCs w:val="20"/>
          <w:color w:val="auto"/>
        </w:rPr>
      </w:pPr>
    </w:p>
    <w:p>
      <w:pPr>
        <w:ind w:right="60" w:firstLine="476"/>
        <w:spacing w:after="0" w:line="257" w:lineRule="auto"/>
        <w:rPr>
          <w:sz w:val="20"/>
          <w:szCs w:val="20"/>
          <w:color w:val="auto"/>
        </w:rPr>
      </w:pPr>
      <w:r>
        <w:rPr>
          <w:rFonts w:ascii="Arial" w:cs="Arial" w:eastAsia="Arial" w:hAnsi="Arial"/>
          <w:sz w:val="18"/>
          <w:szCs w:val="18"/>
          <w:color w:val="auto"/>
        </w:rPr>
        <w:t xml:space="preserve">In January 2017, the FASB issued ASU 2017-04, </w:t>
      </w:r>
      <w:r>
        <w:rPr>
          <w:rFonts w:ascii="Arial" w:cs="Arial" w:eastAsia="Arial" w:hAnsi="Arial"/>
          <w:sz w:val="18"/>
          <w:szCs w:val="18"/>
          <w:i w:val="1"/>
          <w:iCs w:val="1"/>
          <w:color w:val="auto"/>
        </w:rPr>
        <w:t>Intangibles—Goodwill and Other (Topic 350): Simplifying the Test for Goodwill Impairment.</w:t>
      </w:r>
      <w:r>
        <w:rPr>
          <w:rFonts w:ascii="Arial" w:cs="Arial" w:eastAsia="Arial" w:hAnsi="Arial"/>
          <w:sz w:val="18"/>
          <w:szCs w:val="18"/>
          <w:color w:val="auto"/>
        </w:rPr>
        <w:t xml:space="preserve"> The new guidance eliminates the requirement to calculate the implied fair value of goodwill (i.e., Step 2 of the current goodwill impairment test) to measure a goodwill impairment charge. Instead, entities will record an impairment charge based on the excess of a reporting unit’s carrying amount over its fair value (i.e., measure the charge based on the current Step 1). Adoption of the new standard did not have a significant impact on our results of operations or liquidity.</w:t>
      </w:r>
    </w:p>
    <w:p>
      <w:pPr>
        <w:spacing w:after="0" w:line="134" w:lineRule="exact"/>
        <w:rPr>
          <w:sz w:val="20"/>
          <w:szCs w:val="20"/>
          <w:color w:val="auto"/>
        </w:rPr>
      </w:pPr>
    </w:p>
    <w:p>
      <w:pPr>
        <w:ind w:right="60" w:firstLine="476"/>
        <w:spacing w:after="0" w:line="257" w:lineRule="auto"/>
        <w:rPr>
          <w:sz w:val="20"/>
          <w:szCs w:val="20"/>
          <w:color w:val="auto"/>
        </w:rPr>
      </w:pPr>
      <w:r>
        <w:rPr>
          <w:rFonts w:ascii="Arial" w:cs="Arial" w:eastAsia="Arial" w:hAnsi="Arial"/>
          <w:sz w:val="18"/>
          <w:szCs w:val="18"/>
          <w:color w:val="auto"/>
        </w:rPr>
        <w:t xml:space="preserve">In August 2018, the FASB issued ASU 2018-15, </w:t>
      </w:r>
      <w:r>
        <w:rPr>
          <w:rFonts w:ascii="Arial" w:cs="Arial" w:eastAsia="Arial" w:hAnsi="Arial"/>
          <w:sz w:val="18"/>
          <w:szCs w:val="18"/>
          <w:i w:val="1"/>
          <w:iCs w:val="1"/>
          <w:color w:val="auto"/>
        </w:rPr>
        <w:t>Intangibles—Goodwill and Other—Internal-Use Software (Subtopic 350-40): Customer</w:t>
      </w:r>
      <w:r>
        <w:rPr>
          <w:rFonts w:ascii="Arial" w:cs="Arial" w:eastAsia="Arial" w:hAnsi="Arial"/>
          <w:sz w:val="18"/>
          <w:szCs w:val="18"/>
          <w:color w:val="auto"/>
        </w:rPr>
        <w:t>’</w:t>
      </w:r>
      <w:r>
        <w:rPr>
          <w:rFonts w:ascii="Arial" w:cs="Arial" w:eastAsia="Arial" w:hAnsi="Arial"/>
          <w:sz w:val="18"/>
          <w:szCs w:val="18"/>
          <w:i w:val="1"/>
          <w:iCs w:val="1"/>
          <w:color w:val="auto"/>
        </w:rPr>
        <w:t>s</w:t>
      </w:r>
      <w:r>
        <w:rPr>
          <w:rFonts w:ascii="Arial" w:cs="Arial" w:eastAsia="Arial" w:hAnsi="Arial"/>
          <w:sz w:val="18"/>
          <w:szCs w:val="18"/>
          <w:color w:val="auto"/>
        </w:rPr>
        <w:t xml:space="preserve"> </w:t>
      </w:r>
      <w:r>
        <w:rPr>
          <w:rFonts w:ascii="Arial" w:cs="Arial" w:eastAsia="Arial" w:hAnsi="Arial"/>
          <w:sz w:val="18"/>
          <w:szCs w:val="18"/>
          <w:i w:val="1"/>
          <w:iCs w:val="1"/>
          <w:color w:val="auto"/>
        </w:rPr>
        <w:t>Accounting for Implementation Costs Incurred in a Cloud Computing Arrangement That is a Service Contract</w:t>
      </w:r>
      <w:r>
        <w:rPr>
          <w:rFonts w:ascii="Arial" w:cs="Arial" w:eastAsia="Arial" w:hAnsi="Arial"/>
          <w:sz w:val="18"/>
          <w:szCs w:val="18"/>
          <w:color w:val="auto"/>
        </w:rPr>
        <w:t>. ASU 2018-15 requires customers in a</w:t>
      </w:r>
      <w:r>
        <w:rPr>
          <w:rFonts w:ascii="Arial" w:cs="Arial" w:eastAsia="Arial" w:hAnsi="Arial"/>
          <w:sz w:val="18"/>
          <w:szCs w:val="18"/>
          <w:i w:val="1"/>
          <w:iCs w:val="1"/>
          <w:color w:val="auto"/>
        </w:rPr>
        <w:t xml:space="preserve"> </w:t>
      </w:r>
      <w:r>
        <w:rPr>
          <w:rFonts w:ascii="Arial" w:cs="Arial" w:eastAsia="Arial" w:hAnsi="Arial"/>
          <w:sz w:val="18"/>
          <w:szCs w:val="18"/>
          <w:color w:val="auto"/>
        </w:rPr>
        <w:t>hosting arrangement that is a service contract to follow the internal-use software guidance in Accounting Standards Codification (“ASC”) 350-40 to determine which implementation costs to capitalize as assets or expense as incurred. Adoption of the new standard did not have a significant impact on our results of operations or liquidity.</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Recently Issued Accounting Pronouncements</w:t>
      </w:r>
    </w:p>
    <w:p>
      <w:pPr>
        <w:spacing w:after="0" w:line="77" w:lineRule="exact"/>
        <w:rPr>
          <w:sz w:val="20"/>
          <w:szCs w:val="20"/>
          <w:color w:val="auto"/>
        </w:rPr>
      </w:pPr>
    </w:p>
    <w:p>
      <w:pPr>
        <w:ind w:right="60" w:firstLine="476"/>
        <w:spacing w:after="0" w:line="257" w:lineRule="auto"/>
        <w:rPr>
          <w:sz w:val="20"/>
          <w:szCs w:val="20"/>
          <w:color w:val="auto"/>
        </w:rPr>
      </w:pPr>
      <w:r>
        <w:rPr>
          <w:rFonts w:ascii="Arial" w:cs="Arial" w:eastAsia="Arial" w:hAnsi="Arial"/>
          <w:sz w:val="18"/>
          <w:szCs w:val="18"/>
          <w:color w:val="auto"/>
        </w:rPr>
        <w:t xml:space="preserve">In December 2019, the FASB issued ASU 2019-12, </w:t>
      </w:r>
      <w:r>
        <w:rPr>
          <w:rFonts w:ascii="Arial" w:cs="Arial" w:eastAsia="Arial" w:hAnsi="Arial"/>
          <w:sz w:val="18"/>
          <w:szCs w:val="18"/>
          <w:i w:val="1"/>
          <w:iCs w:val="1"/>
          <w:color w:val="auto"/>
        </w:rPr>
        <w:t>Income Taxes (Topic 740): Simplifying the Accounting for Income Taxes</w:t>
      </w:r>
      <w:r>
        <w:rPr>
          <w:rFonts w:ascii="Arial" w:cs="Arial" w:eastAsia="Arial" w:hAnsi="Arial"/>
          <w:sz w:val="18"/>
          <w:szCs w:val="18"/>
          <w:color w:val="auto"/>
        </w:rPr>
        <w:t>. ASU 2019-12 intends to simplify various aspects related to accounting for income taxes and removes certain exceptions to the general guidance in ASC 740. In addition, the ASU clarifies and amends existing guidance to improve consistent application of its requirements. The ASU is effective for fiscal years, including interim periods within those fiscal years, beginning after December 15, 2020. Early adoption is permitted. Adoption of the new standard is not expected to have an impact on our results of operations or liquidity.</w:t>
      </w:r>
    </w:p>
    <w:p>
      <w:pPr>
        <w:spacing w:after="0" w:line="134" w:lineRule="exact"/>
        <w:rPr>
          <w:sz w:val="20"/>
          <w:szCs w:val="20"/>
          <w:color w:val="auto"/>
        </w:rPr>
      </w:pPr>
    </w:p>
    <w:p>
      <w:pPr>
        <w:ind w:right="180" w:firstLine="476"/>
        <w:spacing w:after="0" w:line="293" w:lineRule="auto"/>
        <w:rPr>
          <w:sz w:val="20"/>
          <w:szCs w:val="20"/>
          <w:color w:val="auto"/>
        </w:rPr>
      </w:pPr>
      <w:r>
        <w:rPr>
          <w:rFonts w:ascii="Arial" w:cs="Arial" w:eastAsia="Arial" w:hAnsi="Arial"/>
          <w:sz w:val="16"/>
          <w:szCs w:val="16"/>
          <w:color w:val="auto"/>
        </w:rPr>
        <w:t xml:space="preserve">In March 2020, the FASB issued ASU 2020-04, </w:t>
      </w:r>
      <w:r>
        <w:rPr>
          <w:rFonts w:ascii="Arial" w:cs="Arial" w:eastAsia="Arial" w:hAnsi="Arial"/>
          <w:sz w:val="16"/>
          <w:szCs w:val="16"/>
          <w:i w:val="1"/>
          <w:iCs w:val="1"/>
          <w:color w:val="auto"/>
        </w:rPr>
        <w:t>Reference Rate Reform (Topic 848): Facilitation of the Effects of Reference Rate Reform on</w:t>
      </w:r>
      <w:r>
        <w:rPr>
          <w:rFonts w:ascii="Arial" w:cs="Arial" w:eastAsia="Arial" w:hAnsi="Arial"/>
          <w:sz w:val="16"/>
          <w:szCs w:val="16"/>
          <w:color w:val="auto"/>
        </w:rPr>
        <w:t xml:space="preserve"> </w:t>
      </w:r>
      <w:r>
        <w:rPr>
          <w:rFonts w:ascii="Arial" w:cs="Arial" w:eastAsia="Arial" w:hAnsi="Arial"/>
          <w:sz w:val="16"/>
          <w:szCs w:val="16"/>
          <w:i w:val="1"/>
          <w:iCs w:val="1"/>
          <w:color w:val="auto"/>
        </w:rPr>
        <w:t>Financial Reporting</w:t>
      </w:r>
      <w:r>
        <w:rPr>
          <w:rFonts w:ascii="Arial" w:cs="Arial" w:eastAsia="Arial" w:hAnsi="Arial"/>
          <w:sz w:val="16"/>
          <w:szCs w:val="16"/>
          <w:color w:val="auto"/>
        </w:rPr>
        <w:t>. ASU 2020-04 provides optional expedients and exceptions for applying GAAP to contract modifications and hedging relationships,</w:t>
      </w:r>
      <w:r>
        <w:rPr>
          <w:rFonts w:ascii="Arial" w:cs="Arial" w:eastAsia="Arial" w:hAnsi="Arial"/>
          <w:sz w:val="16"/>
          <w:szCs w:val="16"/>
          <w:i w:val="1"/>
          <w:iCs w:val="1"/>
          <w:color w:val="auto"/>
        </w:rPr>
        <w:t xml:space="preserve"> </w:t>
      </w:r>
      <w:r>
        <w:rPr>
          <w:rFonts w:ascii="Arial" w:cs="Arial" w:eastAsia="Arial" w:hAnsi="Arial"/>
          <w:sz w:val="16"/>
          <w:szCs w:val="16"/>
          <w:color w:val="auto"/>
        </w:rPr>
        <w:t>and other transactions subject to meeting certain criteria, that reference LIBOR or another reference rate expected to be discontinued. The ASU provides companies with optional guidance to ease the potential accounting burden associated with transitioning away from reference rates that are expected to be discontinued. Therefore, it will be in effect for a limited time through December 31, 2022. The ASU can be adopted no later than December 1, 2022 with early adoption permitted. The Company is evaluating the effect of adopting this new accounting guidance.</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Revision of Previously Issued Financial Statements</w:t>
      </w:r>
    </w:p>
    <w:p>
      <w:pPr>
        <w:spacing w:after="0" w:line="81" w:lineRule="exact"/>
        <w:rPr>
          <w:sz w:val="20"/>
          <w:szCs w:val="20"/>
          <w:color w:val="auto"/>
        </w:rPr>
      </w:pPr>
    </w:p>
    <w:p>
      <w:pPr>
        <w:ind w:firstLine="476"/>
        <w:spacing w:after="0" w:line="254" w:lineRule="auto"/>
        <w:rPr>
          <w:sz w:val="20"/>
          <w:szCs w:val="20"/>
          <w:color w:val="auto"/>
        </w:rPr>
      </w:pPr>
      <w:r>
        <w:rPr>
          <w:rFonts w:ascii="Arial" w:cs="Arial" w:eastAsia="Arial" w:hAnsi="Arial"/>
          <w:sz w:val="18"/>
          <w:szCs w:val="18"/>
          <w:color w:val="auto"/>
        </w:rPr>
        <w:t>In connection with management finalizing their financial reporting close process for the year ended December 31, 2019, management identified certain immaterial errors impacting the current period and previous periods dating back to periods prior to 2017, including interim periods within those years. Specifically, management determined there were certain errors in the information utilized to accurately estimate the implicit price concessions necessary to reduce net service revenues to the amount expected to be collected. Accordingly, management determined that our accounts receivable allowance was understated. The correction reflects the impact on the Company’s income tax provision and related accounts as a result of correcting for the error as discussed above. Additionally, the Company identified and corrected other immaterial unrelated income tax items impacting deferred tax assets and other immaterial items.</w:t>
      </w:r>
    </w:p>
    <w:p>
      <w:pPr>
        <w:spacing w:after="0" w:line="46" w:lineRule="exact"/>
        <w:rPr>
          <w:sz w:val="20"/>
          <w:szCs w:val="20"/>
          <w:color w:val="auto"/>
        </w:rPr>
      </w:pPr>
    </w:p>
    <w:p>
      <w:pPr>
        <w:ind w:firstLine="476"/>
        <w:spacing w:after="0" w:line="275" w:lineRule="auto"/>
        <w:rPr>
          <w:sz w:val="20"/>
          <w:szCs w:val="20"/>
          <w:color w:val="auto"/>
        </w:rPr>
      </w:pPr>
      <w:r>
        <w:rPr>
          <w:rFonts w:ascii="Arial" w:cs="Arial" w:eastAsia="Arial" w:hAnsi="Arial"/>
          <w:sz w:val="17"/>
          <w:szCs w:val="17"/>
          <w:color w:val="auto"/>
        </w:rPr>
        <w:t>Management evaluated the impact of the errors on all previously issued financial statements and concluded such previously issued financial statements were not materially misstated; however, to reflect such corrections in the quarter ended December 31, 2019 financial statements would materially misstate the 2019 fiscal year. Accordingly, management revised previously issued financial statements to correct for the impact of the errors. The Company’s consolidated financial statements have been revised from the amounts previously reported to correct these immaterial errors as shown in the tables below and are reflected throughout the financial statements and related notes, as applicable.</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223520</wp:posOffset>
            </wp:positionV>
            <wp:extent cx="71323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91" w:lineRule="exact"/>
        <w:rPr>
          <w:sz w:val="20"/>
          <w:szCs w:val="20"/>
          <w:color w:val="auto"/>
        </w:rPr>
      </w:pPr>
    </w:p>
    <w:p>
      <w:pPr>
        <w:ind w:right="540" w:firstLine="476"/>
        <w:spacing w:after="0" w:line="277" w:lineRule="auto"/>
        <w:rPr>
          <w:sz w:val="20"/>
          <w:szCs w:val="20"/>
          <w:color w:val="auto"/>
        </w:rPr>
      </w:pPr>
      <w:r>
        <w:rPr>
          <w:rFonts w:ascii="Arial" w:cs="Arial" w:eastAsia="Arial" w:hAnsi="Arial"/>
          <w:sz w:val="18"/>
          <w:szCs w:val="18"/>
          <w:color w:val="auto"/>
        </w:rPr>
        <w:t>The Consolidated Statements of Income has been revised to reflect the correction for the three and six months ended June 30, 2019 as follows (amounts in thousands, except per share data):</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46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240" w:type="dxa"/>
            <w:vAlign w:val="bottom"/>
            <w:gridSpan w:val="9"/>
          </w:tcPr>
          <w:p>
            <w:pPr>
              <w:ind w:left="260"/>
              <w:spacing w:after="0"/>
              <w:rPr>
                <w:sz w:val="20"/>
                <w:szCs w:val="20"/>
                <w:color w:val="auto"/>
              </w:rPr>
            </w:pPr>
            <w:r>
              <w:rPr>
                <w:rFonts w:ascii="Arial" w:cs="Arial" w:eastAsia="Arial" w:hAnsi="Arial"/>
                <w:sz w:val="14"/>
                <w:szCs w:val="14"/>
                <w:b w:val="1"/>
                <w:bCs w:val="1"/>
                <w:color w:val="auto"/>
              </w:rPr>
              <w:t>For the Three Months Ended June 30,</w:t>
            </w:r>
          </w:p>
        </w:tc>
        <w:tc>
          <w:tcPr>
            <w:tcW w:w="80" w:type="dxa"/>
            <w:vAlign w:val="bottom"/>
          </w:tcPr>
          <w:p>
            <w:pPr>
              <w:spacing w:after="0"/>
              <w:rPr>
                <w:sz w:val="16"/>
                <w:szCs w:val="16"/>
                <w:color w:val="auto"/>
              </w:rPr>
            </w:pPr>
          </w:p>
        </w:tc>
        <w:tc>
          <w:tcPr>
            <w:tcW w:w="3180" w:type="dxa"/>
            <w:vAlign w:val="bottom"/>
            <w:gridSpan w:val="8"/>
          </w:tcPr>
          <w:p>
            <w:pPr>
              <w:jc w:val="center"/>
              <w:ind w:right="220"/>
              <w:spacing w:after="0"/>
              <w:rPr>
                <w:sz w:val="20"/>
                <w:szCs w:val="20"/>
                <w:color w:val="auto"/>
              </w:rPr>
            </w:pPr>
            <w:r>
              <w:rPr>
                <w:rFonts w:ascii="Arial" w:cs="Arial" w:eastAsia="Arial" w:hAnsi="Arial"/>
                <w:sz w:val="14"/>
                <w:szCs w:val="14"/>
                <w:b w:val="1"/>
                <w:bCs w:val="1"/>
                <w:color w:val="auto"/>
                <w:w w:val="92"/>
              </w:rPr>
              <w:t>For the Six Months Ended June 30,</w:t>
            </w:r>
          </w:p>
        </w:tc>
      </w:tr>
      <w:tr>
        <w:trPr>
          <w:trHeight w:val="26"/>
        </w:trPr>
        <w:tc>
          <w:tcPr>
            <w:tcW w:w="4660" w:type="dxa"/>
            <w:vAlign w:val="bottom"/>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280" w:type="dxa"/>
            <w:vAlign w:val="bottom"/>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r>
      <w:tr>
        <w:trPr>
          <w:trHeight w:val="211"/>
        </w:trPr>
        <w:tc>
          <w:tcPr>
            <w:tcW w:w="46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ind w:right="93"/>
              <w:spacing w:after="0"/>
              <w:rPr>
                <w:sz w:val="20"/>
                <w:szCs w:val="20"/>
                <w:color w:val="auto"/>
              </w:rPr>
            </w:pPr>
            <w:r>
              <w:rPr>
                <w:rFonts w:ascii="Arial" w:cs="Arial" w:eastAsia="Arial" w:hAnsi="Arial"/>
                <w:sz w:val="14"/>
                <w:szCs w:val="14"/>
                <w:b w:val="1"/>
                <w:bCs w:val="1"/>
                <w:color w:val="auto"/>
              </w:rPr>
              <w:t>2019</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jc w:val="center"/>
              <w:ind w:right="53"/>
              <w:spacing w:after="0"/>
              <w:rPr>
                <w:sz w:val="20"/>
                <w:szCs w:val="20"/>
                <w:color w:val="auto"/>
              </w:rPr>
            </w:pPr>
            <w:r>
              <w:rPr>
                <w:rFonts w:ascii="Arial" w:cs="Arial" w:eastAsia="Arial" w:hAnsi="Arial"/>
                <w:sz w:val="14"/>
                <w:szCs w:val="14"/>
                <w:b w:val="1"/>
                <w:bCs w:val="1"/>
                <w:color w:val="auto"/>
                <w:w w:val="89"/>
              </w:rPr>
              <w:t>2019</w:t>
            </w: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6"/>
        </w:trPr>
        <w:tc>
          <w:tcPr>
            <w:tcW w:w="4660" w:type="dxa"/>
            <w:vAlign w:val="bottom"/>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gridSpan w:val="2"/>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280" w:type="dxa"/>
            <w:vAlign w:val="bottom"/>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r>
      <w:tr>
        <w:trPr>
          <w:trHeight w:val="146"/>
        </w:trPr>
        <w:tc>
          <w:tcPr>
            <w:tcW w:w="4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60" w:type="dxa"/>
            <w:vAlign w:val="bottom"/>
            <w:gridSpan w:val="2"/>
          </w:tcPr>
          <w:p>
            <w:pPr>
              <w:jc w:val="center"/>
              <w:ind w:right="360"/>
              <w:spacing w:after="0" w:line="147" w:lineRule="exact"/>
              <w:rPr>
                <w:sz w:val="20"/>
                <w:szCs w:val="20"/>
                <w:color w:val="auto"/>
              </w:rPr>
            </w:pPr>
            <w:r>
              <w:rPr>
                <w:rFonts w:ascii="Arial" w:cs="Arial" w:eastAsia="Arial" w:hAnsi="Arial"/>
                <w:sz w:val="14"/>
                <w:szCs w:val="14"/>
                <w:b w:val="1"/>
                <w:bCs w:val="1"/>
                <w:color w:val="auto"/>
                <w:w w:val="89"/>
              </w:rPr>
              <w:t>As</w:t>
            </w: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jc w:val="center"/>
              <w:ind w:right="14"/>
              <w:spacing w:after="0" w:line="147" w:lineRule="exact"/>
              <w:rPr>
                <w:sz w:val="20"/>
                <w:szCs w:val="20"/>
                <w:color w:val="auto"/>
              </w:rPr>
            </w:pPr>
            <w:r>
              <w:rPr>
                <w:rFonts w:ascii="Arial" w:cs="Arial" w:eastAsia="Arial" w:hAnsi="Arial"/>
                <w:sz w:val="14"/>
                <w:szCs w:val="14"/>
                <w:b w:val="1"/>
                <w:bCs w:val="1"/>
                <w:color w:val="auto"/>
                <w:w w:val="89"/>
              </w:rPr>
              <w:t>As</w:t>
            </w:r>
          </w:p>
        </w:tc>
        <w:tc>
          <w:tcPr>
            <w:tcW w:w="2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162"/>
        </w:trPr>
        <w:tc>
          <w:tcPr>
            <w:tcW w:w="4660" w:type="dxa"/>
            <w:vAlign w:val="bottom"/>
          </w:tcPr>
          <w:p>
            <w:pPr>
              <w:spacing w:after="0"/>
              <w:rPr>
                <w:sz w:val="14"/>
                <w:szCs w:val="14"/>
                <w:color w:val="auto"/>
              </w:rPr>
            </w:pPr>
          </w:p>
        </w:tc>
        <w:tc>
          <w:tcPr>
            <w:tcW w:w="1040" w:type="dxa"/>
            <w:vAlign w:val="bottom"/>
            <w:gridSpan w:val="3"/>
          </w:tcPr>
          <w:p>
            <w:pPr>
              <w:jc w:val="center"/>
              <w:ind w:right="280"/>
              <w:spacing w:after="0"/>
              <w:rPr>
                <w:sz w:val="20"/>
                <w:szCs w:val="20"/>
                <w:color w:val="auto"/>
              </w:rPr>
            </w:pPr>
            <w:r>
              <w:rPr>
                <w:rFonts w:ascii="Arial" w:cs="Arial" w:eastAsia="Arial" w:hAnsi="Arial"/>
                <w:sz w:val="14"/>
                <w:szCs w:val="14"/>
                <w:b w:val="1"/>
                <w:bCs w:val="1"/>
                <w:color w:val="auto"/>
                <w:w w:val="90"/>
              </w:rPr>
              <w:t>Previously</w:t>
            </w:r>
          </w:p>
        </w:tc>
        <w:tc>
          <w:tcPr>
            <w:tcW w:w="1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6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89"/>
              </w:rPr>
              <w:t>As</w:t>
            </w:r>
          </w:p>
        </w:tc>
        <w:tc>
          <w:tcPr>
            <w:tcW w:w="780" w:type="dxa"/>
            <w:vAlign w:val="bottom"/>
            <w:gridSpan w:val="2"/>
          </w:tcPr>
          <w:p>
            <w:pPr>
              <w:jc w:val="center"/>
              <w:spacing w:after="0"/>
              <w:rPr>
                <w:sz w:val="20"/>
                <w:szCs w:val="20"/>
                <w:color w:val="auto"/>
              </w:rPr>
            </w:pPr>
            <w:r>
              <w:rPr>
                <w:rFonts w:ascii="Arial" w:cs="Arial" w:eastAsia="Arial" w:hAnsi="Arial"/>
                <w:sz w:val="14"/>
                <w:szCs w:val="14"/>
                <w:b w:val="1"/>
                <w:bCs w:val="1"/>
                <w:color w:val="auto"/>
                <w:w w:val="90"/>
              </w:rPr>
              <w:t>Previously</w:t>
            </w:r>
          </w:p>
        </w:tc>
        <w:tc>
          <w:tcPr>
            <w:tcW w:w="2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9"/>
              </w:rPr>
              <w:t>As</w:t>
            </w:r>
          </w:p>
        </w:tc>
      </w:tr>
      <w:tr>
        <w:trPr>
          <w:trHeight w:val="171"/>
        </w:trPr>
        <w:tc>
          <w:tcPr>
            <w:tcW w:w="46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6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4"/>
              </w:rPr>
              <w:t>Reported</w:t>
            </w:r>
          </w:p>
        </w:tc>
        <w:tc>
          <w:tcPr>
            <w:tcW w:w="120" w:type="dxa"/>
            <w:vAlign w:val="bottom"/>
          </w:tcPr>
          <w:p>
            <w:pPr>
              <w:spacing w:after="0"/>
              <w:rPr>
                <w:sz w:val="14"/>
                <w:szCs w:val="14"/>
                <w:color w:val="auto"/>
              </w:rPr>
            </w:pPr>
          </w:p>
        </w:tc>
        <w:tc>
          <w:tcPr>
            <w:tcW w:w="840" w:type="dxa"/>
            <w:vAlign w:val="bottom"/>
            <w:gridSpan w:val="2"/>
          </w:tcPr>
          <w:p>
            <w:pPr>
              <w:jc w:val="right"/>
              <w:ind w:right="300"/>
              <w:spacing w:after="0"/>
              <w:rPr>
                <w:sz w:val="20"/>
                <w:szCs w:val="20"/>
                <w:color w:val="auto"/>
              </w:rPr>
            </w:pPr>
            <w:r>
              <w:rPr>
                <w:rFonts w:ascii="Arial" w:cs="Arial" w:eastAsia="Arial" w:hAnsi="Arial"/>
                <w:sz w:val="14"/>
                <w:szCs w:val="14"/>
                <w:b w:val="1"/>
                <w:bCs w:val="1"/>
                <w:color w:val="auto"/>
                <w:w w:val="89"/>
              </w:rPr>
              <w:t>Revision</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6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89"/>
              </w:rPr>
              <w:t>Revised</w:t>
            </w:r>
          </w:p>
        </w:tc>
        <w:tc>
          <w:tcPr>
            <w:tcW w:w="80" w:type="dxa"/>
            <w:vAlign w:val="bottom"/>
          </w:tcPr>
          <w:p>
            <w:pPr>
              <w:spacing w:after="0"/>
              <w:rPr>
                <w:sz w:val="14"/>
                <w:szCs w:val="14"/>
                <w:color w:val="auto"/>
              </w:rPr>
            </w:pPr>
          </w:p>
        </w:tc>
        <w:tc>
          <w:tcPr>
            <w:tcW w:w="700" w:type="dxa"/>
            <w:vAlign w:val="bottom"/>
          </w:tcPr>
          <w:p>
            <w:pPr>
              <w:jc w:val="center"/>
              <w:spacing w:after="0"/>
              <w:rPr>
                <w:sz w:val="20"/>
                <w:szCs w:val="20"/>
                <w:color w:val="auto"/>
              </w:rPr>
            </w:pPr>
            <w:r>
              <w:rPr>
                <w:rFonts w:ascii="Arial" w:cs="Arial" w:eastAsia="Arial" w:hAnsi="Arial"/>
                <w:sz w:val="14"/>
                <w:szCs w:val="14"/>
                <w:b w:val="1"/>
                <w:bCs w:val="1"/>
                <w:color w:val="auto"/>
                <w:w w:val="94"/>
              </w:rPr>
              <w:t>Reported</w:t>
            </w:r>
          </w:p>
        </w:tc>
        <w:tc>
          <w:tcPr>
            <w:tcW w:w="2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00" w:type="dxa"/>
            <w:vAlign w:val="bottom"/>
            <w:gridSpan w:val="2"/>
          </w:tcPr>
          <w:p>
            <w:pPr>
              <w:jc w:val="center"/>
              <w:ind w:right="460"/>
              <w:spacing w:after="0"/>
              <w:rPr>
                <w:sz w:val="20"/>
                <w:szCs w:val="20"/>
                <w:color w:val="auto"/>
              </w:rPr>
            </w:pPr>
            <w:r>
              <w:rPr>
                <w:rFonts w:ascii="Arial" w:cs="Arial" w:eastAsia="Arial" w:hAnsi="Arial"/>
                <w:sz w:val="14"/>
                <w:szCs w:val="14"/>
                <w:b w:val="1"/>
                <w:bCs w:val="1"/>
                <w:color w:val="auto"/>
                <w:w w:val="89"/>
              </w:rPr>
              <w:t>Revision</w:t>
            </w:r>
          </w:p>
        </w:tc>
        <w:tc>
          <w:tcPr>
            <w:tcW w:w="120" w:type="dxa"/>
            <w:vAlign w:val="bottom"/>
          </w:tcPr>
          <w:p>
            <w:pPr>
              <w:spacing w:after="0"/>
              <w:rPr>
                <w:sz w:val="14"/>
                <w:szCs w:val="14"/>
                <w:color w:val="auto"/>
              </w:rPr>
            </w:pPr>
          </w:p>
        </w:tc>
        <w:tc>
          <w:tcPr>
            <w:tcW w:w="8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9"/>
              </w:rPr>
              <w:t>Revised</w:t>
            </w:r>
          </w:p>
        </w:tc>
      </w:tr>
      <w:tr>
        <w:trPr>
          <w:trHeight w:val="223"/>
        </w:trPr>
        <w:tc>
          <w:tcPr>
            <w:tcW w:w="46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Net service revenues</w:t>
            </w:r>
          </w:p>
        </w:tc>
        <w:tc>
          <w:tcPr>
            <w:tcW w:w="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149,692</w:t>
            </w:r>
          </w:p>
        </w:tc>
        <w:tc>
          <w:tcPr>
            <w:tcW w:w="26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(777)</w:t>
            </w:r>
          </w:p>
        </w:tc>
        <w:tc>
          <w:tcPr>
            <w:tcW w:w="16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148,915</w:t>
            </w:r>
          </w:p>
        </w:tc>
        <w:tc>
          <w:tcPr>
            <w:tcW w:w="28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288,946</w:t>
            </w:r>
          </w:p>
        </w:tc>
        <w:tc>
          <w:tcPr>
            <w:tcW w:w="28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jc w:val="right"/>
              <w:ind w:right="7"/>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(1,524)</w:t>
            </w:r>
          </w:p>
        </w:tc>
        <w:tc>
          <w:tcPr>
            <w:tcW w:w="28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287,422</w:t>
            </w:r>
          </w:p>
        </w:tc>
        <w:tc>
          <w:tcPr>
            <w:tcW w:w="120" w:type="dxa"/>
            <w:vAlign w:val="bottom"/>
            <w:tcBorders>
              <w:top w:val="single" w:sz="8" w:color="CFF0FC"/>
            </w:tcBorders>
            <w:shd w:val="clear" w:color="auto" w:fill="CFF0FC"/>
          </w:tcPr>
          <w:p>
            <w:pPr>
              <w:spacing w:after="0"/>
              <w:rPr>
                <w:sz w:val="19"/>
                <w:szCs w:val="19"/>
                <w:color w:val="auto"/>
              </w:rPr>
            </w:pPr>
          </w:p>
        </w:tc>
      </w:tr>
      <w:tr>
        <w:trPr>
          <w:trHeight w:val="229"/>
        </w:trPr>
        <w:tc>
          <w:tcPr>
            <w:tcW w:w="4660" w:type="dxa"/>
            <w:vAlign w:val="bottom"/>
          </w:tcPr>
          <w:p>
            <w:pPr>
              <w:spacing w:after="0"/>
              <w:rPr>
                <w:sz w:val="20"/>
                <w:szCs w:val="20"/>
                <w:color w:val="auto"/>
              </w:rPr>
            </w:pPr>
            <w:r>
              <w:rPr>
                <w:rFonts w:ascii="Arial" w:cs="Arial" w:eastAsia="Arial" w:hAnsi="Arial"/>
                <w:sz w:val="18"/>
                <w:szCs w:val="18"/>
                <w:color w:val="auto"/>
              </w:rPr>
              <w:t>Gross profit</w:t>
            </w:r>
          </w:p>
        </w:tc>
        <w:tc>
          <w:tcPr>
            <w:tcW w:w="8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40,470</w:t>
            </w:r>
          </w:p>
        </w:tc>
        <w:tc>
          <w:tcPr>
            <w:tcW w:w="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(777)</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39,693</w:t>
            </w:r>
          </w:p>
        </w:tc>
        <w:tc>
          <w:tcPr>
            <w:tcW w:w="2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78,044</w:t>
            </w:r>
          </w:p>
        </w:tc>
        <w:tc>
          <w:tcPr>
            <w:tcW w:w="2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(1,524)</w:t>
            </w:r>
          </w:p>
        </w:tc>
        <w:tc>
          <w:tcPr>
            <w:tcW w:w="12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76,520</w:t>
            </w:r>
          </w:p>
        </w:tc>
        <w:tc>
          <w:tcPr>
            <w:tcW w:w="120" w:type="dxa"/>
            <w:vAlign w:val="bottom"/>
          </w:tcPr>
          <w:p>
            <w:pPr>
              <w:spacing w:after="0"/>
              <w:rPr>
                <w:sz w:val="19"/>
                <w:szCs w:val="19"/>
                <w:color w:val="auto"/>
              </w:rPr>
            </w:pPr>
          </w:p>
        </w:tc>
      </w:tr>
      <w:tr>
        <w:trPr>
          <w:trHeight w:val="230"/>
        </w:trPr>
        <w:tc>
          <w:tcPr>
            <w:tcW w:w="4660" w:type="dxa"/>
            <w:vAlign w:val="bottom"/>
            <w:shd w:val="clear" w:color="auto" w:fill="CFF0FC"/>
          </w:tcPr>
          <w:p>
            <w:pPr>
              <w:spacing w:after="0"/>
              <w:rPr>
                <w:sz w:val="20"/>
                <w:szCs w:val="20"/>
                <w:color w:val="auto"/>
              </w:rPr>
            </w:pPr>
            <w:r>
              <w:rPr>
                <w:rFonts w:ascii="Arial" w:cs="Arial" w:eastAsia="Arial" w:hAnsi="Arial"/>
                <w:sz w:val="18"/>
                <w:szCs w:val="18"/>
                <w:color w:val="auto"/>
              </w:rPr>
              <w:t>General and administrative expenses</w:t>
            </w:r>
          </w:p>
        </w:tc>
        <w:tc>
          <w:tcPr>
            <w:tcW w:w="80" w:type="dxa"/>
            <w:vAlign w:val="bottom"/>
            <w:shd w:val="clear" w:color="auto" w:fill="CFF0FC"/>
          </w:tcPr>
          <w:p>
            <w:pPr>
              <w:spacing w:after="0"/>
              <w:rPr>
                <w:sz w:val="19"/>
                <w:szCs w:val="19"/>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30,222</w:t>
            </w:r>
          </w:p>
        </w:tc>
        <w:tc>
          <w:tcPr>
            <w:tcW w:w="2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4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(455)</w:t>
            </w:r>
          </w:p>
        </w:tc>
        <w:tc>
          <w:tcPr>
            <w:tcW w:w="1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29,767</w:t>
            </w:r>
          </w:p>
        </w:tc>
        <w:tc>
          <w:tcPr>
            <w:tcW w:w="28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59,479</w:t>
            </w:r>
          </w:p>
        </w:tc>
        <w:tc>
          <w:tcPr>
            <w:tcW w:w="2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10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(455)</w:t>
            </w:r>
          </w:p>
        </w:tc>
        <w:tc>
          <w:tcPr>
            <w:tcW w:w="120" w:type="dxa"/>
            <w:vAlign w:val="bottom"/>
            <w:shd w:val="clear" w:color="auto" w:fill="CFF0FC"/>
          </w:tcPr>
          <w:p>
            <w:pPr>
              <w:spacing w:after="0"/>
              <w:rPr>
                <w:sz w:val="19"/>
                <w:szCs w:val="19"/>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59,024</w:t>
            </w:r>
          </w:p>
        </w:tc>
        <w:tc>
          <w:tcPr>
            <w:tcW w:w="120" w:type="dxa"/>
            <w:vAlign w:val="bottom"/>
            <w:shd w:val="clear" w:color="auto" w:fill="CFF0FC"/>
          </w:tcPr>
          <w:p>
            <w:pPr>
              <w:spacing w:after="0"/>
              <w:rPr>
                <w:sz w:val="19"/>
                <w:szCs w:val="19"/>
                <w:color w:val="auto"/>
              </w:rPr>
            </w:pPr>
          </w:p>
        </w:tc>
      </w:tr>
      <w:tr>
        <w:trPr>
          <w:trHeight w:val="229"/>
        </w:trPr>
        <w:tc>
          <w:tcPr>
            <w:tcW w:w="4660" w:type="dxa"/>
            <w:vAlign w:val="bottom"/>
          </w:tcPr>
          <w:p>
            <w:pPr>
              <w:spacing w:after="0"/>
              <w:rPr>
                <w:sz w:val="20"/>
                <w:szCs w:val="20"/>
                <w:color w:val="auto"/>
              </w:rPr>
            </w:pPr>
            <w:r>
              <w:rPr>
                <w:rFonts w:ascii="Arial" w:cs="Arial" w:eastAsia="Arial" w:hAnsi="Arial"/>
                <w:sz w:val="18"/>
                <w:szCs w:val="18"/>
                <w:color w:val="auto"/>
              </w:rPr>
              <w:t>Total operating expenses</w:t>
            </w:r>
          </w:p>
        </w:tc>
        <w:tc>
          <w:tcPr>
            <w:tcW w:w="8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32,757</w:t>
            </w:r>
          </w:p>
        </w:tc>
        <w:tc>
          <w:tcPr>
            <w:tcW w:w="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(455)</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32,302</w:t>
            </w:r>
          </w:p>
        </w:tc>
        <w:tc>
          <w:tcPr>
            <w:tcW w:w="2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64,088</w:t>
            </w:r>
          </w:p>
        </w:tc>
        <w:tc>
          <w:tcPr>
            <w:tcW w:w="2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(455)</w:t>
            </w:r>
          </w:p>
        </w:tc>
        <w:tc>
          <w:tcPr>
            <w:tcW w:w="12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63,633</w:t>
            </w:r>
          </w:p>
        </w:tc>
        <w:tc>
          <w:tcPr>
            <w:tcW w:w="120" w:type="dxa"/>
            <w:vAlign w:val="bottom"/>
          </w:tcPr>
          <w:p>
            <w:pPr>
              <w:spacing w:after="0"/>
              <w:rPr>
                <w:sz w:val="19"/>
                <w:szCs w:val="19"/>
                <w:color w:val="auto"/>
              </w:rPr>
            </w:pPr>
          </w:p>
        </w:tc>
      </w:tr>
      <w:tr>
        <w:trPr>
          <w:trHeight w:val="229"/>
        </w:trPr>
        <w:tc>
          <w:tcPr>
            <w:tcW w:w="4660" w:type="dxa"/>
            <w:vAlign w:val="bottom"/>
            <w:shd w:val="clear" w:color="auto" w:fill="CFF0FC"/>
          </w:tcPr>
          <w:p>
            <w:pPr>
              <w:spacing w:after="0"/>
              <w:rPr>
                <w:sz w:val="20"/>
                <w:szCs w:val="20"/>
                <w:color w:val="auto"/>
              </w:rPr>
            </w:pPr>
            <w:r>
              <w:rPr>
                <w:rFonts w:ascii="Arial" w:cs="Arial" w:eastAsia="Arial" w:hAnsi="Arial"/>
                <w:sz w:val="18"/>
                <w:szCs w:val="18"/>
                <w:color w:val="auto"/>
              </w:rPr>
              <w:t>Operating income</w:t>
            </w:r>
          </w:p>
        </w:tc>
        <w:tc>
          <w:tcPr>
            <w:tcW w:w="80" w:type="dxa"/>
            <w:vAlign w:val="bottom"/>
            <w:shd w:val="clear" w:color="auto" w:fill="CFF0FC"/>
          </w:tcPr>
          <w:p>
            <w:pPr>
              <w:spacing w:after="0"/>
              <w:rPr>
                <w:sz w:val="19"/>
                <w:szCs w:val="19"/>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7,713</w:t>
            </w:r>
          </w:p>
        </w:tc>
        <w:tc>
          <w:tcPr>
            <w:tcW w:w="2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4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(322)</w:t>
            </w:r>
          </w:p>
        </w:tc>
        <w:tc>
          <w:tcPr>
            <w:tcW w:w="1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7,391</w:t>
            </w:r>
          </w:p>
        </w:tc>
        <w:tc>
          <w:tcPr>
            <w:tcW w:w="28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13,956</w:t>
            </w:r>
          </w:p>
        </w:tc>
        <w:tc>
          <w:tcPr>
            <w:tcW w:w="2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10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(1,069)</w:t>
            </w:r>
          </w:p>
        </w:tc>
        <w:tc>
          <w:tcPr>
            <w:tcW w:w="120" w:type="dxa"/>
            <w:vAlign w:val="bottom"/>
            <w:shd w:val="clear" w:color="auto" w:fill="CFF0FC"/>
          </w:tcPr>
          <w:p>
            <w:pPr>
              <w:spacing w:after="0"/>
              <w:rPr>
                <w:sz w:val="19"/>
                <w:szCs w:val="19"/>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12,887</w:t>
            </w:r>
          </w:p>
        </w:tc>
        <w:tc>
          <w:tcPr>
            <w:tcW w:w="120" w:type="dxa"/>
            <w:vAlign w:val="bottom"/>
            <w:shd w:val="clear" w:color="auto" w:fill="CFF0FC"/>
          </w:tcPr>
          <w:p>
            <w:pPr>
              <w:spacing w:after="0"/>
              <w:rPr>
                <w:sz w:val="19"/>
                <w:szCs w:val="19"/>
                <w:color w:val="auto"/>
              </w:rPr>
            </w:pPr>
          </w:p>
        </w:tc>
      </w:tr>
      <w:tr>
        <w:trPr>
          <w:trHeight w:val="230"/>
        </w:trPr>
        <w:tc>
          <w:tcPr>
            <w:tcW w:w="4660" w:type="dxa"/>
            <w:vAlign w:val="bottom"/>
          </w:tcPr>
          <w:p>
            <w:pPr>
              <w:spacing w:after="0"/>
              <w:rPr>
                <w:sz w:val="20"/>
                <w:szCs w:val="20"/>
                <w:color w:val="auto"/>
              </w:rPr>
            </w:pPr>
            <w:r>
              <w:rPr>
                <w:rFonts w:ascii="Arial" w:cs="Arial" w:eastAsia="Arial" w:hAnsi="Arial"/>
                <w:sz w:val="18"/>
                <w:szCs w:val="18"/>
                <w:color w:val="auto"/>
              </w:rPr>
              <w:t>Income before income taxes</w:t>
            </w:r>
          </w:p>
        </w:tc>
        <w:tc>
          <w:tcPr>
            <w:tcW w:w="8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7,128</w:t>
            </w:r>
          </w:p>
        </w:tc>
        <w:tc>
          <w:tcPr>
            <w:tcW w:w="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(322)</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6,806</w:t>
            </w:r>
          </w:p>
        </w:tc>
        <w:tc>
          <w:tcPr>
            <w:tcW w:w="2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12,968</w:t>
            </w:r>
          </w:p>
        </w:tc>
        <w:tc>
          <w:tcPr>
            <w:tcW w:w="2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(1,069)</w:t>
            </w:r>
          </w:p>
        </w:tc>
        <w:tc>
          <w:tcPr>
            <w:tcW w:w="12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11,899</w:t>
            </w:r>
          </w:p>
        </w:tc>
        <w:tc>
          <w:tcPr>
            <w:tcW w:w="120" w:type="dxa"/>
            <w:vAlign w:val="bottom"/>
          </w:tcPr>
          <w:p>
            <w:pPr>
              <w:spacing w:after="0"/>
              <w:rPr>
                <w:sz w:val="19"/>
                <w:szCs w:val="19"/>
                <w:color w:val="auto"/>
              </w:rPr>
            </w:pPr>
          </w:p>
        </w:tc>
      </w:tr>
      <w:tr>
        <w:trPr>
          <w:trHeight w:val="229"/>
        </w:trPr>
        <w:tc>
          <w:tcPr>
            <w:tcW w:w="4660" w:type="dxa"/>
            <w:vAlign w:val="bottom"/>
            <w:shd w:val="clear" w:color="auto" w:fill="CFF0FC"/>
          </w:tcPr>
          <w:p>
            <w:pPr>
              <w:spacing w:after="0"/>
              <w:rPr>
                <w:sz w:val="20"/>
                <w:szCs w:val="20"/>
                <w:color w:val="auto"/>
              </w:rPr>
            </w:pPr>
            <w:r>
              <w:rPr>
                <w:rFonts w:ascii="Arial" w:cs="Arial" w:eastAsia="Arial" w:hAnsi="Arial"/>
                <w:sz w:val="18"/>
                <w:szCs w:val="18"/>
                <w:color w:val="auto"/>
              </w:rPr>
              <w:t>Income tax expense</w:t>
            </w:r>
          </w:p>
        </w:tc>
        <w:tc>
          <w:tcPr>
            <w:tcW w:w="80" w:type="dxa"/>
            <w:vAlign w:val="bottom"/>
            <w:shd w:val="clear" w:color="auto" w:fill="CFF0FC"/>
          </w:tcPr>
          <w:p>
            <w:pPr>
              <w:spacing w:after="0"/>
              <w:rPr>
                <w:sz w:val="19"/>
                <w:szCs w:val="19"/>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1,610</w:t>
            </w:r>
          </w:p>
        </w:tc>
        <w:tc>
          <w:tcPr>
            <w:tcW w:w="2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4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(96)</w:t>
            </w:r>
          </w:p>
        </w:tc>
        <w:tc>
          <w:tcPr>
            <w:tcW w:w="1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1,514</w:t>
            </w:r>
          </w:p>
        </w:tc>
        <w:tc>
          <w:tcPr>
            <w:tcW w:w="28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2,588</w:t>
            </w:r>
          </w:p>
        </w:tc>
        <w:tc>
          <w:tcPr>
            <w:tcW w:w="2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10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(277)</w:t>
            </w:r>
          </w:p>
        </w:tc>
        <w:tc>
          <w:tcPr>
            <w:tcW w:w="120" w:type="dxa"/>
            <w:vAlign w:val="bottom"/>
            <w:shd w:val="clear" w:color="auto" w:fill="CFF0FC"/>
          </w:tcPr>
          <w:p>
            <w:pPr>
              <w:spacing w:after="0"/>
              <w:rPr>
                <w:sz w:val="19"/>
                <w:szCs w:val="19"/>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2,311</w:t>
            </w:r>
          </w:p>
        </w:tc>
        <w:tc>
          <w:tcPr>
            <w:tcW w:w="120" w:type="dxa"/>
            <w:vAlign w:val="bottom"/>
            <w:shd w:val="clear" w:color="auto" w:fill="CFF0FC"/>
          </w:tcPr>
          <w:p>
            <w:pPr>
              <w:spacing w:after="0"/>
              <w:rPr>
                <w:sz w:val="19"/>
                <w:szCs w:val="19"/>
                <w:color w:val="auto"/>
              </w:rPr>
            </w:pPr>
          </w:p>
        </w:tc>
      </w:tr>
      <w:tr>
        <w:trPr>
          <w:trHeight w:val="230"/>
        </w:trPr>
        <w:tc>
          <w:tcPr>
            <w:tcW w:w="4660" w:type="dxa"/>
            <w:vAlign w:val="bottom"/>
          </w:tcPr>
          <w:p>
            <w:pPr>
              <w:spacing w:after="0"/>
              <w:rPr>
                <w:sz w:val="20"/>
                <w:szCs w:val="20"/>
                <w:color w:val="auto"/>
              </w:rPr>
            </w:pPr>
            <w:r>
              <w:rPr>
                <w:rFonts w:ascii="Arial" w:cs="Arial" w:eastAsia="Arial" w:hAnsi="Arial"/>
                <w:sz w:val="18"/>
                <w:szCs w:val="18"/>
                <w:color w:val="auto"/>
              </w:rPr>
              <w:t>Net income</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5,518</w:t>
            </w:r>
          </w:p>
        </w:tc>
        <w:tc>
          <w:tcPr>
            <w:tcW w:w="26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(226)</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5,292</w:t>
            </w:r>
          </w:p>
        </w:tc>
        <w:tc>
          <w:tcPr>
            <w:tcW w:w="280" w:type="dxa"/>
            <w:vAlign w:val="bottom"/>
          </w:tcPr>
          <w:p>
            <w:pPr>
              <w:spacing w:after="0"/>
              <w:rPr>
                <w:sz w:val="19"/>
                <w:szCs w:val="19"/>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10,380</w:t>
            </w:r>
          </w:p>
        </w:tc>
        <w:tc>
          <w:tcPr>
            <w:tcW w:w="440" w:type="dxa"/>
            <w:vAlign w:val="bottom"/>
            <w:gridSpan w:val="2"/>
          </w:tcPr>
          <w:p>
            <w:pPr>
              <w:jc w:val="right"/>
              <w:ind w:right="7"/>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(792)</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9,588</w:t>
            </w:r>
          </w:p>
        </w:tc>
        <w:tc>
          <w:tcPr>
            <w:tcW w:w="120" w:type="dxa"/>
            <w:vAlign w:val="bottom"/>
          </w:tcPr>
          <w:p>
            <w:pPr>
              <w:spacing w:after="0"/>
              <w:rPr>
                <w:sz w:val="19"/>
                <w:szCs w:val="19"/>
                <w:color w:val="auto"/>
              </w:rPr>
            </w:pPr>
          </w:p>
        </w:tc>
      </w:tr>
      <w:tr>
        <w:trPr>
          <w:trHeight w:val="229"/>
        </w:trPr>
        <w:tc>
          <w:tcPr>
            <w:tcW w:w="4660" w:type="dxa"/>
            <w:vAlign w:val="bottom"/>
            <w:shd w:val="clear" w:color="auto" w:fill="CFF0FC"/>
          </w:tcPr>
          <w:p>
            <w:pPr>
              <w:spacing w:after="0"/>
              <w:rPr>
                <w:sz w:val="20"/>
                <w:szCs w:val="20"/>
                <w:color w:val="auto"/>
              </w:rPr>
            </w:pPr>
            <w:r>
              <w:rPr>
                <w:rFonts w:ascii="Arial" w:cs="Arial" w:eastAsia="Arial" w:hAnsi="Arial"/>
                <w:sz w:val="18"/>
                <w:szCs w:val="18"/>
                <w:color w:val="auto"/>
              </w:rPr>
              <w:t>Basic income per share</w:t>
            </w:r>
          </w:p>
        </w:tc>
        <w:tc>
          <w:tcPr>
            <w:tcW w:w="8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0.42</w:t>
            </w:r>
          </w:p>
        </w:tc>
        <w:tc>
          <w:tcPr>
            <w:tcW w:w="260" w:type="dxa"/>
            <w:vAlign w:val="bottom"/>
            <w:shd w:val="clear" w:color="auto" w:fill="CFF0FC"/>
          </w:tcPr>
          <w:p>
            <w:pPr>
              <w:spacing w:after="0"/>
              <w:rPr>
                <w:sz w:val="19"/>
                <w:szCs w:val="19"/>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(0.01)</w:t>
            </w:r>
          </w:p>
        </w:tc>
        <w:tc>
          <w:tcPr>
            <w:tcW w:w="2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0.41</w:t>
            </w:r>
          </w:p>
        </w:tc>
        <w:tc>
          <w:tcPr>
            <w:tcW w:w="280" w:type="dxa"/>
            <w:vAlign w:val="bottom"/>
            <w:shd w:val="clear" w:color="auto" w:fill="CFF0FC"/>
          </w:tcPr>
          <w:p>
            <w:pPr>
              <w:spacing w:after="0"/>
              <w:rPr>
                <w:sz w:val="19"/>
                <w:szCs w:val="19"/>
                <w:color w:val="auto"/>
              </w:rPr>
            </w:pPr>
          </w:p>
        </w:tc>
        <w:tc>
          <w:tcPr>
            <w:tcW w:w="8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0.80</w:t>
            </w:r>
          </w:p>
        </w:tc>
        <w:tc>
          <w:tcPr>
            <w:tcW w:w="440" w:type="dxa"/>
            <w:vAlign w:val="bottom"/>
            <w:gridSpan w:val="2"/>
            <w:shd w:val="clear" w:color="auto" w:fill="CFF0FC"/>
          </w:tcPr>
          <w:p>
            <w:pPr>
              <w:jc w:val="right"/>
              <w:ind w:right="7"/>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(0.06)</w:t>
            </w:r>
          </w:p>
        </w:tc>
        <w:tc>
          <w:tcPr>
            <w:tcW w:w="12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0.74</w:t>
            </w:r>
          </w:p>
        </w:tc>
        <w:tc>
          <w:tcPr>
            <w:tcW w:w="120" w:type="dxa"/>
            <w:vAlign w:val="bottom"/>
            <w:shd w:val="clear" w:color="auto" w:fill="CFF0FC"/>
          </w:tcPr>
          <w:p>
            <w:pPr>
              <w:spacing w:after="0"/>
              <w:rPr>
                <w:sz w:val="19"/>
                <w:szCs w:val="19"/>
                <w:color w:val="auto"/>
              </w:rPr>
            </w:pPr>
          </w:p>
        </w:tc>
      </w:tr>
      <w:tr>
        <w:trPr>
          <w:trHeight w:val="230"/>
        </w:trPr>
        <w:tc>
          <w:tcPr>
            <w:tcW w:w="4660" w:type="dxa"/>
            <w:vAlign w:val="bottom"/>
          </w:tcPr>
          <w:p>
            <w:pPr>
              <w:spacing w:after="0"/>
              <w:rPr>
                <w:sz w:val="20"/>
                <w:szCs w:val="20"/>
                <w:color w:val="auto"/>
              </w:rPr>
            </w:pPr>
            <w:r>
              <w:rPr>
                <w:rFonts w:ascii="Arial" w:cs="Arial" w:eastAsia="Arial" w:hAnsi="Arial"/>
                <w:sz w:val="18"/>
                <w:szCs w:val="18"/>
                <w:color w:val="auto"/>
              </w:rPr>
              <w:t>Diluted income per share</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0.41</w:t>
            </w:r>
          </w:p>
        </w:tc>
        <w:tc>
          <w:tcPr>
            <w:tcW w:w="26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(0.02)</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0.39</w:t>
            </w:r>
          </w:p>
        </w:tc>
        <w:tc>
          <w:tcPr>
            <w:tcW w:w="280" w:type="dxa"/>
            <w:vAlign w:val="bottom"/>
          </w:tcPr>
          <w:p>
            <w:pPr>
              <w:spacing w:after="0"/>
              <w:rPr>
                <w:sz w:val="20"/>
                <w:szCs w:val="20"/>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0.77</w:t>
            </w:r>
          </w:p>
        </w:tc>
        <w:tc>
          <w:tcPr>
            <w:tcW w:w="440" w:type="dxa"/>
            <w:vAlign w:val="bottom"/>
            <w:gridSpan w:val="2"/>
          </w:tcPr>
          <w:p>
            <w:pPr>
              <w:jc w:val="right"/>
              <w:ind w:right="7"/>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(0.06)</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0.71</w:t>
            </w:r>
          </w:p>
        </w:tc>
        <w:tc>
          <w:tcPr>
            <w:tcW w:w="120" w:type="dxa"/>
            <w:vAlign w:val="bottom"/>
          </w:tcPr>
          <w:p>
            <w:pPr>
              <w:spacing w:after="0"/>
              <w:rPr>
                <w:sz w:val="20"/>
                <w:szCs w:val="20"/>
                <w:color w:val="auto"/>
              </w:rPr>
            </w:pPr>
          </w:p>
        </w:tc>
      </w:tr>
    </w:tbl>
    <w:p>
      <w:pPr>
        <w:spacing w:after="0" w:line="200" w:lineRule="exact"/>
        <w:rPr>
          <w:sz w:val="20"/>
          <w:szCs w:val="20"/>
          <w:color w:val="auto"/>
        </w:rPr>
      </w:pPr>
    </w:p>
    <w:p>
      <w:pPr>
        <w:spacing w:after="0" w:line="217" w:lineRule="exact"/>
        <w:rPr>
          <w:sz w:val="20"/>
          <w:szCs w:val="20"/>
          <w:color w:val="auto"/>
        </w:rPr>
      </w:pPr>
    </w:p>
    <w:p>
      <w:pPr>
        <w:ind w:right="180" w:firstLine="476"/>
        <w:spacing w:after="0" w:line="277" w:lineRule="auto"/>
        <w:rPr>
          <w:sz w:val="20"/>
          <w:szCs w:val="20"/>
          <w:color w:val="auto"/>
        </w:rPr>
      </w:pPr>
      <w:r>
        <w:rPr>
          <w:rFonts w:ascii="Arial" w:cs="Arial" w:eastAsia="Arial" w:hAnsi="Arial"/>
          <w:sz w:val="18"/>
          <w:szCs w:val="18"/>
          <w:color w:val="auto"/>
        </w:rPr>
        <w:t>The cumulative effect of the adjustments on all prior periods decreased retained earnings as of January 1, 2019, April 1, 2019 and June 30, 2019 as reflected below (amounts in thousands):</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1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00" w:type="dxa"/>
            <w:vAlign w:val="bottom"/>
          </w:tcPr>
          <w:p>
            <w:pPr>
              <w:jc w:val="center"/>
              <w:ind w:right="75"/>
              <w:spacing w:after="0"/>
              <w:rPr>
                <w:sz w:val="20"/>
                <w:szCs w:val="20"/>
                <w:color w:val="auto"/>
              </w:rPr>
            </w:pPr>
            <w:r>
              <w:rPr>
                <w:rFonts w:ascii="Arial" w:cs="Arial" w:eastAsia="Arial" w:hAnsi="Arial"/>
                <w:sz w:val="14"/>
                <w:szCs w:val="14"/>
                <w:b w:val="1"/>
                <w:bCs w:val="1"/>
                <w:color w:val="auto"/>
                <w:w w:val="96"/>
              </w:rPr>
              <w:t>Additional</w:t>
            </w:r>
          </w:p>
        </w:tc>
        <w:tc>
          <w:tcPr>
            <w:tcW w:w="2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40" w:type="dxa"/>
            <w:vAlign w:val="bottom"/>
            <w:gridSpan w:val="2"/>
            <w:vMerge w:val="restart"/>
          </w:tcPr>
          <w:p>
            <w:pPr>
              <w:jc w:val="right"/>
              <w:ind w:right="360"/>
              <w:spacing w:after="0"/>
              <w:rPr>
                <w:sz w:val="20"/>
                <w:szCs w:val="20"/>
                <w:color w:val="auto"/>
              </w:rPr>
            </w:pPr>
            <w:r>
              <w:rPr>
                <w:rFonts w:ascii="Arial" w:cs="Arial" w:eastAsia="Arial" w:hAnsi="Arial"/>
                <w:sz w:val="14"/>
                <w:szCs w:val="14"/>
                <w:b w:val="1"/>
                <w:bCs w:val="1"/>
                <w:color w:val="auto"/>
                <w:w w:val="94"/>
              </w:rPr>
              <w:t>Retained</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rPr>
                <w:sz w:val="1"/>
                <w:szCs w:val="1"/>
                <w:color w:val="auto"/>
              </w:rPr>
            </w:pPr>
          </w:p>
        </w:tc>
      </w:tr>
      <w:tr>
        <w:trPr>
          <w:trHeight w:val="149"/>
        </w:trPr>
        <w:tc>
          <w:tcPr>
            <w:tcW w:w="5140" w:type="dxa"/>
            <w:vAlign w:val="bottom"/>
          </w:tcPr>
          <w:p>
            <w:pPr>
              <w:spacing w:after="0"/>
              <w:rPr>
                <w:sz w:val="12"/>
                <w:szCs w:val="12"/>
                <w:color w:val="auto"/>
              </w:rPr>
            </w:pPr>
          </w:p>
        </w:tc>
        <w:tc>
          <w:tcPr>
            <w:tcW w:w="1880" w:type="dxa"/>
            <w:vAlign w:val="bottom"/>
            <w:gridSpan w:val="3"/>
            <w:vMerge w:val="restart"/>
          </w:tcPr>
          <w:p>
            <w:pPr>
              <w:jc w:val="right"/>
              <w:ind w:right="307"/>
              <w:spacing w:after="0"/>
              <w:rPr>
                <w:sz w:val="20"/>
                <w:szCs w:val="20"/>
                <w:color w:val="auto"/>
              </w:rPr>
            </w:pPr>
            <w:r>
              <w:rPr>
                <w:rFonts w:ascii="Arial" w:cs="Arial" w:eastAsia="Arial" w:hAnsi="Arial"/>
                <w:sz w:val="14"/>
                <w:szCs w:val="14"/>
                <w:b w:val="1"/>
                <w:bCs w:val="1"/>
                <w:color w:val="auto"/>
              </w:rPr>
              <w:t>Common Stock</w:t>
            </w:r>
          </w:p>
        </w:tc>
        <w:tc>
          <w:tcPr>
            <w:tcW w:w="2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00" w:type="dxa"/>
            <w:vAlign w:val="bottom"/>
          </w:tcPr>
          <w:p>
            <w:pPr>
              <w:jc w:val="center"/>
              <w:ind w:right="55"/>
              <w:spacing w:after="0" w:line="149" w:lineRule="exact"/>
              <w:rPr>
                <w:sz w:val="20"/>
                <w:szCs w:val="20"/>
                <w:color w:val="auto"/>
              </w:rPr>
            </w:pPr>
            <w:r>
              <w:rPr>
                <w:rFonts w:ascii="Arial" w:cs="Arial" w:eastAsia="Arial" w:hAnsi="Arial"/>
                <w:sz w:val="14"/>
                <w:szCs w:val="14"/>
                <w:b w:val="1"/>
                <w:bCs w:val="1"/>
                <w:color w:val="auto"/>
                <w:w w:val="95"/>
              </w:rPr>
              <w:t>Paid in</w:t>
            </w:r>
          </w:p>
        </w:tc>
        <w:tc>
          <w:tcPr>
            <w:tcW w:w="2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4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2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1"/>
              </w:rPr>
              <w:t>Stockholders'</w:t>
            </w:r>
          </w:p>
        </w:tc>
        <w:tc>
          <w:tcPr>
            <w:tcW w:w="0" w:type="dxa"/>
            <w:vAlign w:val="bottom"/>
          </w:tcPr>
          <w:p>
            <w:pPr>
              <w:spacing w:after="0"/>
              <w:rPr>
                <w:sz w:val="1"/>
                <w:szCs w:val="1"/>
                <w:color w:val="auto"/>
              </w:rPr>
            </w:pPr>
          </w:p>
        </w:tc>
      </w:tr>
      <w:tr>
        <w:trPr>
          <w:trHeight w:val="171"/>
        </w:trPr>
        <w:tc>
          <w:tcPr>
            <w:tcW w:w="5140" w:type="dxa"/>
            <w:vAlign w:val="bottom"/>
          </w:tcPr>
          <w:p>
            <w:pPr>
              <w:spacing w:after="0"/>
              <w:rPr>
                <w:sz w:val="14"/>
                <w:szCs w:val="14"/>
                <w:color w:val="auto"/>
              </w:rPr>
            </w:pPr>
          </w:p>
        </w:tc>
        <w:tc>
          <w:tcPr>
            <w:tcW w:w="1880" w:type="dxa"/>
            <w:vAlign w:val="bottom"/>
            <w:gridSpan w:val="3"/>
            <w:vMerge w:val="continue"/>
          </w:tcPr>
          <w:p>
            <w:pPr>
              <w:spacing w:after="0"/>
              <w:rPr>
                <w:sz w:val="14"/>
                <w:szCs w:val="14"/>
                <w:color w:val="auto"/>
              </w:rPr>
            </w:pPr>
          </w:p>
        </w:tc>
        <w:tc>
          <w:tcPr>
            <w:tcW w:w="2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00" w:type="dxa"/>
            <w:vAlign w:val="bottom"/>
          </w:tcPr>
          <w:p>
            <w:pPr>
              <w:jc w:val="center"/>
              <w:ind w:right="75"/>
              <w:spacing w:after="0"/>
              <w:rPr>
                <w:sz w:val="20"/>
                <w:szCs w:val="20"/>
                <w:color w:val="auto"/>
              </w:rPr>
            </w:pPr>
            <w:r>
              <w:rPr>
                <w:rFonts w:ascii="Arial" w:cs="Arial" w:eastAsia="Arial" w:hAnsi="Arial"/>
                <w:sz w:val="14"/>
                <w:szCs w:val="14"/>
                <w:b w:val="1"/>
                <w:bCs w:val="1"/>
                <w:color w:val="auto"/>
                <w:w w:val="98"/>
              </w:rPr>
              <w:t>Capital</w:t>
            </w:r>
          </w:p>
        </w:tc>
        <w:tc>
          <w:tcPr>
            <w:tcW w:w="2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4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w w:val="93"/>
              </w:rPr>
              <w:t>Earnings</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2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8"/>
              </w:rPr>
              <w:t>Equity</w:t>
            </w:r>
          </w:p>
        </w:tc>
        <w:tc>
          <w:tcPr>
            <w:tcW w:w="0" w:type="dxa"/>
            <w:vAlign w:val="bottom"/>
          </w:tcPr>
          <w:p>
            <w:pPr>
              <w:spacing w:after="0"/>
              <w:rPr>
                <w:sz w:val="1"/>
                <w:szCs w:val="1"/>
                <w:color w:val="auto"/>
              </w:rPr>
            </w:pPr>
          </w:p>
        </w:tc>
      </w:tr>
      <w:tr>
        <w:trPr>
          <w:trHeight w:val="156"/>
        </w:trPr>
        <w:tc>
          <w:tcPr>
            <w:tcW w:w="5140" w:type="dxa"/>
            <w:vAlign w:val="bottom"/>
            <w:tcBorders>
              <w:bottom w:val="single" w:sz="8" w:color="CFF0FC"/>
            </w:tcBorders>
          </w:tcPr>
          <w:p>
            <w:pPr>
              <w:spacing w:after="0"/>
              <w:rPr>
                <w:sz w:val="13"/>
                <w:szCs w:val="13"/>
                <w:color w:val="auto"/>
              </w:rPr>
            </w:pPr>
          </w:p>
        </w:tc>
        <w:tc>
          <w:tcPr>
            <w:tcW w:w="880" w:type="dxa"/>
            <w:vAlign w:val="bottom"/>
            <w:tcBorders>
              <w:top w:val="single" w:sz="8" w:color="auto"/>
              <w:bottom w:val="single" w:sz="8" w:color="auto"/>
            </w:tcBorders>
          </w:tcPr>
          <w:p>
            <w:pPr>
              <w:jc w:val="right"/>
              <w:ind w:right="155"/>
              <w:spacing w:after="0" w:line="155" w:lineRule="exact"/>
              <w:rPr>
                <w:sz w:val="20"/>
                <w:szCs w:val="20"/>
                <w:color w:val="auto"/>
              </w:rPr>
            </w:pPr>
            <w:r>
              <w:rPr>
                <w:rFonts w:ascii="Arial" w:cs="Arial" w:eastAsia="Arial" w:hAnsi="Arial"/>
                <w:sz w:val="14"/>
                <w:szCs w:val="14"/>
                <w:b w:val="1"/>
                <w:bCs w:val="1"/>
                <w:color w:val="auto"/>
              </w:rPr>
              <w:t>Shares</w:t>
            </w:r>
          </w:p>
        </w:tc>
        <w:tc>
          <w:tcPr>
            <w:tcW w:w="300" w:type="dxa"/>
            <w:vAlign w:val="bottom"/>
            <w:tcBorders>
              <w:top w:val="single" w:sz="8" w:color="auto"/>
              <w:bottom w:val="single" w:sz="8" w:color="CFF0FC"/>
            </w:tcBorders>
          </w:tcPr>
          <w:p>
            <w:pPr>
              <w:spacing w:after="0"/>
              <w:rPr>
                <w:sz w:val="13"/>
                <w:szCs w:val="13"/>
                <w:color w:val="auto"/>
              </w:rPr>
            </w:pPr>
          </w:p>
        </w:tc>
        <w:tc>
          <w:tcPr>
            <w:tcW w:w="70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Amount</w:t>
            </w:r>
          </w:p>
        </w:tc>
        <w:tc>
          <w:tcPr>
            <w:tcW w:w="200" w:type="dxa"/>
            <w:vAlign w:val="bottom"/>
            <w:tcBorders>
              <w:top w:val="single" w:sz="8" w:color="auto"/>
              <w:bottom w:val="single" w:sz="8" w:color="auto"/>
            </w:tcBorders>
          </w:tcPr>
          <w:p>
            <w:pPr>
              <w:spacing w:after="0"/>
              <w:rPr>
                <w:sz w:val="13"/>
                <w:szCs w:val="13"/>
                <w:color w:val="auto"/>
              </w:rPr>
            </w:pPr>
          </w:p>
        </w:tc>
        <w:tc>
          <w:tcPr>
            <w:tcW w:w="280" w:type="dxa"/>
            <w:vAlign w:val="bottom"/>
            <w:tcBorders>
              <w:bottom w:val="single" w:sz="8" w:color="CFF0FC"/>
            </w:tcBorders>
          </w:tcPr>
          <w:p>
            <w:pPr>
              <w:spacing w:after="0"/>
              <w:rPr>
                <w:sz w:val="13"/>
                <w:szCs w:val="13"/>
                <w:color w:val="auto"/>
              </w:rPr>
            </w:pPr>
          </w:p>
        </w:tc>
        <w:tc>
          <w:tcPr>
            <w:tcW w:w="140" w:type="dxa"/>
            <w:vAlign w:val="bottom"/>
            <w:tcBorders>
              <w:top w:val="single" w:sz="8" w:color="auto"/>
              <w:bottom w:val="single" w:sz="8" w:color="CFF0FC"/>
            </w:tcBorders>
          </w:tcPr>
          <w:p>
            <w:pPr>
              <w:spacing w:after="0"/>
              <w:rPr>
                <w:sz w:val="13"/>
                <w:szCs w:val="13"/>
                <w:color w:val="auto"/>
              </w:rPr>
            </w:pPr>
          </w:p>
        </w:tc>
        <w:tc>
          <w:tcPr>
            <w:tcW w:w="900" w:type="dxa"/>
            <w:vAlign w:val="bottom"/>
            <w:tcBorders>
              <w:top w:val="single" w:sz="8" w:color="auto"/>
              <w:bottom w:val="single" w:sz="8" w:color="CFF0FC"/>
            </w:tcBorders>
          </w:tcPr>
          <w:p>
            <w:pPr>
              <w:spacing w:after="0"/>
              <w:rPr>
                <w:sz w:val="13"/>
                <w:szCs w:val="13"/>
                <w:color w:val="auto"/>
              </w:rPr>
            </w:pPr>
          </w:p>
        </w:tc>
        <w:tc>
          <w:tcPr>
            <w:tcW w:w="280" w:type="dxa"/>
            <w:vAlign w:val="bottom"/>
            <w:tcBorders>
              <w:bottom w:val="single" w:sz="8" w:color="CFF0FC"/>
            </w:tcBorders>
          </w:tcPr>
          <w:p>
            <w:pPr>
              <w:spacing w:after="0"/>
              <w:rPr>
                <w:sz w:val="13"/>
                <w:szCs w:val="13"/>
                <w:color w:val="auto"/>
              </w:rPr>
            </w:pPr>
          </w:p>
        </w:tc>
        <w:tc>
          <w:tcPr>
            <w:tcW w:w="140" w:type="dxa"/>
            <w:vAlign w:val="bottom"/>
            <w:tcBorders>
              <w:top w:val="single" w:sz="8" w:color="auto"/>
              <w:bottom w:val="single" w:sz="8" w:color="CFF0FC"/>
            </w:tcBorders>
          </w:tcPr>
          <w:p>
            <w:pPr>
              <w:spacing w:after="0"/>
              <w:rPr>
                <w:sz w:val="13"/>
                <w:szCs w:val="13"/>
                <w:color w:val="auto"/>
              </w:rPr>
            </w:pPr>
          </w:p>
        </w:tc>
        <w:tc>
          <w:tcPr>
            <w:tcW w:w="760" w:type="dxa"/>
            <w:vAlign w:val="bottom"/>
            <w:tcBorders>
              <w:top w:val="single" w:sz="8" w:color="auto"/>
              <w:bottom w:val="single" w:sz="8" w:color="CFF0FC"/>
            </w:tcBorders>
          </w:tcPr>
          <w:p>
            <w:pPr>
              <w:spacing w:after="0"/>
              <w:rPr>
                <w:sz w:val="13"/>
                <w:szCs w:val="13"/>
                <w:color w:val="auto"/>
              </w:rPr>
            </w:pPr>
          </w:p>
        </w:tc>
        <w:tc>
          <w:tcPr>
            <w:tcW w:w="180" w:type="dxa"/>
            <w:vAlign w:val="bottom"/>
            <w:tcBorders>
              <w:bottom w:val="single" w:sz="8" w:color="CFF0FC"/>
            </w:tcBorders>
          </w:tcPr>
          <w:p>
            <w:pPr>
              <w:spacing w:after="0"/>
              <w:rPr>
                <w:sz w:val="13"/>
                <w:szCs w:val="13"/>
                <w:color w:val="auto"/>
              </w:rPr>
            </w:pPr>
          </w:p>
        </w:tc>
        <w:tc>
          <w:tcPr>
            <w:tcW w:w="120" w:type="dxa"/>
            <w:vAlign w:val="bottom"/>
            <w:tcBorders>
              <w:bottom w:val="single" w:sz="8" w:color="CFF0FC"/>
            </w:tcBorders>
          </w:tcPr>
          <w:p>
            <w:pPr>
              <w:spacing w:after="0"/>
              <w:rPr>
                <w:sz w:val="13"/>
                <w:szCs w:val="13"/>
                <w:color w:val="auto"/>
              </w:rPr>
            </w:pPr>
          </w:p>
        </w:tc>
        <w:tc>
          <w:tcPr>
            <w:tcW w:w="100" w:type="dxa"/>
            <w:vAlign w:val="bottom"/>
            <w:tcBorders>
              <w:top w:val="single" w:sz="8" w:color="auto"/>
              <w:bottom w:val="single" w:sz="8" w:color="CFF0FC"/>
            </w:tcBorders>
          </w:tcPr>
          <w:p>
            <w:pPr>
              <w:spacing w:after="0"/>
              <w:rPr>
                <w:sz w:val="13"/>
                <w:szCs w:val="13"/>
                <w:color w:val="auto"/>
              </w:rPr>
            </w:pPr>
          </w:p>
        </w:tc>
        <w:tc>
          <w:tcPr>
            <w:tcW w:w="1020" w:type="dxa"/>
            <w:vAlign w:val="bottom"/>
            <w:tcBorders>
              <w:top w:val="single" w:sz="8" w:color="auto"/>
              <w:bottom w:val="single" w:sz="8" w:color="CFF0FC"/>
            </w:tcBorders>
          </w:tcPr>
          <w:p>
            <w:pPr>
              <w:spacing w:after="0"/>
              <w:rPr>
                <w:sz w:val="13"/>
                <w:szCs w:val="13"/>
                <w:color w:val="auto"/>
              </w:rPr>
            </w:pPr>
          </w:p>
        </w:tc>
        <w:tc>
          <w:tcPr>
            <w:tcW w:w="10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5140" w:type="dxa"/>
            <w:vAlign w:val="bottom"/>
            <w:shd w:val="clear" w:color="auto" w:fill="CFF0FC"/>
          </w:tcPr>
          <w:p>
            <w:pPr>
              <w:spacing w:after="0"/>
              <w:rPr>
                <w:sz w:val="20"/>
                <w:szCs w:val="20"/>
                <w:color w:val="auto"/>
              </w:rPr>
            </w:pPr>
            <w:r>
              <w:rPr>
                <w:rFonts w:ascii="Arial" w:cs="Arial" w:eastAsia="Arial" w:hAnsi="Arial"/>
                <w:sz w:val="18"/>
                <w:szCs w:val="18"/>
                <w:color w:val="auto"/>
              </w:rPr>
              <w:t>Balance at January 1, 2019</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13,126</w:t>
            </w:r>
          </w:p>
        </w:tc>
        <w:tc>
          <w:tcPr>
            <w:tcW w:w="300" w:type="dxa"/>
            <w:vAlign w:val="bottom"/>
            <w:shd w:val="clear" w:color="auto" w:fill="CFF0FC"/>
          </w:tcPr>
          <w:p>
            <w:pPr>
              <w:spacing w:after="0"/>
              <w:rPr>
                <w:sz w:val="19"/>
                <w:szCs w:val="19"/>
                <w:color w:val="auto"/>
              </w:rPr>
            </w:pPr>
          </w:p>
        </w:tc>
        <w:tc>
          <w:tcPr>
            <w:tcW w:w="700" w:type="dxa"/>
            <w:vAlign w:val="bottom"/>
            <w:shd w:val="clear" w:color="auto" w:fill="CFF0FC"/>
          </w:tcPr>
          <w:p>
            <w:pPr>
              <w:jc w:val="right"/>
              <w:ind w:right="547"/>
              <w:spacing w:after="0"/>
              <w:rPr>
                <w:sz w:val="20"/>
                <w:szCs w:val="20"/>
                <w:color w:val="auto"/>
              </w:rPr>
            </w:pPr>
            <w:r>
              <w:rPr>
                <w:rFonts w:ascii="Arial" w:cs="Arial" w:eastAsia="Arial" w:hAnsi="Arial"/>
                <w:sz w:val="15"/>
                <w:szCs w:val="15"/>
                <w:color w:val="auto"/>
                <w:w w:val="71"/>
              </w:rPr>
              <w:t>$</w:t>
            </w:r>
          </w:p>
        </w:tc>
        <w:tc>
          <w:tcPr>
            <w:tcW w:w="2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13</w:t>
            </w:r>
          </w:p>
        </w:tc>
        <w:tc>
          <w:tcPr>
            <w:tcW w:w="42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177,683</w:t>
            </w:r>
          </w:p>
        </w:tc>
        <w:tc>
          <w:tcPr>
            <w:tcW w:w="42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w:t>
            </w: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97,837</w:t>
            </w:r>
          </w:p>
        </w:tc>
        <w:tc>
          <w:tcPr>
            <w:tcW w:w="180" w:type="dxa"/>
            <w:vAlign w:val="bottom"/>
            <w:shd w:val="clear" w:color="auto" w:fill="CFF0FC"/>
          </w:tcPr>
          <w:p>
            <w:pPr>
              <w:spacing w:after="0"/>
              <w:rPr>
                <w:sz w:val="19"/>
                <w:szCs w:val="19"/>
                <w:color w:val="auto"/>
              </w:rPr>
            </w:pPr>
          </w:p>
        </w:tc>
        <w:tc>
          <w:tcPr>
            <w:tcW w:w="22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275,533</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140" w:type="dxa"/>
            <w:vAlign w:val="bottom"/>
          </w:tcPr>
          <w:p>
            <w:pPr>
              <w:spacing w:after="0"/>
              <w:rPr>
                <w:sz w:val="20"/>
                <w:szCs w:val="20"/>
                <w:color w:val="auto"/>
              </w:rPr>
            </w:pPr>
            <w:r>
              <w:rPr>
                <w:rFonts w:ascii="Arial" w:cs="Arial" w:eastAsia="Arial" w:hAnsi="Arial"/>
                <w:sz w:val="18"/>
                <w:szCs w:val="18"/>
                <w:color w:val="auto"/>
              </w:rPr>
              <w:t>Revision</w:t>
            </w:r>
          </w:p>
        </w:tc>
        <w:tc>
          <w:tcPr>
            <w:tcW w:w="8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88"/>
              </w:rPr>
              <w:t>—</w:t>
            </w:r>
          </w:p>
        </w:tc>
        <w:tc>
          <w:tcPr>
            <w:tcW w:w="2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40" w:type="dxa"/>
            <w:vAlign w:val="bottom"/>
            <w:gridSpan w:val="2"/>
          </w:tcPr>
          <w:p>
            <w:pPr>
              <w:jc w:val="right"/>
              <w:ind w:right="120"/>
              <w:spacing w:after="0"/>
              <w:rPr>
                <w:sz w:val="20"/>
                <w:szCs w:val="20"/>
                <w:color w:val="auto"/>
              </w:rPr>
            </w:pPr>
            <w:r>
              <w:rPr>
                <w:rFonts w:ascii="Arial" w:cs="Arial" w:eastAsia="Arial" w:hAnsi="Arial"/>
                <w:sz w:val="18"/>
                <w:szCs w:val="18"/>
                <w:color w:val="auto"/>
              </w:rPr>
              <w:t>(7,042)</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20" w:type="dxa"/>
            <w:vAlign w:val="bottom"/>
            <w:gridSpan w:val="2"/>
          </w:tcPr>
          <w:p>
            <w:pPr>
              <w:jc w:val="right"/>
              <w:ind w:right="40"/>
              <w:spacing w:after="0"/>
              <w:rPr>
                <w:sz w:val="20"/>
                <w:szCs w:val="20"/>
                <w:color w:val="auto"/>
              </w:rPr>
            </w:pPr>
            <w:r>
              <w:rPr>
                <w:rFonts w:ascii="Arial" w:cs="Arial" w:eastAsia="Arial" w:hAnsi="Arial"/>
                <w:sz w:val="18"/>
                <w:szCs w:val="18"/>
                <w:color w:val="auto"/>
              </w:rPr>
              <w:t>(7,042)</w:t>
            </w:r>
          </w:p>
        </w:tc>
        <w:tc>
          <w:tcPr>
            <w:tcW w:w="0" w:type="dxa"/>
            <w:vAlign w:val="bottom"/>
          </w:tcPr>
          <w:p>
            <w:pPr>
              <w:spacing w:after="0"/>
              <w:rPr>
                <w:sz w:val="1"/>
                <w:szCs w:val="1"/>
                <w:color w:val="auto"/>
              </w:rPr>
            </w:pPr>
          </w:p>
        </w:tc>
      </w:tr>
      <w:tr>
        <w:trPr>
          <w:trHeight w:val="243"/>
        </w:trPr>
        <w:tc>
          <w:tcPr>
            <w:tcW w:w="5140" w:type="dxa"/>
            <w:vAlign w:val="bottom"/>
            <w:shd w:val="clear" w:color="auto" w:fill="CFF0FC"/>
          </w:tcPr>
          <w:p>
            <w:pPr>
              <w:spacing w:after="0"/>
              <w:rPr>
                <w:sz w:val="20"/>
                <w:szCs w:val="20"/>
                <w:color w:val="auto"/>
              </w:rPr>
            </w:pPr>
            <w:r>
              <w:rPr>
                <w:rFonts w:ascii="Arial" w:cs="Arial" w:eastAsia="Arial" w:hAnsi="Arial"/>
                <w:sz w:val="18"/>
                <w:szCs w:val="18"/>
                <w:color w:val="auto"/>
              </w:rPr>
              <w:t>Balance at January 1, 2019, as revised</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13,126</w:t>
            </w:r>
          </w:p>
        </w:tc>
        <w:tc>
          <w:tcPr>
            <w:tcW w:w="1000" w:type="dxa"/>
            <w:vAlign w:val="bottom"/>
            <w:gridSpan w:val="2"/>
            <w:shd w:val="clear" w:color="auto" w:fill="CFF0FC"/>
          </w:tcPr>
          <w:p>
            <w:pPr>
              <w:jc w:val="right"/>
              <w:ind w:right="547"/>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13</w:t>
            </w:r>
          </w:p>
        </w:tc>
        <w:tc>
          <w:tcPr>
            <w:tcW w:w="42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177,683</w:t>
            </w:r>
          </w:p>
        </w:tc>
        <w:tc>
          <w:tcPr>
            <w:tcW w:w="42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w:t>
            </w: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90,795</w:t>
            </w:r>
          </w:p>
        </w:tc>
        <w:tc>
          <w:tcPr>
            <w:tcW w:w="180" w:type="dxa"/>
            <w:vAlign w:val="bottom"/>
            <w:shd w:val="clear" w:color="auto" w:fill="CFF0FC"/>
          </w:tcPr>
          <w:p>
            <w:pPr>
              <w:spacing w:after="0"/>
              <w:rPr>
                <w:sz w:val="21"/>
                <w:szCs w:val="21"/>
                <w:color w:val="auto"/>
              </w:rPr>
            </w:pPr>
          </w:p>
        </w:tc>
        <w:tc>
          <w:tcPr>
            <w:tcW w:w="22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268,491</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392"/>
        </w:trPr>
        <w:tc>
          <w:tcPr>
            <w:tcW w:w="5140" w:type="dxa"/>
            <w:vAlign w:val="bottom"/>
          </w:tcPr>
          <w:p>
            <w:pPr>
              <w:spacing w:after="0"/>
              <w:rPr>
                <w:sz w:val="20"/>
                <w:szCs w:val="20"/>
                <w:color w:val="auto"/>
              </w:rPr>
            </w:pPr>
            <w:r>
              <w:rPr>
                <w:rFonts w:ascii="Arial" w:cs="Arial" w:eastAsia="Arial" w:hAnsi="Arial"/>
                <w:sz w:val="18"/>
                <w:szCs w:val="18"/>
                <w:color w:val="auto"/>
              </w:rPr>
              <w:t>Balance at April 1, 2019</w:t>
            </w:r>
          </w:p>
        </w:tc>
        <w:tc>
          <w:tcPr>
            <w:tcW w:w="880" w:type="dxa"/>
            <w:vAlign w:val="bottom"/>
          </w:tcPr>
          <w:p>
            <w:pPr>
              <w:jc w:val="right"/>
              <w:spacing w:after="0"/>
              <w:rPr>
                <w:sz w:val="20"/>
                <w:szCs w:val="20"/>
                <w:color w:val="auto"/>
              </w:rPr>
            </w:pPr>
            <w:r>
              <w:rPr>
                <w:rFonts w:ascii="Arial" w:cs="Arial" w:eastAsia="Arial" w:hAnsi="Arial"/>
                <w:sz w:val="18"/>
                <w:szCs w:val="18"/>
                <w:color w:val="auto"/>
              </w:rPr>
              <w:t>13,178</w:t>
            </w:r>
          </w:p>
        </w:tc>
        <w:tc>
          <w:tcPr>
            <w:tcW w:w="1000" w:type="dxa"/>
            <w:vAlign w:val="bottom"/>
            <w:gridSpan w:val="2"/>
          </w:tcPr>
          <w:p>
            <w:pPr>
              <w:jc w:val="right"/>
              <w:ind w:right="547"/>
              <w:spacing w:after="0"/>
              <w:rPr>
                <w:sz w:val="20"/>
                <w:szCs w:val="20"/>
                <w:color w:val="auto"/>
              </w:rPr>
            </w:pPr>
            <w:r>
              <w:rPr>
                <w:rFonts w:ascii="Arial" w:cs="Arial" w:eastAsia="Arial" w:hAnsi="Arial"/>
                <w:sz w:val="18"/>
                <w:szCs w:val="18"/>
                <w:color w:val="auto"/>
              </w:rPr>
              <w:t>$</w:t>
            </w:r>
          </w:p>
        </w:tc>
        <w:tc>
          <w:tcPr>
            <w:tcW w:w="200" w:type="dxa"/>
            <w:vAlign w:val="bottom"/>
          </w:tcPr>
          <w:p>
            <w:pPr>
              <w:jc w:val="right"/>
              <w:spacing w:after="0"/>
              <w:rPr>
                <w:sz w:val="20"/>
                <w:szCs w:val="20"/>
                <w:color w:val="auto"/>
              </w:rPr>
            </w:pPr>
            <w:r>
              <w:rPr>
                <w:rFonts w:ascii="Arial" w:cs="Arial" w:eastAsia="Arial" w:hAnsi="Arial"/>
                <w:sz w:val="18"/>
                <w:szCs w:val="18"/>
                <w:color w:val="auto"/>
                <w:w w:val="79"/>
              </w:rPr>
              <w:t>13</w:t>
            </w:r>
          </w:p>
        </w:tc>
        <w:tc>
          <w:tcPr>
            <w:tcW w:w="42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178,916</w:t>
            </w:r>
          </w:p>
        </w:tc>
        <w:tc>
          <w:tcPr>
            <w:tcW w:w="42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102,699</w:t>
            </w:r>
          </w:p>
        </w:tc>
        <w:tc>
          <w:tcPr>
            <w:tcW w:w="180" w:type="dxa"/>
            <w:vAlign w:val="bottom"/>
          </w:tcPr>
          <w:p>
            <w:pPr>
              <w:spacing w:after="0"/>
              <w:rPr>
                <w:sz w:val="24"/>
                <w:szCs w:val="24"/>
                <w:color w:val="auto"/>
              </w:rPr>
            </w:pPr>
          </w:p>
        </w:tc>
        <w:tc>
          <w:tcPr>
            <w:tcW w:w="2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281,628</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5140" w:type="dxa"/>
            <w:vAlign w:val="bottom"/>
            <w:shd w:val="clear" w:color="auto" w:fill="CFF0FC"/>
          </w:tcPr>
          <w:p>
            <w:pPr>
              <w:spacing w:after="0"/>
              <w:rPr>
                <w:sz w:val="20"/>
                <w:szCs w:val="20"/>
                <w:color w:val="auto"/>
              </w:rPr>
            </w:pPr>
            <w:r>
              <w:rPr>
                <w:rFonts w:ascii="Arial" w:cs="Arial" w:eastAsia="Arial" w:hAnsi="Arial"/>
                <w:sz w:val="18"/>
                <w:szCs w:val="18"/>
                <w:color w:val="auto"/>
              </w:rPr>
              <w:t>Revision</w:t>
            </w:r>
          </w:p>
        </w:tc>
        <w:tc>
          <w:tcPr>
            <w:tcW w:w="8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700" w:type="dxa"/>
            <w:vAlign w:val="bottom"/>
            <w:shd w:val="clear" w:color="auto" w:fill="CFF0FC"/>
          </w:tcPr>
          <w:p>
            <w:pPr>
              <w:spacing w:after="0"/>
              <w:rPr>
                <w:sz w:val="19"/>
                <w:szCs w:val="19"/>
                <w:color w:val="auto"/>
              </w:rPr>
            </w:pPr>
          </w:p>
        </w:tc>
        <w:tc>
          <w:tcPr>
            <w:tcW w:w="2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88"/>
              </w:rPr>
              <w:t>—</w:t>
            </w:r>
          </w:p>
        </w:tc>
        <w:tc>
          <w:tcPr>
            <w:tcW w:w="2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4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(7,608)</w:t>
            </w:r>
          </w:p>
        </w:tc>
        <w:tc>
          <w:tcPr>
            <w:tcW w:w="1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(7,608)</w:t>
            </w:r>
          </w:p>
        </w:tc>
        <w:tc>
          <w:tcPr>
            <w:tcW w:w="0" w:type="dxa"/>
            <w:vAlign w:val="bottom"/>
          </w:tcPr>
          <w:p>
            <w:pPr>
              <w:spacing w:after="0"/>
              <w:rPr>
                <w:sz w:val="1"/>
                <w:szCs w:val="1"/>
                <w:color w:val="auto"/>
              </w:rPr>
            </w:pPr>
          </w:p>
        </w:tc>
      </w:tr>
      <w:tr>
        <w:trPr>
          <w:trHeight w:val="243"/>
        </w:trPr>
        <w:tc>
          <w:tcPr>
            <w:tcW w:w="5140" w:type="dxa"/>
            <w:vAlign w:val="bottom"/>
          </w:tcPr>
          <w:p>
            <w:pPr>
              <w:spacing w:after="0"/>
              <w:rPr>
                <w:sz w:val="20"/>
                <w:szCs w:val="20"/>
                <w:color w:val="auto"/>
              </w:rPr>
            </w:pPr>
            <w:r>
              <w:rPr>
                <w:rFonts w:ascii="Arial" w:cs="Arial" w:eastAsia="Arial" w:hAnsi="Arial"/>
                <w:sz w:val="18"/>
                <w:szCs w:val="18"/>
                <w:color w:val="auto"/>
              </w:rPr>
              <w:t>Balance at April 1, 2019, as revised</w:t>
            </w:r>
          </w:p>
        </w:tc>
        <w:tc>
          <w:tcPr>
            <w:tcW w:w="880" w:type="dxa"/>
            <w:vAlign w:val="bottom"/>
          </w:tcPr>
          <w:p>
            <w:pPr>
              <w:jc w:val="right"/>
              <w:spacing w:after="0"/>
              <w:rPr>
                <w:sz w:val="20"/>
                <w:szCs w:val="20"/>
                <w:color w:val="auto"/>
              </w:rPr>
            </w:pPr>
            <w:r>
              <w:rPr>
                <w:rFonts w:ascii="Arial" w:cs="Arial" w:eastAsia="Arial" w:hAnsi="Arial"/>
                <w:sz w:val="18"/>
                <w:szCs w:val="18"/>
                <w:color w:val="auto"/>
              </w:rPr>
              <w:t>13,178</w:t>
            </w:r>
          </w:p>
        </w:tc>
        <w:tc>
          <w:tcPr>
            <w:tcW w:w="1000" w:type="dxa"/>
            <w:vAlign w:val="bottom"/>
            <w:gridSpan w:val="2"/>
          </w:tcPr>
          <w:p>
            <w:pPr>
              <w:jc w:val="right"/>
              <w:ind w:right="547"/>
              <w:spacing w:after="0"/>
              <w:rPr>
                <w:sz w:val="20"/>
                <w:szCs w:val="20"/>
                <w:color w:val="auto"/>
              </w:rPr>
            </w:pPr>
            <w:r>
              <w:rPr>
                <w:rFonts w:ascii="Arial" w:cs="Arial" w:eastAsia="Arial" w:hAnsi="Arial"/>
                <w:sz w:val="18"/>
                <w:szCs w:val="18"/>
                <w:color w:val="auto"/>
              </w:rPr>
              <w:t>$</w:t>
            </w:r>
          </w:p>
        </w:tc>
        <w:tc>
          <w:tcPr>
            <w:tcW w:w="200" w:type="dxa"/>
            <w:vAlign w:val="bottom"/>
          </w:tcPr>
          <w:p>
            <w:pPr>
              <w:jc w:val="right"/>
              <w:spacing w:after="0"/>
              <w:rPr>
                <w:sz w:val="20"/>
                <w:szCs w:val="20"/>
                <w:color w:val="auto"/>
              </w:rPr>
            </w:pPr>
            <w:r>
              <w:rPr>
                <w:rFonts w:ascii="Arial" w:cs="Arial" w:eastAsia="Arial" w:hAnsi="Arial"/>
                <w:sz w:val="18"/>
                <w:szCs w:val="18"/>
                <w:color w:val="auto"/>
                <w:w w:val="79"/>
              </w:rPr>
              <w:t>13</w:t>
            </w:r>
          </w:p>
        </w:tc>
        <w:tc>
          <w:tcPr>
            <w:tcW w:w="42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178,916</w:t>
            </w:r>
          </w:p>
        </w:tc>
        <w:tc>
          <w:tcPr>
            <w:tcW w:w="42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95,091</w:t>
            </w:r>
          </w:p>
        </w:tc>
        <w:tc>
          <w:tcPr>
            <w:tcW w:w="180" w:type="dxa"/>
            <w:vAlign w:val="bottom"/>
          </w:tcPr>
          <w:p>
            <w:pPr>
              <w:spacing w:after="0"/>
              <w:rPr>
                <w:sz w:val="21"/>
                <w:szCs w:val="21"/>
                <w:color w:val="auto"/>
              </w:rPr>
            </w:pPr>
          </w:p>
        </w:tc>
        <w:tc>
          <w:tcPr>
            <w:tcW w:w="2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274,020</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140" w:type="dxa"/>
            <w:vAlign w:val="bottom"/>
            <w:shd w:val="clear" w:color="auto" w:fill="CFF0FC"/>
          </w:tcPr>
          <w:p>
            <w:pPr>
              <w:spacing w:after="0"/>
              <w:rPr>
                <w:sz w:val="21"/>
                <w:szCs w:val="21"/>
                <w:color w:val="auto"/>
              </w:rPr>
            </w:pPr>
          </w:p>
        </w:tc>
        <w:tc>
          <w:tcPr>
            <w:tcW w:w="88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70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90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76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02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5140" w:type="dxa"/>
            <w:vAlign w:val="bottom"/>
          </w:tcPr>
          <w:p>
            <w:pPr>
              <w:spacing w:after="0"/>
              <w:rPr>
                <w:sz w:val="20"/>
                <w:szCs w:val="20"/>
                <w:color w:val="auto"/>
              </w:rPr>
            </w:pPr>
            <w:r>
              <w:rPr>
                <w:rFonts w:ascii="Arial" w:cs="Arial" w:eastAsia="Arial" w:hAnsi="Arial"/>
                <w:sz w:val="18"/>
                <w:szCs w:val="18"/>
                <w:color w:val="auto"/>
              </w:rPr>
              <w:t>Balance at June 30, 2019</w:t>
            </w:r>
          </w:p>
        </w:tc>
        <w:tc>
          <w:tcPr>
            <w:tcW w:w="880" w:type="dxa"/>
            <w:vAlign w:val="bottom"/>
          </w:tcPr>
          <w:p>
            <w:pPr>
              <w:jc w:val="right"/>
              <w:spacing w:after="0"/>
              <w:rPr>
                <w:sz w:val="20"/>
                <w:szCs w:val="20"/>
                <w:color w:val="auto"/>
              </w:rPr>
            </w:pPr>
            <w:r>
              <w:rPr>
                <w:rFonts w:ascii="Arial" w:cs="Arial" w:eastAsia="Arial" w:hAnsi="Arial"/>
                <w:sz w:val="18"/>
                <w:szCs w:val="18"/>
                <w:color w:val="auto"/>
              </w:rPr>
              <w:t>13,219</w:t>
            </w:r>
          </w:p>
        </w:tc>
        <w:tc>
          <w:tcPr>
            <w:tcW w:w="1000" w:type="dxa"/>
            <w:vAlign w:val="bottom"/>
            <w:gridSpan w:val="2"/>
          </w:tcPr>
          <w:p>
            <w:pPr>
              <w:jc w:val="right"/>
              <w:ind w:right="547"/>
              <w:spacing w:after="0"/>
              <w:rPr>
                <w:sz w:val="20"/>
                <w:szCs w:val="20"/>
                <w:color w:val="auto"/>
              </w:rPr>
            </w:pPr>
            <w:r>
              <w:rPr>
                <w:rFonts w:ascii="Arial" w:cs="Arial" w:eastAsia="Arial" w:hAnsi="Arial"/>
                <w:sz w:val="18"/>
                <w:szCs w:val="18"/>
                <w:color w:val="auto"/>
              </w:rPr>
              <w:t>$</w:t>
            </w:r>
          </w:p>
        </w:tc>
        <w:tc>
          <w:tcPr>
            <w:tcW w:w="200" w:type="dxa"/>
            <w:vAlign w:val="bottom"/>
          </w:tcPr>
          <w:p>
            <w:pPr>
              <w:jc w:val="right"/>
              <w:spacing w:after="0"/>
              <w:rPr>
                <w:sz w:val="20"/>
                <w:szCs w:val="20"/>
                <w:color w:val="auto"/>
              </w:rPr>
            </w:pPr>
            <w:r>
              <w:rPr>
                <w:rFonts w:ascii="Arial" w:cs="Arial" w:eastAsia="Arial" w:hAnsi="Arial"/>
                <w:sz w:val="18"/>
                <w:szCs w:val="18"/>
                <w:color w:val="auto"/>
                <w:w w:val="79"/>
              </w:rPr>
              <w:t>13</w:t>
            </w:r>
          </w:p>
        </w:tc>
        <w:tc>
          <w:tcPr>
            <w:tcW w:w="42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181,111</w:t>
            </w:r>
          </w:p>
        </w:tc>
        <w:tc>
          <w:tcPr>
            <w:tcW w:w="42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108,217</w:t>
            </w:r>
          </w:p>
        </w:tc>
        <w:tc>
          <w:tcPr>
            <w:tcW w:w="180" w:type="dxa"/>
            <w:vAlign w:val="bottom"/>
          </w:tcPr>
          <w:p>
            <w:pPr>
              <w:spacing w:after="0"/>
              <w:rPr>
                <w:sz w:val="19"/>
                <w:szCs w:val="19"/>
                <w:color w:val="auto"/>
              </w:rPr>
            </w:pPr>
          </w:p>
        </w:tc>
        <w:tc>
          <w:tcPr>
            <w:tcW w:w="2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289,341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140" w:type="dxa"/>
            <w:vAlign w:val="bottom"/>
            <w:shd w:val="clear" w:color="auto" w:fill="CFF0FC"/>
          </w:tcPr>
          <w:p>
            <w:pPr>
              <w:spacing w:after="0"/>
              <w:rPr>
                <w:sz w:val="20"/>
                <w:szCs w:val="20"/>
                <w:color w:val="auto"/>
              </w:rPr>
            </w:pPr>
            <w:r>
              <w:rPr>
                <w:rFonts w:ascii="Arial" w:cs="Arial" w:eastAsia="Arial" w:hAnsi="Arial"/>
                <w:sz w:val="18"/>
                <w:szCs w:val="18"/>
                <w:color w:val="auto"/>
              </w:rPr>
              <w:t>Revision</w:t>
            </w:r>
          </w:p>
        </w:tc>
        <w:tc>
          <w:tcPr>
            <w:tcW w:w="8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700" w:type="dxa"/>
            <w:vAlign w:val="bottom"/>
            <w:shd w:val="clear" w:color="auto" w:fill="CFF0FC"/>
          </w:tcPr>
          <w:p>
            <w:pPr>
              <w:spacing w:after="0"/>
              <w:rPr>
                <w:sz w:val="19"/>
                <w:szCs w:val="19"/>
                <w:color w:val="auto"/>
              </w:rPr>
            </w:pPr>
          </w:p>
        </w:tc>
        <w:tc>
          <w:tcPr>
            <w:tcW w:w="2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88"/>
              </w:rPr>
              <w:t>—</w:t>
            </w:r>
          </w:p>
        </w:tc>
        <w:tc>
          <w:tcPr>
            <w:tcW w:w="2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4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(7,834)</w:t>
            </w:r>
          </w:p>
        </w:tc>
        <w:tc>
          <w:tcPr>
            <w:tcW w:w="1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(7,834)</w:t>
            </w:r>
          </w:p>
        </w:tc>
        <w:tc>
          <w:tcPr>
            <w:tcW w:w="0" w:type="dxa"/>
            <w:vAlign w:val="bottom"/>
          </w:tcPr>
          <w:p>
            <w:pPr>
              <w:spacing w:after="0"/>
              <w:rPr>
                <w:sz w:val="1"/>
                <w:szCs w:val="1"/>
                <w:color w:val="auto"/>
              </w:rPr>
            </w:pPr>
          </w:p>
        </w:tc>
      </w:tr>
      <w:tr>
        <w:trPr>
          <w:trHeight w:val="243"/>
        </w:trPr>
        <w:tc>
          <w:tcPr>
            <w:tcW w:w="5140" w:type="dxa"/>
            <w:vAlign w:val="bottom"/>
          </w:tcPr>
          <w:p>
            <w:pPr>
              <w:spacing w:after="0"/>
              <w:rPr>
                <w:sz w:val="20"/>
                <w:szCs w:val="20"/>
                <w:color w:val="auto"/>
              </w:rPr>
            </w:pPr>
            <w:r>
              <w:rPr>
                <w:rFonts w:ascii="Arial" w:cs="Arial" w:eastAsia="Arial" w:hAnsi="Arial"/>
                <w:sz w:val="18"/>
                <w:szCs w:val="18"/>
                <w:color w:val="auto"/>
              </w:rPr>
              <w:t>Balance at June 30, 2019, as revised</w:t>
            </w:r>
          </w:p>
        </w:tc>
        <w:tc>
          <w:tcPr>
            <w:tcW w:w="880" w:type="dxa"/>
            <w:vAlign w:val="bottom"/>
          </w:tcPr>
          <w:p>
            <w:pPr>
              <w:jc w:val="right"/>
              <w:spacing w:after="0"/>
              <w:rPr>
                <w:sz w:val="20"/>
                <w:szCs w:val="20"/>
                <w:color w:val="auto"/>
              </w:rPr>
            </w:pPr>
            <w:r>
              <w:rPr>
                <w:rFonts w:ascii="Arial" w:cs="Arial" w:eastAsia="Arial" w:hAnsi="Arial"/>
                <w:sz w:val="18"/>
                <w:szCs w:val="18"/>
                <w:color w:val="auto"/>
              </w:rPr>
              <w:t>13,219</w:t>
            </w:r>
          </w:p>
        </w:tc>
        <w:tc>
          <w:tcPr>
            <w:tcW w:w="1000" w:type="dxa"/>
            <w:vAlign w:val="bottom"/>
            <w:gridSpan w:val="2"/>
          </w:tcPr>
          <w:p>
            <w:pPr>
              <w:jc w:val="right"/>
              <w:ind w:right="547"/>
              <w:spacing w:after="0"/>
              <w:rPr>
                <w:sz w:val="20"/>
                <w:szCs w:val="20"/>
                <w:color w:val="auto"/>
              </w:rPr>
            </w:pPr>
            <w:r>
              <w:rPr>
                <w:rFonts w:ascii="Arial" w:cs="Arial" w:eastAsia="Arial" w:hAnsi="Arial"/>
                <w:sz w:val="18"/>
                <w:szCs w:val="18"/>
                <w:color w:val="auto"/>
              </w:rPr>
              <w:t>$</w:t>
            </w:r>
          </w:p>
        </w:tc>
        <w:tc>
          <w:tcPr>
            <w:tcW w:w="200" w:type="dxa"/>
            <w:vAlign w:val="bottom"/>
          </w:tcPr>
          <w:p>
            <w:pPr>
              <w:jc w:val="right"/>
              <w:spacing w:after="0"/>
              <w:rPr>
                <w:sz w:val="20"/>
                <w:szCs w:val="20"/>
                <w:color w:val="auto"/>
              </w:rPr>
            </w:pPr>
            <w:r>
              <w:rPr>
                <w:rFonts w:ascii="Arial" w:cs="Arial" w:eastAsia="Arial" w:hAnsi="Arial"/>
                <w:sz w:val="18"/>
                <w:szCs w:val="18"/>
                <w:color w:val="auto"/>
                <w:w w:val="79"/>
              </w:rPr>
              <w:t>13</w:t>
            </w:r>
          </w:p>
        </w:tc>
        <w:tc>
          <w:tcPr>
            <w:tcW w:w="42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181,111</w:t>
            </w:r>
          </w:p>
        </w:tc>
        <w:tc>
          <w:tcPr>
            <w:tcW w:w="42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100,383</w:t>
            </w:r>
          </w:p>
        </w:tc>
        <w:tc>
          <w:tcPr>
            <w:tcW w:w="180" w:type="dxa"/>
            <w:vAlign w:val="bottom"/>
          </w:tcPr>
          <w:p>
            <w:pPr>
              <w:spacing w:after="0"/>
              <w:rPr>
                <w:sz w:val="21"/>
                <w:szCs w:val="21"/>
                <w:color w:val="auto"/>
              </w:rPr>
            </w:pPr>
          </w:p>
        </w:tc>
        <w:tc>
          <w:tcPr>
            <w:tcW w:w="2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281,507</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pacing w:after="0" w:line="391" w:lineRule="exact"/>
        <w:rPr>
          <w:sz w:val="20"/>
          <w:szCs w:val="20"/>
          <w:color w:val="auto"/>
        </w:rPr>
      </w:pPr>
    </w:p>
    <w:p>
      <w:pPr>
        <w:ind w:right="80" w:firstLine="476"/>
        <w:spacing w:after="0" w:line="277" w:lineRule="auto"/>
        <w:rPr>
          <w:sz w:val="20"/>
          <w:szCs w:val="20"/>
          <w:color w:val="auto"/>
        </w:rPr>
      </w:pPr>
      <w:r>
        <w:rPr>
          <w:rFonts w:ascii="Arial" w:cs="Arial" w:eastAsia="Arial" w:hAnsi="Arial"/>
          <w:sz w:val="18"/>
          <w:szCs w:val="18"/>
          <w:color w:val="auto"/>
        </w:rPr>
        <w:t>Additionally, the Consolidated Statement of Cash Flows has been revised to reflect the correction for the six months ended June 30, 2019 as follows (amounts in thousands):</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4800" w:type="dxa"/>
            <w:vAlign w:val="bottom"/>
          </w:tcPr>
          <w:p>
            <w:pPr>
              <w:spacing w:after="0"/>
              <w:rPr>
                <w:sz w:val="16"/>
                <w:szCs w:val="16"/>
                <w:color w:val="auto"/>
              </w:rPr>
            </w:pPr>
          </w:p>
        </w:tc>
        <w:tc>
          <w:tcPr>
            <w:tcW w:w="18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3240" w:type="dxa"/>
            <w:vAlign w:val="bottom"/>
            <w:gridSpan w:val="7"/>
          </w:tcPr>
          <w:p>
            <w:pPr>
              <w:jc w:val="right"/>
              <w:ind w:right="10"/>
              <w:spacing w:after="0"/>
              <w:rPr>
                <w:sz w:val="20"/>
                <w:szCs w:val="20"/>
                <w:color w:val="auto"/>
              </w:rPr>
            </w:pPr>
            <w:r>
              <w:rPr>
                <w:rFonts w:ascii="Arial" w:cs="Arial" w:eastAsia="Arial" w:hAnsi="Arial"/>
                <w:sz w:val="14"/>
                <w:szCs w:val="14"/>
                <w:b w:val="1"/>
                <w:bCs w:val="1"/>
                <w:color w:val="auto"/>
              </w:rPr>
              <w:t>For the Six Months Ended June 30,</w:t>
            </w:r>
          </w:p>
        </w:tc>
        <w:tc>
          <w:tcPr>
            <w:tcW w:w="1060" w:type="dxa"/>
            <w:vAlign w:val="bottom"/>
          </w:tcPr>
          <w:p>
            <w:pPr>
              <w:spacing w:after="0"/>
              <w:rPr>
                <w:sz w:val="16"/>
                <w:szCs w:val="16"/>
                <w:color w:val="auto"/>
              </w:rPr>
            </w:pPr>
          </w:p>
        </w:tc>
        <w:tc>
          <w:tcPr>
            <w:tcW w:w="120" w:type="dxa"/>
            <w:vAlign w:val="bottom"/>
          </w:tcPr>
          <w:p>
            <w:pPr>
              <w:spacing w:after="0"/>
              <w:rPr>
                <w:sz w:val="16"/>
                <w:szCs w:val="16"/>
                <w:color w:val="auto"/>
              </w:rPr>
            </w:pPr>
          </w:p>
        </w:tc>
      </w:tr>
      <w:tr>
        <w:trPr>
          <w:trHeight w:val="25"/>
        </w:trPr>
        <w:tc>
          <w:tcPr>
            <w:tcW w:w="4800" w:type="dxa"/>
            <w:vAlign w:val="bottom"/>
          </w:tcPr>
          <w:p>
            <w:pPr>
              <w:spacing w:after="0"/>
              <w:rPr>
                <w:sz w:val="2"/>
                <w:szCs w:val="2"/>
                <w:color w:val="auto"/>
              </w:rPr>
            </w:pPr>
          </w:p>
        </w:tc>
        <w:tc>
          <w:tcPr>
            <w:tcW w:w="184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r>
      <w:tr>
        <w:trPr>
          <w:trHeight w:val="211"/>
        </w:trPr>
        <w:tc>
          <w:tcPr>
            <w:tcW w:w="480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tcPr>
          <w:p>
            <w:pPr>
              <w:jc w:val="right"/>
              <w:ind w:right="276"/>
              <w:spacing w:after="0"/>
              <w:rPr>
                <w:sz w:val="20"/>
                <w:szCs w:val="20"/>
                <w:color w:val="auto"/>
              </w:rPr>
            </w:pPr>
            <w:r>
              <w:rPr>
                <w:rFonts w:ascii="Arial" w:cs="Arial" w:eastAsia="Arial" w:hAnsi="Arial"/>
                <w:sz w:val="14"/>
                <w:szCs w:val="14"/>
                <w:b w:val="1"/>
                <w:bCs w:val="1"/>
                <w:color w:val="auto"/>
              </w:rPr>
              <w:t>2019</w:t>
            </w:r>
          </w:p>
        </w:tc>
        <w:tc>
          <w:tcPr>
            <w:tcW w:w="3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5"/>
        </w:trPr>
        <w:tc>
          <w:tcPr>
            <w:tcW w:w="4800" w:type="dxa"/>
            <w:vAlign w:val="bottom"/>
          </w:tcPr>
          <w:p>
            <w:pPr>
              <w:spacing w:after="0"/>
              <w:rPr>
                <w:sz w:val="2"/>
                <w:szCs w:val="2"/>
                <w:color w:val="auto"/>
              </w:rPr>
            </w:pPr>
          </w:p>
        </w:tc>
        <w:tc>
          <w:tcPr>
            <w:tcW w:w="184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r>
      <w:tr>
        <w:trPr>
          <w:trHeight w:val="146"/>
        </w:trPr>
        <w:tc>
          <w:tcPr>
            <w:tcW w:w="4800" w:type="dxa"/>
            <w:vAlign w:val="bottom"/>
          </w:tcPr>
          <w:p>
            <w:pPr>
              <w:spacing w:after="0"/>
              <w:rPr>
                <w:sz w:val="12"/>
                <w:szCs w:val="12"/>
                <w:color w:val="auto"/>
              </w:rPr>
            </w:pPr>
          </w:p>
        </w:tc>
        <w:tc>
          <w:tcPr>
            <w:tcW w:w="18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0" w:type="dxa"/>
            <w:vAlign w:val="bottom"/>
            <w:gridSpan w:val="2"/>
          </w:tcPr>
          <w:p>
            <w:pPr>
              <w:jc w:val="center"/>
              <w:ind w:right="400"/>
              <w:spacing w:after="0" w:line="147" w:lineRule="exact"/>
              <w:rPr>
                <w:sz w:val="20"/>
                <w:szCs w:val="20"/>
                <w:color w:val="auto"/>
              </w:rPr>
            </w:pPr>
            <w:r>
              <w:rPr>
                <w:rFonts w:ascii="Arial" w:cs="Arial" w:eastAsia="Arial" w:hAnsi="Arial"/>
                <w:sz w:val="14"/>
                <w:szCs w:val="14"/>
                <w:b w:val="1"/>
                <w:bCs w:val="1"/>
                <w:color w:val="auto"/>
                <w:w w:val="89"/>
              </w:rPr>
              <w:t>As</w:t>
            </w:r>
          </w:p>
        </w:tc>
        <w:tc>
          <w:tcPr>
            <w:tcW w:w="1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162"/>
        </w:trPr>
        <w:tc>
          <w:tcPr>
            <w:tcW w:w="4800" w:type="dxa"/>
            <w:vAlign w:val="bottom"/>
          </w:tcPr>
          <w:p>
            <w:pPr>
              <w:spacing w:after="0"/>
              <w:rPr>
                <w:sz w:val="14"/>
                <w:szCs w:val="14"/>
                <w:color w:val="auto"/>
              </w:rPr>
            </w:pPr>
          </w:p>
        </w:tc>
        <w:tc>
          <w:tcPr>
            <w:tcW w:w="18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90"/>
              </w:rPr>
              <w:t>Previously</w:t>
            </w:r>
          </w:p>
        </w:tc>
        <w:tc>
          <w:tcPr>
            <w:tcW w:w="1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80" w:type="dxa"/>
            <w:vAlign w:val="bottom"/>
            <w:gridSpan w:val="2"/>
          </w:tcPr>
          <w:p>
            <w:pPr>
              <w:jc w:val="right"/>
              <w:ind w:right="740"/>
              <w:spacing w:after="0"/>
              <w:rPr>
                <w:sz w:val="20"/>
                <w:szCs w:val="20"/>
                <w:color w:val="auto"/>
              </w:rPr>
            </w:pPr>
            <w:r>
              <w:rPr>
                <w:rFonts w:ascii="Arial" w:cs="Arial" w:eastAsia="Arial" w:hAnsi="Arial"/>
                <w:sz w:val="14"/>
                <w:szCs w:val="14"/>
                <w:b w:val="1"/>
                <w:bCs w:val="1"/>
                <w:color w:val="auto"/>
              </w:rPr>
              <w:t>As</w:t>
            </w:r>
          </w:p>
        </w:tc>
      </w:tr>
      <w:tr>
        <w:trPr>
          <w:trHeight w:val="171"/>
        </w:trPr>
        <w:tc>
          <w:tcPr>
            <w:tcW w:w="4800" w:type="dxa"/>
            <w:vAlign w:val="bottom"/>
          </w:tcPr>
          <w:p>
            <w:pPr>
              <w:spacing w:after="0"/>
              <w:rPr>
                <w:sz w:val="14"/>
                <w:szCs w:val="14"/>
                <w:color w:val="auto"/>
              </w:rPr>
            </w:pPr>
          </w:p>
        </w:tc>
        <w:tc>
          <w:tcPr>
            <w:tcW w:w="18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4"/>
              </w:rPr>
              <w:t>Reported</w:t>
            </w:r>
          </w:p>
        </w:tc>
        <w:tc>
          <w:tcPr>
            <w:tcW w:w="1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40" w:type="dxa"/>
            <w:vAlign w:val="bottom"/>
            <w:gridSpan w:val="2"/>
          </w:tcPr>
          <w:p>
            <w:pPr>
              <w:jc w:val="right"/>
              <w:ind w:right="680"/>
              <w:spacing w:after="0"/>
              <w:rPr>
                <w:sz w:val="20"/>
                <w:szCs w:val="20"/>
                <w:color w:val="auto"/>
              </w:rPr>
            </w:pPr>
            <w:r>
              <w:rPr>
                <w:rFonts w:ascii="Arial" w:cs="Arial" w:eastAsia="Arial" w:hAnsi="Arial"/>
                <w:sz w:val="14"/>
                <w:szCs w:val="14"/>
                <w:b w:val="1"/>
                <w:bCs w:val="1"/>
                <w:color w:val="auto"/>
              </w:rPr>
              <w:t>Revision</w:t>
            </w:r>
          </w:p>
        </w:tc>
        <w:tc>
          <w:tcPr>
            <w:tcW w:w="340" w:type="dxa"/>
            <w:vAlign w:val="bottom"/>
          </w:tcPr>
          <w:p>
            <w:pPr>
              <w:spacing w:after="0"/>
              <w:rPr>
                <w:sz w:val="14"/>
                <w:szCs w:val="14"/>
                <w:color w:val="auto"/>
              </w:rPr>
            </w:pPr>
          </w:p>
        </w:tc>
        <w:tc>
          <w:tcPr>
            <w:tcW w:w="1180" w:type="dxa"/>
            <w:vAlign w:val="bottom"/>
            <w:gridSpan w:val="2"/>
          </w:tcPr>
          <w:p>
            <w:pPr>
              <w:jc w:val="right"/>
              <w:ind w:right="580"/>
              <w:spacing w:after="0"/>
              <w:rPr>
                <w:sz w:val="20"/>
                <w:szCs w:val="20"/>
                <w:color w:val="auto"/>
              </w:rPr>
            </w:pPr>
            <w:r>
              <w:rPr>
                <w:rFonts w:ascii="Arial" w:cs="Arial" w:eastAsia="Arial" w:hAnsi="Arial"/>
                <w:sz w:val="14"/>
                <w:szCs w:val="14"/>
                <w:b w:val="1"/>
                <w:bCs w:val="1"/>
                <w:color w:val="auto"/>
              </w:rPr>
              <w:t>Revised</w:t>
            </w:r>
          </w:p>
        </w:tc>
      </w:tr>
      <w:tr>
        <w:trPr>
          <w:trHeight w:val="223"/>
        </w:trPr>
        <w:tc>
          <w:tcPr>
            <w:tcW w:w="48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Net income</w:t>
            </w:r>
          </w:p>
        </w:tc>
        <w:tc>
          <w:tcPr>
            <w:tcW w:w="184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jc w:val="right"/>
              <w:ind w:right="27"/>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10,380</w:t>
            </w:r>
          </w:p>
        </w:tc>
        <w:tc>
          <w:tcPr>
            <w:tcW w:w="20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jc w:val="right"/>
              <w:ind w:right="47"/>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(792)</w:t>
            </w:r>
          </w:p>
        </w:tc>
        <w:tc>
          <w:tcPr>
            <w:tcW w:w="340" w:type="dxa"/>
            <w:vAlign w:val="bottom"/>
            <w:tcBorders>
              <w:top w:val="single" w:sz="8" w:color="CFF0FC"/>
            </w:tcBorders>
            <w:shd w:val="clear" w:color="auto" w:fill="CFF0FC"/>
          </w:tcPr>
          <w:p>
            <w:pPr>
              <w:spacing w:after="0"/>
              <w:rPr>
                <w:sz w:val="19"/>
                <w:szCs w:val="19"/>
                <w:color w:val="auto"/>
              </w:rPr>
            </w:pPr>
          </w:p>
        </w:tc>
        <w:tc>
          <w:tcPr>
            <w:tcW w:w="340" w:type="dxa"/>
            <w:vAlign w:val="bottom"/>
            <w:tcBorders>
              <w:top w:val="single" w:sz="8" w:color="auto"/>
            </w:tcBorders>
            <w:shd w:val="clear" w:color="auto" w:fill="CFF0FC"/>
          </w:tcPr>
          <w:p>
            <w:pPr>
              <w:jc w:val="right"/>
              <w:ind w:right="150"/>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9,588</w:t>
            </w:r>
          </w:p>
        </w:tc>
        <w:tc>
          <w:tcPr>
            <w:tcW w:w="120" w:type="dxa"/>
            <w:vAlign w:val="bottom"/>
            <w:tcBorders>
              <w:top w:val="single" w:sz="8" w:color="CFF0FC"/>
            </w:tcBorders>
            <w:shd w:val="clear" w:color="auto" w:fill="CFF0FC"/>
          </w:tcPr>
          <w:p>
            <w:pPr>
              <w:spacing w:after="0"/>
              <w:rPr>
                <w:sz w:val="19"/>
                <w:szCs w:val="19"/>
                <w:color w:val="auto"/>
              </w:rPr>
            </w:pPr>
          </w:p>
        </w:tc>
      </w:tr>
      <w:tr>
        <w:trPr>
          <w:trHeight w:val="229"/>
        </w:trPr>
        <w:tc>
          <w:tcPr>
            <w:tcW w:w="4800" w:type="dxa"/>
            <w:vAlign w:val="bottom"/>
          </w:tcPr>
          <w:p>
            <w:pPr>
              <w:spacing w:after="0"/>
              <w:rPr>
                <w:sz w:val="20"/>
                <w:szCs w:val="20"/>
                <w:color w:val="auto"/>
              </w:rPr>
            </w:pPr>
            <w:r>
              <w:rPr>
                <w:rFonts w:ascii="Arial" w:cs="Arial" w:eastAsia="Arial" w:hAnsi="Arial"/>
                <w:sz w:val="18"/>
                <w:szCs w:val="18"/>
                <w:color w:val="auto"/>
              </w:rPr>
              <w:t>Deferred income taxes</w:t>
            </w:r>
          </w:p>
        </w:tc>
        <w:tc>
          <w:tcPr>
            <w:tcW w:w="18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123</w:t>
            </w: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40" w:type="dxa"/>
            <w:vAlign w:val="bottom"/>
            <w:gridSpan w:val="2"/>
          </w:tcPr>
          <w:p>
            <w:pPr>
              <w:jc w:val="right"/>
              <w:ind w:right="280"/>
              <w:spacing w:after="0"/>
              <w:rPr>
                <w:sz w:val="20"/>
                <w:szCs w:val="20"/>
                <w:color w:val="auto"/>
              </w:rPr>
            </w:pPr>
            <w:r>
              <w:rPr>
                <w:rFonts w:ascii="Arial" w:cs="Arial" w:eastAsia="Arial" w:hAnsi="Arial"/>
                <w:sz w:val="18"/>
                <w:szCs w:val="18"/>
                <w:color w:val="auto"/>
              </w:rPr>
              <w:t>(277)</w:t>
            </w:r>
          </w:p>
        </w:tc>
        <w:tc>
          <w:tcPr>
            <w:tcW w:w="340" w:type="dxa"/>
            <w:vAlign w:val="bottom"/>
          </w:tcPr>
          <w:p>
            <w:pPr>
              <w:spacing w:after="0"/>
              <w:rPr>
                <w:sz w:val="19"/>
                <w:szCs w:val="19"/>
                <w:color w:val="auto"/>
              </w:rPr>
            </w:pPr>
          </w:p>
        </w:tc>
        <w:tc>
          <w:tcPr>
            <w:tcW w:w="1180" w:type="dxa"/>
            <w:vAlign w:val="bottom"/>
            <w:gridSpan w:val="2"/>
          </w:tcPr>
          <w:p>
            <w:pPr>
              <w:jc w:val="right"/>
              <w:ind w:right="60"/>
              <w:spacing w:after="0"/>
              <w:rPr>
                <w:sz w:val="20"/>
                <w:szCs w:val="20"/>
                <w:color w:val="auto"/>
              </w:rPr>
            </w:pPr>
            <w:r>
              <w:rPr>
                <w:rFonts w:ascii="Arial" w:cs="Arial" w:eastAsia="Arial" w:hAnsi="Arial"/>
                <w:sz w:val="18"/>
                <w:szCs w:val="18"/>
                <w:color w:val="auto"/>
              </w:rPr>
              <w:t>(154)</w:t>
            </w:r>
          </w:p>
        </w:tc>
      </w:tr>
      <w:tr>
        <w:trPr>
          <w:trHeight w:val="230"/>
        </w:trPr>
        <w:tc>
          <w:tcPr>
            <w:tcW w:w="4800" w:type="dxa"/>
            <w:vAlign w:val="bottom"/>
            <w:shd w:val="clear" w:color="auto" w:fill="CFF0FC"/>
          </w:tcPr>
          <w:p>
            <w:pPr>
              <w:spacing w:after="0"/>
              <w:rPr>
                <w:sz w:val="20"/>
                <w:szCs w:val="20"/>
                <w:color w:val="auto"/>
              </w:rPr>
            </w:pPr>
            <w:r>
              <w:rPr>
                <w:rFonts w:ascii="Arial" w:cs="Arial" w:eastAsia="Arial" w:hAnsi="Arial"/>
                <w:sz w:val="18"/>
                <w:szCs w:val="18"/>
                <w:color w:val="auto"/>
              </w:rPr>
              <w:t>Accounts receivable</w:t>
            </w:r>
          </w:p>
        </w:tc>
        <w:tc>
          <w:tcPr>
            <w:tcW w:w="18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20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(18,884)</w:t>
            </w:r>
          </w:p>
        </w:tc>
        <w:tc>
          <w:tcPr>
            <w:tcW w:w="1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1,524</w:t>
            </w:r>
          </w:p>
        </w:tc>
        <w:tc>
          <w:tcPr>
            <w:tcW w:w="34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18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(17,360)</w:t>
            </w:r>
          </w:p>
        </w:tc>
      </w:tr>
      <w:tr>
        <w:trPr>
          <w:trHeight w:val="230"/>
        </w:trPr>
        <w:tc>
          <w:tcPr>
            <w:tcW w:w="4800" w:type="dxa"/>
            <w:vAlign w:val="bottom"/>
          </w:tcPr>
          <w:p>
            <w:pPr>
              <w:spacing w:after="0"/>
              <w:rPr>
                <w:sz w:val="20"/>
                <w:szCs w:val="20"/>
                <w:color w:val="auto"/>
              </w:rPr>
            </w:pPr>
            <w:r>
              <w:rPr>
                <w:rFonts w:ascii="Arial" w:cs="Arial" w:eastAsia="Arial" w:hAnsi="Arial"/>
                <w:sz w:val="18"/>
                <w:szCs w:val="18"/>
                <w:color w:val="auto"/>
              </w:rPr>
              <w:t>Net cash provided by operating activities</w:t>
            </w:r>
          </w:p>
        </w:tc>
        <w:tc>
          <w:tcPr>
            <w:tcW w:w="2020" w:type="dxa"/>
            <w:vAlign w:val="bottom"/>
            <w:gridSpan w:val="2"/>
          </w:tcPr>
          <w:p>
            <w:pPr>
              <w:jc w:val="right"/>
              <w:ind w:right="27"/>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140"/>
              <w:spacing w:after="0"/>
              <w:rPr>
                <w:sz w:val="20"/>
                <w:szCs w:val="20"/>
                <w:color w:val="auto"/>
              </w:rPr>
            </w:pPr>
            <w:r>
              <w:rPr>
                <w:rFonts w:ascii="Arial" w:cs="Arial" w:eastAsia="Arial" w:hAnsi="Arial"/>
                <w:sz w:val="18"/>
                <w:szCs w:val="18"/>
                <w:color w:val="auto"/>
              </w:rPr>
              <w:t>(4,078)</w:t>
            </w:r>
          </w:p>
        </w:tc>
        <w:tc>
          <w:tcPr>
            <w:tcW w:w="360" w:type="dxa"/>
            <w:vAlign w:val="bottom"/>
            <w:gridSpan w:val="2"/>
          </w:tcPr>
          <w:p>
            <w:pPr>
              <w:jc w:val="right"/>
              <w:ind w:right="47"/>
              <w:spacing w:after="0"/>
              <w:rPr>
                <w:sz w:val="20"/>
                <w:szCs w:val="20"/>
                <w:color w:val="auto"/>
              </w:rPr>
            </w:pPr>
            <w:r>
              <w:rPr>
                <w:rFonts w:ascii="Arial" w:cs="Arial" w:eastAsia="Arial" w:hAnsi="Arial"/>
                <w:sz w:val="18"/>
                <w:szCs w:val="18"/>
                <w:color w:val="auto"/>
              </w:rPr>
              <w:t>$</w:t>
            </w:r>
          </w:p>
        </w:tc>
        <w:tc>
          <w:tcPr>
            <w:tcW w:w="134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180" w:type="dxa"/>
            <w:vAlign w:val="bottom"/>
            <w:gridSpan w:val="2"/>
          </w:tcPr>
          <w:p>
            <w:pPr>
              <w:jc w:val="right"/>
              <w:ind w:right="60"/>
              <w:spacing w:after="0"/>
              <w:rPr>
                <w:sz w:val="20"/>
                <w:szCs w:val="20"/>
                <w:color w:val="auto"/>
              </w:rPr>
            </w:pPr>
            <w:r>
              <w:rPr>
                <w:rFonts w:ascii="Arial" w:cs="Arial" w:eastAsia="Arial" w:hAnsi="Arial"/>
                <w:sz w:val="18"/>
                <w:szCs w:val="18"/>
                <w:color w:val="auto"/>
              </w:rPr>
              <w:t>(4,078)</w:t>
            </w:r>
          </w:p>
        </w:tc>
      </w:tr>
    </w:tbl>
    <w:p>
      <w:pPr>
        <w:spacing w:after="0" w:line="2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Leases</w:t>
      </w:r>
    </w:p>
    <w:p>
      <w:pPr>
        <w:spacing w:after="0" w:line="81" w:lineRule="exact"/>
        <w:rPr>
          <w:sz w:val="20"/>
          <w:szCs w:val="20"/>
          <w:color w:val="auto"/>
        </w:rPr>
      </w:pPr>
    </w:p>
    <w:p>
      <w:pPr>
        <w:ind w:right="40" w:firstLine="476"/>
        <w:spacing w:after="0" w:line="275" w:lineRule="auto"/>
        <w:rPr>
          <w:sz w:val="20"/>
          <w:szCs w:val="20"/>
          <w:color w:val="auto"/>
        </w:rPr>
      </w:pPr>
      <w:r>
        <w:rPr>
          <w:rFonts w:ascii="Arial" w:cs="Arial" w:eastAsia="Arial" w:hAnsi="Arial"/>
          <w:sz w:val="17"/>
          <w:szCs w:val="17"/>
          <w:color w:val="auto"/>
        </w:rPr>
        <w:t>We have historically entered into operating leases for local branches, our corporate headquarters and certain equipment. The Company’s current leases have expiration dates through 2026. Certain of our arrangements have free rent periods and/or escalating rent payment provisions. We recognize rent expense on a straight-line basis over the lease term. Certain of the Company’s leases include termination options and renewal options for periods ranging from one to five years. Because we are not reasonably certain to exercise these renewal options, the options generally are not considered in determining the lease term, and payments associated with the option years are excluded from lease payments.</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223520</wp:posOffset>
            </wp:positionV>
            <wp:extent cx="71323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91" w:lineRule="exact"/>
        <w:rPr>
          <w:sz w:val="20"/>
          <w:szCs w:val="20"/>
          <w:color w:val="auto"/>
        </w:rPr>
      </w:pPr>
    </w:p>
    <w:p>
      <w:pPr>
        <w:jc w:val="both"/>
        <w:ind w:right="520" w:firstLine="476"/>
        <w:spacing w:after="0" w:line="263" w:lineRule="auto"/>
        <w:rPr>
          <w:sz w:val="20"/>
          <w:szCs w:val="20"/>
          <w:color w:val="auto"/>
        </w:rPr>
      </w:pPr>
      <w:r>
        <w:rPr>
          <w:rFonts w:ascii="Arial" w:cs="Arial" w:eastAsia="Arial" w:hAnsi="Arial"/>
          <w:sz w:val="18"/>
          <w:szCs w:val="18"/>
          <w:color w:val="auto"/>
        </w:rPr>
        <w:t>When available, we use the rate implicit in the lease to discount lease payments to present value; however, most of our leases do not provide a readily determinable implicit rate. Therefore, we must estimate our incremental borrowing rate to discount the lease payments based on information available at lease commencement.</w:t>
      </w:r>
    </w:p>
    <w:p>
      <w:pPr>
        <w:spacing w:after="0" w:line="130" w:lineRule="exact"/>
        <w:rPr>
          <w:sz w:val="20"/>
          <w:szCs w:val="20"/>
          <w:color w:val="auto"/>
        </w:rPr>
      </w:pPr>
    </w:p>
    <w:p>
      <w:pPr>
        <w:ind w:right="380" w:firstLine="476"/>
        <w:spacing w:after="0" w:line="277" w:lineRule="auto"/>
        <w:rPr>
          <w:sz w:val="20"/>
          <w:szCs w:val="20"/>
          <w:color w:val="auto"/>
        </w:rPr>
      </w:pPr>
      <w:r>
        <w:rPr>
          <w:rFonts w:ascii="Arial" w:cs="Arial" w:eastAsia="Arial" w:hAnsi="Arial"/>
          <w:sz w:val="18"/>
          <w:szCs w:val="18"/>
          <w:color w:val="auto"/>
        </w:rPr>
        <w:t>Amounts reported in the Company’s Unaudited Condensed Consolidated Balance Sheets as of June 30, 2020 and Audited Consolidated Balance Sheets as of December 31, 2019 for our operating leases were as follows:</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72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780" w:type="dxa"/>
            <w:vAlign w:val="bottom"/>
            <w:gridSpan w:val="2"/>
          </w:tcPr>
          <w:p>
            <w:pPr>
              <w:ind w:left="200"/>
              <w:spacing w:after="0"/>
              <w:rPr>
                <w:sz w:val="20"/>
                <w:szCs w:val="20"/>
                <w:color w:val="auto"/>
              </w:rPr>
            </w:pPr>
            <w:r>
              <w:rPr>
                <w:rFonts w:ascii="Arial" w:cs="Arial" w:eastAsia="Arial" w:hAnsi="Arial"/>
                <w:sz w:val="14"/>
                <w:szCs w:val="14"/>
                <w:b w:val="1"/>
                <w:bCs w:val="1"/>
                <w:color w:val="auto"/>
              </w:rPr>
              <w:t>June 30, 2020</w:t>
            </w:r>
          </w:p>
        </w:tc>
        <w:tc>
          <w:tcPr>
            <w:tcW w:w="200" w:type="dxa"/>
            <w:vAlign w:val="bottom"/>
          </w:tcPr>
          <w:p>
            <w:pPr>
              <w:spacing w:after="0"/>
              <w:rPr>
                <w:sz w:val="14"/>
                <w:szCs w:val="14"/>
                <w:color w:val="auto"/>
              </w:rPr>
            </w:pPr>
          </w:p>
        </w:tc>
        <w:tc>
          <w:tcPr>
            <w:tcW w:w="1740" w:type="dxa"/>
            <w:vAlign w:val="bottom"/>
            <w:gridSpan w:val="2"/>
          </w:tcPr>
          <w:p>
            <w:pPr>
              <w:ind w:left="120"/>
              <w:spacing w:after="0"/>
              <w:rPr>
                <w:sz w:val="20"/>
                <w:szCs w:val="20"/>
                <w:color w:val="auto"/>
              </w:rPr>
            </w:pPr>
            <w:r>
              <w:rPr>
                <w:rFonts w:ascii="Arial" w:cs="Arial" w:eastAsia="Arial" w:hAnsi="Arial"/>
                <w:sz w:val="14"/>
                <w:szCs w:val="14"/>
                <w:b w:val="1"/>
                <w:bCs w:val="1"/>
                <w:color w:val="auto"/>
              </w:rPr>
              <w:t>December 31, 2019</w:t>
            </w:r>
          </w:p>
        </w:tc>
      </w:tr>
      <w:tr>
        <w:trPr>
          <w:trHeight w:val="156"/>
        </w:trPr>
        <w:tc>
          <w:tcPr>
            <w:tcW w:w="7240" w:type="dxa"/>
            <w:vAlign w:val="bottom"/>
            <w:tcBorders>
              <w:bottom w:val="single" w:sz="8" w:color="CFF0FC"/>
            </w:tcBorders>
          </w:tcPr>
          <w:p>
            <w:pPr>
              <w:spacing w:after="0"/>
              <w:rPr>
                <w:sz w:val="13"/>
                <w:szCs w:val="13"/>
                <w:color w:val="auto"/>
              </w:rPr>
            </w:pPr>
          </w:p>
        </w:tc>
        <w:tc>
          <w:tcPr>
            <w:tcW w:w="280" w:type="dxa"/>
            <w:vAlign w:val="bottom"/>
            <w:tcBorders>
              <w:top w:val="single" w:sz="8" w:color="auto"/>
              <w:bottom w:val="single" w:sz="8" w:color="auto"/>
            </w:tcBorders>
          </w:tcPr>
          <w:p>
            <w:pPr>
              <w:spacing w:after="0"/>
              <w:rPr>
                <w:sz w:val="13"/>
                <w:szCs w:val="13"/>
                <w:color w:val="auto"/>
              </w:rPr>
            </w:pPr>
          </w:p>
        </w:tc>
        <w:tc>
          <w:tcPr>
            <w:tcW w:w="3600" w:type="dxa"/>
            <w:vAlign w:val="bottom"/>
            <w:tcBorders>
              <w:top w:val="single" w:sz="8" w:color="auto"/>
              <w:bottom w:val="single" w:sz="8" w:color="auto"/>
            </w:tcBorders>
            <w:gridSpan w:val="4"/>
          </w:tcPr>
          <w:p>
            <w:pPr>
              <w:jc w:val="right"/>
              <w:ind w:right="1114"/>
              <w:spacing w:after="0" w:line="155" w:lineRule="exact"/>
              <w:rPr>
                <w:sz w:val="20"/>
                <w:szCs w:val="20"/>
                <w:color w:val="auto"/>
              </w:rPr>
            </w:pPr>
            <w:r>
              <w:rPr>
                <w:rFonts w:ascii="Arial" w:cs="Arial" w:eastAsia="Arial" w:hAnsi="Arial"/>
                <w:sz w:val="14"/>
                <w:szCs w:val="14"/>
                <w:b w:val="1"/>
                <w:bCs w:val="1"/>
                <w:color w:val="auto"/>
              </w:rPr>
              <w:t>(Amounts in Thousands)</w:t>
            </w:r>
          </w:p>
        </w:tc>
        <w:tc>
          <w:tcPr>
            <w:tcW w:w="120" w:type="dxa"/>
            <w:vAlign w:val="bottom"/>
            <w:tcBorders>
              <w:bottom w:val="single" w:sz="8" w:color="CFF0FC"/>
            </w:tcBorders>
          </w:tcPr>
          <w:p>
            <w:pPr>
              <w:spacing w:after="0"/>
              <w:rPr>
                <w:sz w:val="13"/>
                <w:szCs w:val="13"/>
                <w:color w:val="auto"/>
              </w:rPr>
            </w:pPr>
          </w:p>
        </w:tc>
      </w:tr>
      <w:tr>
        <w:trPr>
          <w:trHeight w:val="223"/>
        </w:trPr>
        <w:tc>
          <w:tcPr>
            <w:tcW w:w="7240" w:type="dxa"/>
            <w:vAlign w:val="bottom"/>
            <w:shd w:val="clear" w:color="auto" w:fill="CFF0FC"/>
          </w:tcPr>
          <w:p>
            <w:pPr>
              <w:spacing w:after="0"/>
              <w:rPr>
                <w:sz w:val="20"/>
                <w:szCs w:val="20"/>
                <w:color w:val="auto"/>
              </w:rPr>
            </w:pPr>
            <w:r>
              <w:rPr>
                <w:rFonts w:ascii="Arial" w:cs="Arial" w:eastAsia="Arial" w:hAnsi="Arial"/>
                <w:sz w:val="18"/>
                <w:szCs w:val="18"/>
                <w:color w:val="auto"/>
              </w:rPr>
              <w:t>Operating lease assets, net</w:t>
            </w:r>
          </w:p>
        </w:tc>
        <w:tc>
          <w:tcPr>
            <w:tcW w:w="280" w:type="dxa"/>
            <w:vAlign w:val="bottom"/>
            <w:shd w:val="clear" w:color="auto" w:fill="CFF0FC"/>
          </w:tcPr>
          <w:p>
            <w:pPr>
              <w:jc w:val="right"/>
              <w:ind w:right="127"/>
              <w:spacing w:after="0"/>
              <w:rPr>
                <w:sz w:val="20"/>
                <w:szCs w:val="20"/>
                <w:color w:val="auto"/>
              </w:rPr>
            </w:pPr>
            <w:r>
              <w:rPr>
                <w:rFonts w:ascii="Arial" w:cs="Arial" w:eastAsia="Arial" w:hAnsi="Arial"/>
                <w:sz w:val="15"/>
                <w:szCs w:val="15"/>
                <w:color w:val="auto"/>
                <w:w w:val="71"/>
              </w:rPr>
              <w:t>$</w:t>
            </w:r>
          </w:p>
        </w:tc>
        <w:tc>
          <w:tcPr>
            <w:tcW w:w="15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19,825</w:t>
            </w:r>
          </w:p>
        </w:tc>
        <w:tc>
          <w:tcPr>
            <w:tcW w:w="260" w:type="dxa"/>
            <w:vAlign w:val="bottom"/>
            <w:shd w:val="clear" w:color="auto" w:fill="CFF0FC"/>
          </w:tcPr>
          <w:p>
            <w:pPr>
              <w:spacing w:after="0"/>
              <w:rPr>
                <w:sz w:val="19"/>
                <w:szCs w:val="19"/>
                <w:color w:val="auto"/>
              </w:rPr>
            </w:pPr>
          </w:p>
        </w:tc>
        <w:tc>
          <w:tcPr>
            <w:tcW w:w="200" w:type="dxa"/>
            <w:vAlign w:val="bottom"/>
            <w:shd w:val="clear" w:color="auto" w:fill="CFF0FC"/>
          </w:tcPr>
          <w:p>
            <w:pPr>
              <w:jc w:val="right"/>
              <w:ind w:right="47"/>
              <w:spacing w:after="0"/>
              <w:rPr>
                <w:sz w:val="20"/>
                <w:szCs w:val="20"/>
                <w:color w:val="auto"/>
              </w:rPr>
            </w:pPr>
            <w:r>
              <w:rPr>
                <w:rFonts w:ascii="Arial" w:cs="Arial" w:eastAsia="Arial" w:hAnsi="Arial"/>
                <w:sz w:val="15"/>
                <w:szCs w:val="15"/>
                <w:color w:val="auto"/>
                <w:w w:val="71"/>
              </w:rPr>
              <w:t>$</w:t>
            </w:r>
          </w:p>
        </w:tc>
        <w:tc>
          <w:tcPr>
            <w:tcW w:w="1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21,111</w:t>
            </w:r>
          </w:p>
        </w:tc>
        <w:tc>
          <w:tcPr>
            <w:tcW w:w="120" w:type="dxa"/>
            <w:vAlign w:val="bottom"/>
            <w:shd w:val="clear" w:color="auto" w:fill="CFF0FC"/>
          </w:tcPr>
          <w:p>
            <w:pPr>
              <w:spacing w:after="0"/>
              <w:rPr>
                <w:sz w:val="19"/>
                <w:szCs w:val="19"/>
                <w:color w:val="auto"/>
              </w:rPr>
            </w:pPr>
          </w:p>
        </w:tc>
      </w:tr>
      <w:tr>
        <w:trPr>
          <w:trHeight w:val="230"/>
        </w:trPr>
        <w:tc>
          <w:tcPr>
            <w:tcW w:w="72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2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29"/>
        </w:trPr>
        <w:tc>
          <w:tcPr>
            <w:tcW w:w="7240" w:type="dxa"/>
            <w:vAlign w:val="bottom"/>
            <w:shd w:val="clear" w:color="auto" w:fill="CFF0FC"/>
          </w:tcPr>
          <w:p>
            <w:pPr>
              <w:spacing w:after="0"/>
              <w:rPr>
                <w:sz w:val="20"/>
                <w:szCs w:val="20"/>
                <w:color w:val="auto"/>
              </w:rPr>
            </w:pPr>
            <w:r>
              <w:rPr>
                <w:rFonts w:ascii="Arial" w:cs="Arial" w:eastAsia="Arial" w:hAnsi="Arial"/>
                <w:sz w:val="18"/>
                <w:szCs w:val="18"/>
                <w:color w:val="auto"/>
              </w:rPr>
              <w:t>Short-term operating lease liabilities (in accrued expenses)</w:t>
            </w:r>
          </w:p>
        </w:tc>
        <w:tc>
          <w:tcPr>
            <w:tcW w:w="280" w:type="dxa"/>
            <w:vAlign w:val="bottom"/>
            <w:shd w:val="clear" w:color="auto" w:fill="CFF0FC"/>
          </w:tcPr>
          <w:p>
            <w:pPr>
              <w:spacing w:after="0"/>
              <w:rPr>
                <w:sz w:val="19"/>
                <w:szCs w:val="19"/>
                <w:color w:val="auto"/>
              </w:rPr>
            </w:pPr>
          </w:p>
        </w:tc>
        <w:tc>
          <w:tcPr>
            <w:tcW w:w="15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7,402</w:t>
            </w:r>
          </w:p>
        </w:tc>
        <w:tc>
          <w:tcPr>
            <w:tcW w:w="2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7,234</w:t>
            </w:r>
          </w:p>
        </w:tc>
        <w:tc>
          <w:tcPr>
            <w:tcW w:w="120" w:type="dxa"/>
            <w:vAlign w:val="bottom"/>
            <w:shd w:val="clear" w:color="auto" w:fill="CFF0FC"/>
          </w:tcPr>
          <w:p>
            <w:pPr>
              <w:spacing w:after="0"/>
              <w:rPr>
                <w:sz w:val="19"/>
                <w:szCs w:val="19"/>
                <w:color w:val="auto"/>
              </w:rPr>
            </w:pPr>
          </w:p>
        </w:tc>
      </w:tr>
      <w:tr>
        <w:trPr>
          <w:trHeight w:val="229"/>
        </w:trPr>
        <w:tc>
          <w:tcPr>
            <w:tcW w:w="724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Long-term operating lease liabilities</w:t>
            </w:r>
          </w:p>
        </w:tc>
        <w:tc>
          <w:tcPr>
            <w:tcW w:w="28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12,672</w:t>
            </w:r>
          </w:p>
        </w:tc>
        <w:tc>
          <w:tcPr>
            <w:tcW w:w="260" w:type="dxa"/>
            <w:vAlign w:val="bottom"/>
            <w:tcBorders>
              <w:bottom w:val="single" w:sz="8" w:color="CFF0FC"/>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14,301</w:t>
            </w:r>
          </w:p>
        </w:tc>
        <w:tc>
          <w:tcPr>
            <w:tcW w:w="120" w:type="dxa"/>
            <w:vAlign w:val="bottom"/>
            <w:tcBorders>
              <w:bottom w:val="single" w:sz="8" w:color="CFF0FC"/>
            </w:tcBorders>
          </w:tcPr>
          <w:p>
            <w:pPr>
              <w:spacing w:after="0"/>
              <w:rPr>
                <w:sz w:val="19"/>
                <w:szCs w:val="19"/>
                <w:color w:val="auto"/>
              </w:rPr>
            </w:pPr>
          </w:p>
        </w:tc>
      </w:tr>
      <w:tr>
        <w:trPr>
          <w:trHeight w:val="223"/>
        </w:trPr>
        <w:tc>
          <w:tcPr>
            <w:tcW w:w="724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 operating lease liabilities</w:t>
            </w:r>
          </w:p>
        </w:tc>
        <w:tc>
          <w:tcPr>
            <w:tcW w:w="280" w:type="dxa"/>
            <w:vAlign w:val="bottom"/>
            <w:tcBorders>
              <w:bottom w:val="single" w:sz="8" w:color="auto"/>
            </w:tcBorders>
            <w:shd w:val="clear" w:color="auto" w:fill="CFF0FC"/>
          </w:tcPr>
          <w:p>
            <w:pPr>
              <w:jc w:val="right"/>
              <w:ind w:right="127"/>
              <w:spacing w:after="0"/>
              <w:rPr>
                <w:sz w:val="20"/>
                <w:szCs w:val="20"/>
                <w:color w:val="auto"/>
              </w:rPr>
            </w:pPr>
            <w:r>
              <w:rPr>
                <w:rFonts w:ascii="Arial" w:cs="Arial" w:eastAsia="Arial" w:hAnsi="Arial"/>
                <w:sz w:val="15"/>
                <w:szCs w:val="15"/>
                <w:color w:val="auto"/>
                <w:w w:val="71"/>
              </w:rPr>
              <w:t>$</w:t>
            </w:r>
          </w:p>
        </w:tc>
        <w:tc>
          <w:tcPr>
            <w:tcW w:w="15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20,074</w:t>
            </w:r>
          </w:p>
        </w:tc>
        <w:tc>
          <w:tcPr>
            <w:tcW w:w="260" w:type="dxa"/>
            <w:vAlign w:val="bottom"/>
            <w:tcBorders>
              <w:bottom w:val="single" w:sz="8" w:color="CFF0FC"/>
            </w:tcBorders>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jc w:val="right"/>
              <w:ind w:right="47"/>
              <w:spacing w:after="0"/>
              <w:rPr>
                <w:sz w:val="20"/>
                <w:szCs w:val="20"/>
                <w:color w:val="auto"/>
              </w:rPr>
            </w:pPr>
            <w:r>
              <w:rPr>
                <w:rFonts w:ascii="Arial" w:cs="Arial" w:eastAsia="Arial" w:hAnsi="Arial"/>
                <w:sz w:val="15"/>
                <w:szCs w:val="15"/>
                <w:color w:val="auto"/>
                <w:w w:val="71"/>
              </w:rPr>
              <w:t>$</w:t>
            </w:r>
          </w:p>
        </w:tc>
        <w:tc>
          <w:tcPr>
            <w:tcW w:w="16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21,535</w:t>
            </w:r>
          </w:p>
        </w:tc>
        <w:tc>
          <w:tcPr>
            <w:tcW w:w="120" w:type="dxa"/>
            <w:vAlign w:val="bottom"/>
            <w:tcBorders>
              <w:bottom w:val="single" w:sz="8" w:color="CFF0FC"/>
            </w:tcBorders>
            <w:shd w:val="clear" w:color="auto" w:fill="CFF0FC"/>
          </w:tcPr>
          <w:p>
            <w:pPr>
              <w:spacing w:after="0"/>
              <w:rPr>
                <w:sz w:val="19"/>
                <w:szCs w:val="19"/>
                <w:color w:val="auto"/>
              </w:rPr>
            </w:pPr>
          </w:p>
        </w:tc>
      </w:tr>
      <w:tr>
        <w:trPr>
          <w:trHeight w:val="20"/>
        </w:trPr>
        <w:tc>
          <w:tcPr>
            <w:tcW w:w="72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Lease Costs</w:t>
      </w:r>
    </w:p>
    <w:p>
      <w:pPr>
        <w:spacing w:after="0" w:line="77" w:lineRule="exact"/>
        <w:rPr>
          <w:sz w:val="20"/>
          <w:szCs w:val="20"/>
          <w:color w:val="auto"/>
        </w:rPr>
      </w:pPr>
    </w:p>
    <w:p>
      <w:pPr>
        <w:ind w:left="480"/>
        <w:spacing w:after="0"/>
        <w:rPr>
          <w:sz w:val="20"/>
          <w:szCs w:val="20"/>
          <w:color w:val="auto"/>
        </w:rPr>
      </w:pPr>
      <w:r>
        <w:rPr>
          <w:rFonts w:ascii="Arial" w:cs="Arial" w:eastAsia="Arial" w:hAnsi="Arial"/>
          <w:sz w:val="16"/>
          <w:szCs w:val="16"/>
          <w:color w:val="auto"/>
        </w:rPr>
        <w:t>Components of lease cost were reported in general and administrative expenses in the Company’s Unaudited Condensed Consolidated Statements of</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Income as follows:</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2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880" w:type="dxa"/>
            <w:vAlign w:val="bottom"/>
            <w:gridSpan w:val="5"/>
          </w:tcPr>
          <w:p>
            <w:pPr>
              <w:jc w:val="center"/>
              <w:ind w:right="380"/>
              <w:spacing w:after="0"/>
              <w:rPr>
                <w:sz w:val="20"/>
                <w:szCs w:val="20"/>
                <w:color w:val="auto"/>
              </w:rPr>
            </w:pPr>
            <w:r>
              <w:rPr>
                <w:rFonts w:ascii="Arial" w:cs="Arial" w:eastAsia="Arial" w:hAnsi="Arial"/>
                <w:sz w:val="14"/>
                <w:szCs w:val="14"/>
                <w:b w:val="1"/>
                <w:bCs w:val="1"/>
                <w:color w:val="auto"/>
                <w:w w:val="93"/>
              </w:rPr>
              <w:t>For the Three Months Ended June 30,</w:t>
            </w:r>
          </w:p>
        </w:tc>
        <w:tc>
          <w:tcPr>
            <w:tcW w:w="220" w:type="dxa"/>
            <w:vAlign w:val="bottom"/>
          </w:tcPr>
          <w:p>
            <w:pPr>
              <w:spacing w:after="0"/>
              <w:rPr>
                <w:sz w:val="14"/>
                <w:szCs w:val="14"/>
                <w:color w:val="auto"/>
              </w:rPr>
            </w:pPr>
          </w:p>
        </w:tc>
        <w:tc>
          <w:tcPr>
            <w:tcW w:w="2720" w:type="dxa"/>
            <w:vAlign w:val="bottom"/>
            <w:gridSpan w:val="9"/>
          </w:tcPr>
          <w:p>
            <w:pPr>
              <w:jc w:val="center"/>
              <w:ind w:right="360"/>
              <w:spacing w:after="0"/>
              <w:rPr>
                <w:sz w:val="20"/>
                <w:szCs w:val="20"/>
                <w:color w:val="auto"/>
              </w:rPr>
            </w:pPr>
            <w:r>
              <w:rPr>
                <w:rFonts w:ascii="Arial" w:cs="Arial" w:eastAsia="Arial" w:hAnsi="Arial"/>
                <w:sz w:val="14"/>
                <w:szCs w:val="14"/>
                <w:b w:val="1"/>
                <w:bCs w:val="1"/>
                <w:color w:val="auto"/>
                <w:w w:val="92"/>
              </w:rPr>
              <w:t>For the Six Months Ended June 30,</w:t>
            </w:r>
          </w:p>
        </w:tc>
        <w:tc>
          <w:tcPr>
            <w:tcW w:w="0" w:type="dxa"/>
            <w:vAlign w:val="bottom"/>
          </w:tcPr>
          <w:p>
            <w:pPr>
              <w:spacing w:after="0"/>
              <w:rPr>
                <w:sz w:val="1"/>
                <w:szCs w:val="1"/>
                <w:color w:val="auto"/>
              </w:rPr>
            </w:pPr>
          </w:p>
        </w:tc>
      </w:tr>
      <w:tr>
        <w:trPr>
          <w:trHeight w:val="171"/>
        </w:trPr>
        <w:tc>
          <w:tcPr>
            <w:tcW w:w="52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880" w:type="dxa"/>
            <w:vAlign w:val="bottom"/>
            <w:gridSpan w:val="5"/>
          </w:tcPr>
          <w:p>
            <w:pPr>
              <w:jc w:val="center"/>
              <w:ind w:right="400"/>
              <w:spacing w:after="0"/>
              <w:rPr>
                <w:sz w:val="20"/>
                <w:szCs w:val="20"/>
                <w:color w:val="auto"/>
              </w:rPr>
            </w:pPr>
            <w:r>
              <w:rPr>
                <w:rFonts w:ascii="Arial" w:cs="Arial" w:eastAsia="Arial" w:hAnsi="Arial"/>
                <w:sz w:val="14"/>
                <w:szCs w:val="14"/>
                <w:b w:val="1"/>
                <w:bCs w:val="1"/>
                <w:color w:val="auto"/>
                <w:w w:val="92"/>
              </w:rPr>
              <w:t>(Amounts in Thousands)</w:t>
            </w:r>
          </w:p>
        </w:tc>
        <w:tc>
          <w:tcPr>
            <w:tcW w:w="2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300" w:type="dxa"/>
            <w:vAlign w:val="bottom"/>
            <w:gridSpan w:val="7"/>
          </w:tcPr>
          <w:p>
            <w:pPr>
              <w:jc w:val="center"/>
              <w:ind w:right="780"/>
              <w:spacing w:after="0"/>
              <w:rPr>
                <w:sz w:val="20"/>
                <w:szCs w:val="20"/>
                <w:color w:val="auto"/>
              </w:rPr>
            </w:pPr>
            <w:r>
              <w:rPr>
                <w:rFonts w:ascii="Arial" w:cs="Arial" w:eastAsia="Arial" w:hAnsi="Arial"/>
                <w:sz w:val="14"/>
                <w:szCs w:val="14"/>
                <w:b w:val="1"/>
                <w:bCs w:val="1"/>
                <w:color w:val="auto"/>
                <w:w w:val="92"/>
              </w:rPr>
              <w:t>(Amounts in Thousands)</w:t>
            </w:r>
          </w:p>
        </w:tc>
        <w:tc>
          <w:tcPr>
            <w:tcW w:w="0" w:type="dxa"/>
            <w:vAlign w:val="bottom"/>
          </w:tcPr>
          <w:p>
            <w:pPr>
              <w:spacing w:after="0"/>
              <w:rPr>
                <w:sz w:val="1"/>
                <w:szCs w:val="1"/>
                <w:color w:val="auto"/>
              </w:rPr>
            </w:pPr>
          </w:p>
        </w:tc>
      </w:tr>
      <w:tr>
        <w:trPr>
          <w:trHeight w:val="155"/>
        </w:trPr>
        <w:tc>
          <w:tcPr>
            <w:tcW w:w="5280" w:type="dxa"/>
            <w:vAlign w:val="bottom"/>
            <w:tcBorders>
              <w:bottom w:val="single" w:sz="8" w:color="CFF0FC"/>
            </w:tcBorders>
          </w:tcPr>
          <w:p>
            <w:pPr>
              <w:spacing w:after="0"/>
              <w:rPr>
                <w:sz w:val="13"/>
                <w:szCs w:val="13"/>
                <w:color w:val="auto"/>
              </w:rPr>
            </w:pPr>
          </w:p>
        </w:tc>
        <w:tc>
          <w:tcPr>
            <w:tcW w:w="140" w:type="dxa"/>
            <w:vAlign w:val="bottom"/>
            <w:tcBorders>
              <w:top w:val="single" w:sz="8" w:color="auto"/>
              <w:bottom w:val="single" w:sz="8" w:color="auto"/>
            </w:tcBorders>
          </w:tcPr>
          <w:p>
            <w:pPr>
              <w:spacing w:after="0"/>
              <w:rPr>
                <w:sz w:val="13"/>
                <w:szCs w:val="13"/>
                <w:color w:val="auto"/>
              </w:rPr>
            </w:pPr>
          </w:p>
        </w:tc>
        <w:tc>
          <w:tcPr>
            <w:tcW w:w="1140" w:type="dxa"/>
            <w:vAlign w:val="bottom"/>
            <w:tcBorders>
              <w:top w:val="single" w:sz="8" w:color="auto"/>
              <w:bottom w:val="single" w:sz="8" w:color="auto"/>
            </w:tcBorders>
          </w:tcPr>
          <w:p>
            <w:pPr>
              <w:jc w:val="right"/>
              <w:ind w:right="419"/>
              <w:spacing w:after="0" w:line="155" w:lineRule="exact"/>
              <w:rPr>
                <w:sz w:val="20"/>
                <w:szCs w:val="20"/>
                <w:color w:val="auto"/>
              </w:rPr>
            </w:pPr>
            <w:r>
              <w:rPr>
                <w:rFonts w:ascii="Arial" w:cs="Arial" w:eastAsia="Arial" w:hAnsi="Arial"/>
                <w:sz w:val="14"/>
                <w:szCs w:val="14"/>
                <w:b w:val="1"/>
                <w:bCs w:val="1"/>
                <w:color w:val="auto"/>
              </w:rPr>
              <w:t>2020</w:t>
            </w:r>
          </w:p>
        </w:tc>
        <w:tc>
          <w:tcPr>
            <w:tcW w:w="220" w:type="dxa"/>
            <w:vAlign w:val="bottom"/>
            <w:tcBorders>
              <w:top w:val="single" w:sz="8" w:color="auto"/>
              <w:bottom w:val="single" w:sz="8" w:color="CFF0FC"/>
            </w:tcBorders>
          </w:tcPr>
          <w:p>
            <w:pPr>
              <w:spacing w:after="0"/>
              <w:rPr>
                <w:sz w:val="13"/>
                <w:szCs w:val="13"/>
                <w:color w:val="auto"/>
              </w:rPr>
            </w:pPr>
          </w:p>
        </w:tc>
        <w:tc>
          <w:tcPr>
            <w:tcW w:w="360" w:type="dxa"/>
            <w:vAlign w:val="bottom"/>
            <w:tcBorders>
              <w:top w:val="single" w:sz="8" w:color="auto"/>
              <w:bottom w:val="single" w:sz="8" w:color="auto"/>
            </w:tcBorders>
          </w:tcPr>
          <w:p>
            <w:pPr>
              <w:spacing w:after="0"/>
              <w:rPr>
                <w:sz w:val="13"/>
                <w:szCs w:val="13"/>
                <w:color w:val="auto"/>
              </w:rPr>
            </w:pPr>
          </w:p>
        </w:tc>
        <w:tc>
          <w:tcPr>
            <w:tcW w:w="920" w:type="dxa"/>
            <w:vAlign w:val="bottom"/>
            <w:tcBorders>
              <w:top w:val="single" w:sz="8" w:color="auto"/>
              <w:bottom w:val="single" w:sz="8" w:color="auto"/>
            </w:tcBorders>
          </w:tcPr>
          <w:p>
            <w:pPr>
              <w:jc w:val="right"/>
              <w:ind w:right="417"/>
              <w:spacing w:after="0" w:line="155" w:lineRule="exact"/>
              <w:rPr>
                <w:sz w:val="20"/>
                <w:szCs w:val="20"/>
                <w:color w:val="auto"/>
              </w:rPr>
            </w:pPr>
            <w:r>
              <w:rPr>
                <w:rFonts w:ascii="Arial" w:cs="Arial" w:eastAsia="Arial" w:hAnsi="Arial"/>
                <w:sz w:val="14"/>
                <w:szCs w:val="14"/>
                <w:b w:val="1"/>
                <w:bCs w:val="1"/>
                <w:color w:val="auto"/>
              </w:rPr>
              <w:t>2019</w:t>
            </w:r>
          </w:p>
        </w:tc>
        <w:tc>
          <w:tcPr>
            <w:tcW w:w="240" w:type="dxa"/>
            <w:vAlign w:val="bottom"/>
            <w:tcBorders>
              <w:bottom w:val="single" w:sz="8" w:color="CFF0FC"/>
            </w:tcBorders>
          </w:tcPr>
          <w:p>
            <w:pPr>
              <w:spacing w:after="0"/>
              <w:rPr>
                <w:sz w:val="13"/>
                <w:szCs w:val="13"/>
                <w:color w:val="auto"/>
              </w:rPr>
            </w:pPr>
          </w:p>
        </w:tc>
        <w:tc>
          <w:tcPr>
            <w:tcW w:w="220" w:type="dxa"/>
            <w:vAlign w:val="bottom"/>
            <w:tcBorders>
              <w:top w:val="single" w:sz="8" w:color="auto"/>
              <w:bottom w:val="single" w:sz="8" w:color="auto"/>
            </w:tcBorders>
          </w:tcPr>
          <w:p>
            <w:pPr>
              <w:spacing w:after="0"/>
              <w:rPr>
                <w:sz w:val="13"/>
                <w:szCs w:val="13"/>
                <w:color w:val="auto"/>
              </w:rPr>
            </w:pPr>
          </w:p>
        </w:tc>
        <w:tc>
          <w:tcPr>
            <w:tcW w:w="740" w:type="dxa"/>
            <w:vAlign w:val="bottom"/>
            <w:tcBorders>
              <w:top w:val="single" w:sz="8" w:color="auto"/>
              <w:bottom w:val="single" w:sz="8" w:color="auto"/>
            </w:tcBorders>
            <w:gridSpan w:val="3"/>
          </w:tcPr>
          <w:p>
            <w:pPr>
              <w:jc w:val="right"/>
              <w:ind w:right="108"/>
              <w:spacing w:after="0" w:line="155" w:lineRule="exact"/>
              <w:rPr>
                <w:sz w:val="20"/>
                <w:szCs w:val="20"/>
                <w:color w:val="auto"/>
              </w:rPr>
            </w:pPr>
            <w:r>
              <w:rPr>
                <w:rFonts w:ascii="Arial" w:cs="Arial" w:eastAsia="Arial" w:hAnsi="Arial"/>
                <w:sz w:val="14"/>
                <w:szCs w:val="14"/>
                <w:b w:val="1"/>
                <w:bCs w:val="1"/>
                <w:color w:val="auto"/>
              </w:rPr>
              <w:t>2020</w:t>
            </w:r>
          </w:p>
        </w:tc>
        <w:tc>
          <w:tcPr>
            <w:tcW w:w="340" w:type="dxa"/>
            <w:vAlign w:val="bottom"/>
            <w:tcBorders>
              <w:top w:val="single" w:sz="8" w:color="auto"/>
              <w:bottom w:val="single" w:sz="8" w:color="auto"/>
            </w:tcBorders>
          </w:tcPr>
          <w:p>
            <w:pPr>
              <w:spacing w:after="0"/>
              <w:rPr>
                <w:sz w:val="13"/>
                <w:szCs w:val="13"/>
                <w:color w:val="auto"/>
              </w:rPr>
            </w:pPr>
          </w:p>
        </w:tc>
        <w:tc>
          <w:tcPr>
            <w:tcW w:w="220" w:type="dxa"/>
            <w:vAlign w:val="bottom"/>
            <w:tcBorders>
              <w:top w:val="single" w:sz="8" w:color="auto"/>
              <w:bottom w:val="single" w:sz="8" w:color="CFF0FC"/>
            </w:tcBorders>
          </w:tcPr>
          <w:p>
            <w:pPr>
              <w:spacing w:after="0"/>
              <w:rPr>
                <w:sz w:val="13"/>
                <w:szCs w:val="13"/>
                <w:color w:val="auto"/>
              </w:rPr>
            </w:pPr>
          </w:p>
        </w:tc>
        <w:tc>
          <w:tcPr>
            <w:tcW w:w="300" w:type="dxa"/>
            <w:vAlign w:val="bottom"/>
            <w:tcBorders>
              <w:top w:val="single" w:sz="8" w:color="auto"/>
              <w:bottom w:val="single" w:sz="8" w:color="auto"/>
            </w:tcBorders>
          </w:tcPr>
          <w:p>
            <w:pPr>
              <w:spacing w:after="0"/>
              <w:rPr>
                <w:sz w:val="13"/>
                <w:szCs w:val="13"/>
                <w:color w:val="auto"/>
              </w:rPr>
            </w:pPr>
          </w:p>
        </w:tc>
        <w:tc>
          <w:tcPr>
            <w:tcW w:w="940" w:type="dxa"/>
            <w:vAlign w:val="bottom"/>
            <w:tcBorders>
              <w:top w:val="single" w:sz="8" w:color="auto"/>
              <w:bottom w:val="single" w:sz="8" w:color="auto"/>
            </w:tcBorders>
          </w:tcPr>
          <w:p>
            <w:pPr>
              <w:jc w:val="right"/>
              <w:ind w:right="371"/>
              <w:spacing w:after="0" w:line="155" w:lineRule="exact"/>
              <w:rPr>
                <w:sz w:val="20"/>
                <w:szCs w:val="20"/>
                <w:color w:val="auto"/>
              </w:rPr>
            </w:pPr>
            <w:r>
              <w:rPr>
                <w:rFonts w:ascii="Arial" w:cs="Arial" w:eastAsia="Arial" w:hAnsi="Arial"/>
                <w:sz w:val="14"/>
                <w:szCs w:val="14"/>
                <w:b w:val="1"/>
                <w:bCs w:val="1"/>
                <w:color w:val="auto"/>
              </w:rPr>
              <w:t>2019</w:t>
            </w:r>
          </w:p>
        </w:tc>
        <w:tc>
          <w:tcPr>
            <w:tcW w:w="60" w:type="dxa"/>
            <w:vAlign w:val="bottom"/>
            <w:tcBorders>
              <w:top w:val="single" w:sz="8" w:color="auto"/>
              <w:bottom w:val="single" w:sz="8" w:color="auto"/>
            </w:tcBorders>
          </w:tcPr>
          <w:p>
            <w:pPr>
              <w:spacing w:after="0"/>
              <w:rPr>
                <w:sz w:val="13"/>
                <w:szCs w:val="13"/>
                <w:color w:val="auto"/>
              </w:rPr>
            </w:pPr>
          </w:p>
        </w:tc>
        <w:tc>
          <w:tcPr>
            <w:tcW w:w="12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5280" w:type="dxa"/>
            <w:vAlign w:val="bottom"/>
            <w:shd w:val="clear" w:color="auto" w:fill="CFF0FC"/>
          </w:tcPr>
          <w:p>
            <w:pPr>
              <w:spacing w:after="0"/>
              <w:rPr>
                <w:sz w:val="20"/>
                <w:szCs w:val="20"/>
                <w:color w:val="auto"/>
              </w:rPr>
            </w:pPr>
            <w:r>
              <w:rPr>
                <w:rFonts w:ascii="Arial" w:cs="Arial" w:eastAsia="Arial" w:hAnsi="Arial"/>
                <w:sz w:val="18"/>
                <w:szCs w:val="18"/>
                <w:color w:val="auto"/>
              </w:rPr>
              <w:t>Operating lease costs</w:t>
            </w:r>
          </w:p>
        </w:tc>
        <w:tc>
          <w:tcPr>
            <w:tcW w:w="14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2,120</w:t>
            </w:r>
          </w:p>
        </w:tc>
        <w:tc>
          <w:tcPr>
            <w:tcW w:w="220" w:type="dxa"/>
            <w:vAlign w:val="bottom"/>
            <w:shd w:val="clear" w:color="auto" w:fill="CFF0FC"/>
          </w:tcPr>
          <w:p>
            <w:pPr>
              <w:spacing w:after="0"/>
              <w:rPr>
                <w:sz w:val="19"/>
                <w:szCs w:val="19"/>
                <w:color w:val="auto"/>
              </w:rPr>
            </w:pPr>
          </w:p>
        </w:tc>
        <w:tc>
          <w:tcPr>
            <w:tcW w:w="360" w:type="dxa"/>
            <w:vAlign w:val="bottom"/>
            <w:shd w:val="clear" w:color="auto" w:fill="CFF0FC"/>
          </w:tcPr>
          <w:p>
            <w:pPr>
              <w:jc w:val="right"/>
              <w:ind w:right="207"/>
              <w:spacing w:after="0"/>
              <w:rPr>
                <w:sz w:val="20"/>
                <w:szCs w:val="20"/>
                <w:color w:val="auto"/>
              </w:rPr>
            </w:pPr>
            <w:r>
              <w:rPr>
                <w:rFonts w:ascii="Arial" w:cs="Arial" w:eastAsia="Arial" w:hAnsi="Arial"/>
                <w:sz w:val="15"/>
                <w:szCs w:val="15"/>
                <w:color w:val="auto"/>
                <w:w w:val="71"/>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1,558</w:t>
            </w:r>
          </w:p>
        </w:tc>
        <w:tc>
          <w:tcPr>
            <w:tcW w:w="240" w:type="dxa"/>
            <w:vAlign w:val="bottom"/>
            <w:shd w:val="clear" w:color="auto" w:fill="CFF0FC"/>
          </w:tcPr>
          <w:p>
            <w:pPr>
              <w:spacing w:after="0"/>
              <w:rPr>
                <w:sz w:val="19"/>
                <w:szCs w:val="19"/>
                <w:color w:val="auto"/>
              </w:rPr>
            </w:pPr>
          </w:p>
        </w:tc>
        <w:tc>
          <w:tcPr>
            <w:tcW w:w="220" w:type="dxa"/>
            <w:vAlign w:val="bottom"/>
            <w:shd w:val="clear" w:color="auto" w:fill="CFF0FC"/>
          </w:tcPr>
          <w:p>
            <w:pPr>
              <w:jc w:val="right"/>
              <w:ind w:right="67"/>
              <w:spacing w:after="0"/>
              <w:rPr>
                <w:sz w:val="20"/>
                <w:szCs w:val="20"/>
                <w:color w:val="auto"/>
              </w:rPr>
            </w:pPr>
            <w:r>
              <w:rPr>
                <w:rFonts w:ascii="Arial" w:cs="Arial" w:eastAsia="Arial" w:hAnsi="Arial"/>
                <w:sz w:val="15"/>
                <w:szCs w:val="15"/>
                <w:color w:val="auto"/>
                <w:w w:val="71"/>
              </w:rPr>
              <w:t>$</w:t>
            </w:r>
          </w:p>
        </w:tc>
        <w:tc>
          <w:tcPr>
            <w:tcW w:w="1080" w:type="dxa"/>
            <w:vAlign w:val="bottom"/>
            <w:gridSpan w:val="4"/>
            <w:shd w:val="clear" w:color="auto" w:fill="CFF0FC"/>
          </w:tcPr>
          <w:p>
            <w:pPr>
              <w:jc w:val="right"/>
              <w:spacing w:after="0"/>
              <w:rPr>
                <w:sz w:val="20"/>
                <w:szCs w:val="20"/>
                <w:color w:val="auto"/>
              </w:rPr>
            </w:pPr>
            <w:r>
              <w:rPr>
                <w:rFonts w:ascii="Arial" w:cs="Arial" w:eastAsia="Arial" w:hAnsi="Arial"/>
                <w:sz w:val="18"/>
                <w:szCs w:val="18"/>
                <w:color w:val="auto"/>
              </w:rPr>
              <w:t>4,238</w:t>
            </w:r>
          </w:p>
        </w:tc>
        <w:tc>
          <w:tcPr>
            <w:tcW w:w="220" w:type="dxa"/>
            <w:vAlign w:val="bottom"/>
            <w:shd w:val="clear" w:color="auto" w:fill="CFF0FC"/>
          </w:tcPr>
          <w:p>
            <w:pPr>
              <w:spacing w:after="0"/>
              <w:rPr>
                <w:sz w:val="19"/>
                <w:szCs w:val="19"/>
                <w:color w:val="auto"/>
              </w:rPr>
            </w:pPr>
          </w:p>
        </w:tc>
        <w:tc>
          <w:tcPr>
            <w:tcW w:w="300" w:type="dxa"/>
            <w:vAlign w:val="bottom"/>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100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3,204</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28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Short-term lease costs</w:t>
            </w:r>
          </w:p>
        </w:tc>
        <w:tc>
          <w:tcPr>
            <w:tcW w:w="1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161</w:t>
            </w:r>
          </w:p>
        </w:tc>
        <w:tc>
          <w:tcPr>
            <w:tcW w:w="220" w:type="dxa"/>
            <w:vAlign w:val="bottom"/>
            <w:tcBorders>
              <w:bottom w:val="single" w:sz="8" w:color="CFF0FC"/>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96</w:t>
            </w:r>
          </w:p>
        </w:tc>
        <w:tc>
          <w:tcPr>
            <w:tcW w:w="24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gridSpan w:val="4"/>
          </w:tcPr>
          <w:p>
            <w:pPr>
              <w:jc w:val="right"/>
              <w:spacing w:after="0"/>
              <w:rPr>
                <w:sz w:val="20"/>
                <w:szCs w:val="20"/>
                <w:color w:val="auto"/>
              </w:rPr>
            </w:pPr>
            <w:r>
              <w:rPr>
                <w:rFonts w:ascii="Arial" w:cs="Arial" w:eastAsia="Arial" w:hAnsi="Arial"/>
                <w:sz w:val="18"/>
                <w:szCs w:val="18"/>
                <w:color w:val="auto"/>
              </w:rPr>
              <w:t>428</w:t>
            </w:r>
          </w:p>
        </w:tc>
        <w:tc>
          <w:tcPr>
            <w:tcW w:w="220" w:type="dxa"/>
            <w:vAlign w:val="bottom"/>
            <w:tcBorders>
              <w:bottom w:val="single" w:sz="8" w:color="CFF0FC"/>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160</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28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 lease cost</w:t>
            </w:r>
          </w:p>
        </w:tc>
        <w:tc>
          <w:tcPr>
            <w:tcW w:w="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2,281</w:t>
            </w:r>
          </w:p>
        </w:tc>
        <w:tc>
          <w:tcPr>
            <w:tcW w:w="220" w:type="dxa"/>
            <w:vAlign w:val="bottom"/>
            <w:tcBorders>
              <w:bottom w:val="single" w:sz="8" w:color="CFF0FC"/>
            </w:tcBorders>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jc w:val="right"/>
              <w:ind w:right="207"/>
              <w:spacing w:after="0"/>
              <w:rPr>
                <w:sz w:val="20"/>
                <w:szCs w:val="20"/>
                <w:color w:val="auto"/>
              </w:rPr>
            </w:pPr>
            <w:r>
              <w:rPr>
                <w:rFonts w:ascii="Arial" w:cs="Arial" w:eastAsia="Arial" w:hAnsi="Arial"/>
                <w:sz w:val="15"/>
                <w:szCs w:val="15"/>
                <w:color w:val="auto"/>
                <w:w w:val="71"/>
              </w:rPr>
              <w:t>$</w:t>
            </w: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1,654</w:t>
            </w:r>
          </w:p>
        </w:tc>
        <w:tc>
          <w:tcPr>
            <w:tcW w:w="240" w:type="dxa"/>
            <w:vAlign w:val="bottom"/>
            <w:tcBorders>
              <w:bottom w:val="single" w:sz="8" w:color="CFF0FC"/>
            </w:tcBorders>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jc w:val="right"/>
              <w:ind w:right="67"/>
              <w:spacing w:after="0"/>
              <w:rPr>
                <w:sz w:val="20"/>
                <w:szCs w:val="20"/>
                <w:color w:val="auto"/>
              </w:rPr>
            </w:pPr>
            <w:r>
              <w:rPr>
                <w:rFonts w:ascii="Arial" w:cs="Arial" w:eastAsia="Arial" w:hAnsi="Arial"/>
                <w:sz w:val="15"/>
                <w:szCs w:val="15"/>
                <w:color w:val="auto"/>
                <w:w w:val="71"/>
              </w:rPr>
              <w:t>$</w:t>
            </w:r>
          </w:p>
        </w:tc>
        <w:tc>
          <w:tcPr>
            <w:tcW w:w="1080" w:type="dxa"/>
            <w:vAlign w:val="bottom"/>
            <w:tcBorders>
              <w:bottom w:val="single" w:sz="8" w:color="auto"/>
            </w:tcBorders>
            <w:gridSpan w:val="4"/>
            <w:shd w:val="clear" w:color="auto" w:fill="CFF0FC"/>
          </w:tcPr>
          <w:p>
            <w:pPr>
              <w:jc w:val="right"/>
              <w:spacing w:after="0"/>
              <w:rPr>
                <w:sz w:val="20"/>
                <w:szCs w:val="20"/>
                <w:color w:val="auto"/>
              </w:rPr>
            </w:pPr>
            <w:r>
              <w:rPr>
                <w:rFonts w:ascii="Arial" w:cs="Arial" w:eastAsia="Arial" w:hAnsi="Arial"/>
                <w:sz w:val="18"/>
                <w:szCs w:val="18"/>
                <w:color w:val="auto"/>
              </w:rPr>
              <w:t>4,666</w:t>
            </w:r>
          </w:p>
        </w:tc>
        <w:tc>
          <w:tcPr>
            <w:tcW w:w="220" w:type="dxa"/>
            <w:vAlign w:val="bottom"/>
            <w:tcBorders>
              <w:bottom w:val="single" w:sz="8" w:color="CFF0FC"/>
            </w:tcBorders>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3,364</w:t>
            </w:r>
          </w:p>
        </w:tc>
        <w:tc>
          <w:tcPr>
            <w:tcW w:w="12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280" w:type="dxa"/>
            <w:vAlign w:val="bottom"/>
            <w:vMerge w:val="restart"/>
          </w:tcPr>
          <w:p>
            <w:pPr>
              <w:spacing w:after="0"/>
              <w:rPr>
                <w:sz w:val="20"/>
                <w:szCs w:val="20"/>
                <w:color w:val="auto"/>
              </w:rPr>
            </w:pPr>
            <w:r>
              <w:rPr>
                <w:rFonts w:ascii="Arial" w:cs="Arial" w:eastAsia="Arial" w:hAnsi="Arial"/>
                <w:sz w:val="18"/>
                <w:szCs w:val="18"/>
                <w:b w:val="1"/>
                <w:bCs w:val="1"/>
                <w:i w:val="1"/>
                <w:iCs w:val="1"/>
                <w:color w:val="auto"/>
              </w:rPr>
              <w:t>Lease Term and Discount Rate</w:t>
            </w:r>
          </w:p>
        </w:tc>
        <w:tc>
          <w:tcPr>
            <w:tcW w:w="1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67"/>
        </w:trPr>
        <w:tc>
          <w:tcPr>
            <w:tcW w:w="5280" w:type="dxa"/>
            <w:vAlign w:val="bottom"/>
            <w:vMerge w:val="continue"/>
          </w:tcPr>
          <w:p>
            <w:pPr>
              <w:spacing w:after="0"/>
              <w:rPr>
                <w:sz w:val="24"/>
                <w:szCs w:val="24"/>
                <w:color w:val="auto"/>
              </w:rPr>
            </w:pPr>
          </w:p>
        </w:tc>
        <w:tc>
          <w:tcPr>
            <w:tcW w:w="1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6560" w:type="dxa"/>
            <w:vAlign w:val="bottom"/>
            <w:gridSpan w:val="3"/>
          </w:tcPr>
          <w:p>
            <w:pPr>
              <w:ind w:left="480"/>
              <w:spacing w:after="0"/>
              <w:rPr>
                <w:sz w:val="20"/>
                <w:szCs w:val="20"/>
                <w:color w:val="auto"/>
              </w:rPr>
            </w:pPr>
            <w:r>
              <w:rPr>
                <w:rFonts w:ascii="Arial" w:cs="Arial" w:eastAsia="Arial" w:hAnsi="Arial"/>
                <w:sz w:val="18"/>
                <w:szCs w:val="18"/>
                <w:color w:val="auto"/>
                <w:w w:val="98"/>
              </w:rPr>
              <w:t>Weighted average remaining lease terms and discount rates were as follows:</w:t>
            </w:r>
          </w:p>
        </w:tc>
        <w:tc>
          <w:tcPr>
            <w:tcW w:w="2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5"/>
        </w:trPr>
        <w:tc>
          <w:tcPr>
            <w:tcW w:w="5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380" w:type="dxa"/>
            <w:vAlign w:val="bottom"/>
            <w:gridSpan w:val="3"/>
          </w:tcPr>
          <w:p>
            <w:pPr>
              <w:jc w:val="right"/>
              <w:ind w:right="7"/>
              <w:spacing w:after="0"/>
              <w:rPr>
                <w:sz w:val="20"/>
                <w:szCs w:val="20"/>
                <w:color w:val="auto"/>
              </w:rPr>
            </w:pPr>
            <w:r>
              <w:rPr>
                <w:rFonts w:ascii="Arial" w:cs="Arial" w:eastAsia="Arial" w:hAnsi="Arial"/>
                <w:sz w:val="14"/>
                <w:szCs w:val="14"/>
                <w:b w:val="1"/>
                <w:bCs w:val="1"/>
                <w:color w:val="auto"/>
              </w:rPr>
              <w:t>June 30, 2020</w:t>
            </w:r>
          </w:p>
        </w:tc>
        <w:tc>
          <w:tcPr>
            <w:tcW w:w="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980" w:type="dxa"/>
            <w:vAlign w:val="bottom"/>
            <w:gridSpan w:val="6"/>
          </w:tcPr>
          <w:p>
            <w:pPr>
              <w:ind w:left="320"/>
              <w:spacing w:after="0"/>
              <w:rPr>
                <w:sz w:val="20"/>
                <w:szCs w:val="20"/>
                <w:color w:val="auto"/>
              </w:rPr>
            </w:pPr>
            <w:r>
              <w:rPr>
                <w:rFonts w:ascii="Arial" w:cs="Arial" w:eastAsia="Arial" w:hAnsi="Arial"/>
                <w:sz w:val="14"/>
                <w:szCs w:val="14"/>
                <w:b w:val="1"/>
                <w:bCs w:val="1"/>
                <w:color w:val="auto"/>
              </w:rPr>
              <w:t>December 31, 2019</w:t>
            </w:r>
          </w:p>
        </w:tc>
        <w:tc>
          <w:tcPr>
            <w:tcW w:w="0" w:type="dxa"/>
            <w:vAlign w:val="bottom"/>
          </w:tcPr>
          <w:p>
            <w:pPr>
              <w:spacing w:after="0"/>
              <w:rPr>
                <w:sz w:val="1"/>
                <w:szCs w:val="1"/>
                <w:color w:val="auto"/>
              </w:rPr>
            </w:pPr>
          </w:p>
        </w:tc>
      </w:tr>
      <w:tr>
        <w:trPr>
          <w:trHeight w:val="237"/>
        </w:trPr>
        <w:tc>
          <w:tcPr>
            <w:tcW w:w="52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Operating leases:</w:t>
            </w:r>
          </w:p>
        </w:tc>
        <w:tc>
          <w:tcPr>
            <w:tcW w:w="140" w:type="dxa"/>
            <w:vAlign w:val="bottom"/>
            <w:tcBorders>
              <w:top w:val="single" w:sz="8" w:color="CFF0FC"/>
            </w:tcBorders>
            <w:shd w:val="clear" w:color="auto" w:fill="CFF0FC"/>
          </w:tcPr>
          <w:p>
            <w:pPr>
              <w:spacing w:after="0"/>
              <w:rPr>
                <w:sz w:val="20"/>
                <w:szCs w:val="20"/>
                <w:color w:val="auto"/>
              </w:rPr>
            </w:pPr>
          </w:p>
        </w:tc>
        <w:tc>
          <w:tcPr>
            <w:tcW w:w="1140" w:type="dxa"/>
            <w:vAlign w:val="bottom"/>
            <w:tcBorders>
              <w:top w:val="single" w:sz="8" w:color="CFF0FC"/>
            </w:tcBorders>
            <w:shd w:val="clear" w:color="auto" w:fill="CFF0FC"/>
          </w:tcPr>
          <w:p>
            <w:pPr>
              <w:spacing w:after="0"/>
              <w:rPr>
                <w:sz w:val="20"/>
                <w:szCs w:val="20"/>
                <w:color w:val="auto"/>
              </w:rPr>
            </w:pPr>
          </w:p>
        </w:tc>
        <w:tc>
          <w:tcPr>
            <w:tcW w:w="220" w:type="dxa"/>
            <w:vAlign w:val="bottom"/>
            <w:tcBorders>
              <w:top w:val="single" w:sz="8" w:color="CFF0FC"/>
            </w:tcBorders>
            <w:shd w:val="clear" w:color="auto" w:fill="CFF0FC"/>
          </w:tcPr>
          <w:p>
            <w:pPr>
              <w:spacing w:after="0"/>
              <w:rPr>
                <w:sz w:val="20"/>
                <w:szCs w:val="20"/>
                <w:color w:val="auto"/>
              </w:rPr>
            </w:pPr>
          </w:p>
        </w:tc>
        <w:tc>
          <w:tcPr>
            <w:tcW w:w="360" w:type="dxa"/>
            <w:vAlign w:val="bottom"/>
            <w:tcBorders>
              <w:top w:val="single" w:sz="8" w:color="CFF0FC"/>
            </w:tcBorders>
            <w:shd w:val="clear" w:color="auto" w:fill="CFF0FC"/>
          </w:tcPr>
          <w:p>
            <w:pPr>
              <w:spacing w:after="0"/>
              <w:rPr>
                <w:sz w:val="20"/>
                <w:szCs w:val="20"/>
                <w:color w:val="auto"/>
              </w:rPr>
            </w:pPr>
          </w:p>
        </w:tc>
        <w:tc>
          <w:tcPr>
            <w:tcW w:w="920" w:type="dxa"/>
            <w:vAlign w:val="bottom"/>
            <w:tcBorders>
              <w:top w:val="single" w:sz="8" w:color="auto"/>
            </w:tcBorders>
            <w:shd w:val="clear" w:color="auto" w:fill="CFF0FC"/>
          </w:tcPr>
          <w:p>
            <w:pPr>
              <w:spacing w:after="0"/>
              <w:rPr>
                <w:sz w:val="20"/>
                <w:szCs w:val="20"/>
                <w:color w:val="auto"/>
              </w:rPr>
            </w:pPr>
          </w:p>
        </w:tc>
        <w:tc>
          <w:tcPr>
            <w:tcW w:w="240" w:type="dxa"/>
            <w:vAlign w:val="bottom"/>
            <w:tcBorders>
              <w:top w:val="single" w:sz="8" w:color="auto"/>
            </w:tcBorders>
            <w:shd w:val="clear" w:color="auto" w:fill="CFF0FC"/>
          </w:tcPr>
          <w:p>
            <w:pPr>
              <w:spacing w:after="0"/>
              <w:rPr>
                <w:sz w:val="20"/>
                <w:szCs w:val="20"/>
                <w:color w:val="auto"/>
              </w:rPr>
            </w:pPr>
          </w:p>
        </w:tc>
        <w:tc>
          <w:tcPr>
            <w:tcW w:w="220" w:type="dxa"/>
            <w:vAlign w:val="bottom"/>
            <w:tcBorders>
              <w:top w:val="single" w:sz="8" w:color="auto"/>
            </w:tcBorders>
            <w:shd w:val="clear" w:color="auto" w:fill="CFF0FC"/>
          </w:tcPr>
          <w:p>
            <w:pPr>
              <w:spacing w:after="0"/>
              <w:rPr>
                <w:sz w:val="20"/>
                <w:szCs w:val="20"/>
                <w:color w:val="auto"/>
              </w:rPr>
            </w:pPr>
          </w:p>
        </w:tc>
        <w:tc>
          <w:tcPr>
            <w:tcW w:w="340" w:type="dxa"/>
            <w:vAlign w:val="bottom"/>
            <w:tcBorders>
              <w:top w:val="single" w:sz="8" w:color="auto"/>
            </w:tcBorders>
            <w:shd w:val="clear" w:color="auto" w:fill="CFF0FC"/>
          </w:tcPr>
          <w:p>
            <w:pPr>
              <w:spacing w:after="0"/>
              <w:rPr>
                <w:sz w:val="20"/>
                <w:szCs w:val="20"/>
                <w:color w:val="auto"/>
              </w:rPr>
            </w:pPr>
          </w:p>
        </w:tc>
        <w:tc>
          <w:tcPr>
            <w:tcW w:w="80" w:type="dxa"/>
            <w:vAlign w:val="bottom"/>
            <w:tcBorders>
              <w:top w:val="single" w:sz="8" w:color="auto"/>
            </w:tcBorders>
            <w:shd w:val="clear" w:color="auto" w:fill="CFF0FC"/>
          </w:tcPr>
          <w:p>
            <w:pPr>
              <w:spacing w:after="0"/>
              <w:rPr>
                <w:sz w:val="20"/>
                <w:szCs w:val="20"/>
                <w:color w:val="auto"/>
              </w:rPr>
            </w:pPr>
          </w:p>
        </w:tc>
        <w:tc>
          <w:tcPr>
            <w:tcW w:w="320" w:type="dxa"/>
            <w:vAlign w:val="bottom"/>
            <w:tcBorders>
              <w:top w:val="single" w:sz="8" w:color="CFF0FC"/>
            </w:tcBorders>
            <w:shd w:val="clear" w:color="auto" w:fill="CFF0FC"/>
          </w:tcPr>
          <w:p>
            <w:pPr>
              <w:spacing w:after="0"/>
              <w:rPr>
                <w:sz w:val="20"/>
                <w:szCs w:val="20"/>
                <w:color w:val="auto"/>
              </w:rPr>
            </w:pPr>
          </w:p>
        </w:tc>
        <w:tc>
          <w:tcPr>
            <w:tcW w:w="340" w:type="dxa"/>
            <w:vAlign w:val="bottom"/>
            <w:tcBorders>
              <w:top w:val="single" w:sz="8" w:color="auto"/>
            </w:tcBorders>
            <w:shd w:val="clear" w:color="auto" w:fill="CFF0FC"/>
          </w:tcPr>
          <w:p>
            <w:pPr>
              <w:spacing w:after="0"/>
              <w:rPr>
                <w:sz w:val="20"/>
                <w:szCs w:val="20"/>
                <w:color w:val="auto"/>
              </w:rPr>
            </w:pPr>
          </w:p>
        </w:tc>
        <w:tc>
          <w:tcPr>
            <w:tcW w:w="220" w:type="dxa"/>
            <w:vAlign w:val="bottom"/>
            <w:tcBorders>
              <w:top w:val="single" w:sz="8" w:color="auto"/>
            </w:tcBorders>
            <w:shd w:val="clear" w:color="auto" w:fill="CFF0FC"/>
          </w:tcPr>
          <w:p>
            <w:pPr>
              <w:spacing w:after="0"/>
              <w:rPr>
                <w:sz w:val="20"/>
                <w:szCs w:val="20"/>
                <w:color w:val="auto"/>
              </w:rPr>
            </w:pPr>
          </w:p>
        </w:tc>
        <w:tc>
          <w:tcPr>
            <w:tcW w:w="300" w:type="dxa"/>
            <w:vAlign w:val="bottom"/>
            <w:tcBorders>
              <w:top w:val="single" w:sz="8" w:color="auto"/>
            </w:tcBorders>
            <w:shd w:val="clear" w:color="auto" w:fill="CFF0FC"/>
          </w:tcPr>
          <w:p>
            <w:pPr>
              <w:spacing w:after="0"/>
              <w:rPr>
                <w:sz w:val="20"/>
                <w:szCs w:val="20"/>
                <w:color w:val="auto"/>
              </w:rPr>
            </w:pPr>
          </w:p>
        </w:tc>
        <w:tc>
          <w:tcPr>
            <w:tcW w:w="940" w:type="dxa"/>
            <w:vAlign w:val="bottom"/>
            <w:tcBorders>
              <w:top w:val="single" w:sz="8" w:color="auto"/>
            </w:tcBorders>
            <w:shd w:val="clear" w:color="auto" w:fill="CFF0FC"/>
          </w:tcPr>
          <w:p>
            <w:pPr>
              <w:spacing w:after="0"/>
              <w:rPr>
                <w:sz w:val="20"/>
                <w:szCs w:val="20"/>
                <w:color w:val="auto"/>
              </w:rPr>
            </w:pPr>
          </w:p>
        </w:tc>
        <w:tc>
          <w:tcPr>
            <w:tcW w:w="60" w:type="dxa"/>
            <w:vAlign w:val="bottom"/>
            <w:tcBorders>
              <w:top w:val="single" w:sz="8" w:color="CFF0FC"/>
            </w:tcBorders>
            <w:shd w:val="clear" w:color="auto" w:fill="CFF0FC"/>
          </w:tcPr>
          <w:p>
            <w:pPr>
              <w:spacing w:after="0"/>
              <w:rPr>
                <w:sz w:val="20"/>
                <w:szCs w:val="20"/>
                <w:color w:val="auto"/>
              </w:rPr>
            </w:pPr>
          </w:p>
        </w:tc>
        <w:tc>
          <w:tcPr>
            <w:tcW w:w="120" w:type="dxa"/>
            <w:vAlign w:val="bottom"/>
            <w:tcBorders>
              <w:top w:val="single" w:sz="8" w:color="CFF0FC"/>
            </w:tcBorders>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5280" w:type="dxa"/>
            <w:vAlign w:val="bottom"/>
          </w:tcPr>
          <w:p>
            <w:pPr>
              <w:spacing w:after="0"/>
              <w:rPr>
                <w:sz w:val="20"/>
                <w:szCs w:val="20"/>
                <w:color w:val="auto"/>
              </w:rPr>
            </w:pPr>
            <w:r>
              <w:rPr>
                <w:rFonts w:ascii="Arial" w:cs="Arial" w:eastAsia="Arial" w:hAnsi="Arial"/>
                <w:sz w:val="18"/>
                <w:szCs w:val="18"/>
                <w:color w:val="auto"/>
              </w:rPr>
              <w:t>Weighted average remaining lease term</w:t>
            </w:r>
          </w:p>
        </w:tc>
        <w:tc>
          <w:tcPr>
            <w:tcW w:w="1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20" w:type="dxa"/>
            <w:vAlign w:val="bottom"/>
            <w:gridSpan w:val="2"/>
          </w:tcPr>
          <w:p>
            <w:pPr>
              <w:jc w:val="right"/>
              <w:spacing w:after="0"/>
              <w:rPr>
                <w:sz w:val="20"/>
                <w:szCs w:val="20"/>
                <w:color w:val="auto"/>
              </w:rPr>
            </w:pPr>
            <w:r>
              <w:rPr>
                <w:rFonts w:ascii="Arial" w:cs="Arial" w:eastAsia="Arial" w:hAnsi="Arial"/>
                <w:sz w:val="18"/>
                <w:szCs w:val="18"/>
                <w:color w:val="auto"/>
              </w:rPr>
              <w:t>3.20</w:t>
            </w:r>
          </w:p>
        </w:tc>
        <w:tc>
          <w:tcPr>
            <w:tcW w:w="3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40" w:type="dxa"/>
            <w:vAlign w:val="bottom"/>
          </w:tcPr>
          <w:p>
            <w:pPr>
              <w:ind w:left="620"/>
              <w:spacing w:after="0"/>
              <w:rPr>
                <w:sz w:val="20"/>
                <w:szCs w:val="20"/>
                <w:color w:val="auto"/>
              </w:rPr>
            </w:pPr>
            <w:r>
              <w:rPr>
                <w:rFonts w:ascii="Arial" w:cs="Arial" w:eastAsia="Arial" w:hAnsi="Arial"/>
                <w:sz w:val="18"/>
                <w:szCs w:val="18"/>
                <w:color w:val="auto"/>
                <w:w w:val="85"/>
              </w:rPr>
              <w:t>3.42</w:t>
            </w: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80" w:type="dxa"/>
            <w:vAlign w:val="bottom"/>
            <w:shd w:val="clear" w:color="auto" w:fill="CFF0FC"/>
          </w:tcPr>
          <w:p>
            <w:pPr>
              <w:spacing w:after="0"/>
              <w:rPr>
                <w:sz w:val="20"/>
                <w:szCs w:val="20"/>
                <w:color w:val="auto"/>
              </w:rPr>
            </w:pPr>
            <w:r>
              <w:rPr>
                <w:rFonts w:ascii="Arial" w:cs="Arial" w:eastAsia="Arial" w:hAnsi="Arial"/>
                <w:sz w:val="18"/>
                <w:szCs w:val="18"/>
                <w:color w:val="auto"/>
              </w:rPr>
              <w:t>Weighted average discount rate</w:t>
            </w:r>
          </w:p>
        </w:tc>
        <w:tc>
          <w:tcPr>
            <w:tcW w:w="140" w:type="dxa"/>
            <w:vAlign w:val="bottom"/>
            <w:shd w:val="clear" w:color="auto" w:fill="CFF0FC"/>
          </w:tcPr>
          <w:p>
            <w:pPr>
              <w:spacing w:after="0"/>
              <w:rPr>
                <w:sz w:val="19"/>
                <w:szCs w:val="19"/>
                <w:color w:val="auto"/>
              </w:rPr>
            </w:pPr>
          </w:p>
        </w:tc>
        <w:tc>
          <w:tcPr>
            <w:tcW w:w="11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740" w:type="dxa"/>
            <w:vAlign w:val="bottom"/>
            <w:gridSpan w:val="3"/>
            <w:shd w:val="clear" w:color="auto" w:fill="CFF0FC"/>
          </w:tcPr>
          <w:p>
            <w:pPr>
              <w:jc w:val="right"/>
              <w:ind w:right="108"/>
              <w:spacing w:after="0"/>
              <w:rPr>
                <w:sz w:val="20"/>
                <w:szCs w:val="20"/>
                <w:color w:val="auto"/>
              </w:rPr>
            </w:pPr>
            <w:r>
              <w:rPr>
                <w:rFonts w:ascii="Arial" w:cs="Arial" w:eastAsia="Arial" w:hAnsi="Arial"/>
                <w:sz w:val="18"/>
                <w:szCs w:val="18"/>
                <w:color w:val="auto"/>
              </w:rPr>
              <w:t>4.98%</w:t>
            </w:r>
          </w:p>
        </w:tc>
        <w:tc>
          <w:tcPr>
            <w:tcW w:w="3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120" w:type="dxa"/>
            <w:vAlign w:val="bottom"/>
            <w:gridSpan w:val="3"/>
            <w:shd w:val="clear" w:color="auto" w:fill="CFF0FC"/>
          </w:tcPr>
          <w:p>
            <w:pPr>
              <w:ind w:left="620"/>
              <w:spacing w:after="0"/>
              <w:rPr>
                <w:sz w:val="20"/>
                <w:szCs w:val="20"/>
                <w:color w:val="auto"/>
              </w:rPr>
            </w:pPr>
            <w:r>
              <w:rPr>
                <w:rFonts w:ascii="Arial" w:cs="Arial" w:eastAsia="Arial" w:hAnsi="Arial"/>
                <w:sz w:val="18"/>
                <w:szCs w:val="18"/>
                <w:color w:val="auto"/>
                <w:w w:val="93"/>
              </w:rPr>
              <w:t>5.14%</w:t>
            </w:r>
          </w:p>
        </w:tc>
        <w:tc>
          <w:tcPr>
            <w:tcW w:w="0" w:type="dxa"/>
            <w:vAlign w:val="bottom"/>
          </w:tcPr>
          <w:p>
            <w:pPr>
              <w:spacing w:after="0"/>
              <w:rPr>
                <w:sz w:val="1"/>
                <w:szCs w:val="1"/>
                <w:color w:val="auto"/>
              </w:rPr>
            </w:pPr>
          </w:p>
        </w:tc>
      </w:tr>
      <w:tr>
        <w:trPr>
          <w:trHeight w:val="486"/>
        </w:trPr>
        <w:tc>
          <w:tcPr>
            <w:tcW w:w="5280" w:type="dxa"/>
            <w:vAlign w:val="bottom"/>
          </w:tcPr>
          <w:p>
            <w:pPr>
              <w:spacing w:after="0"/>
              <w:rPr>
                <w:sz w:val="20"/>
                <w:szCs w:val="20"/>
                <w:color w:val="auto"/>
              </w:rPr>
            </w:pPr>
            <w:r>
              <w:rPr>
                <w:rFonts w:ascii="Arial" w:cs="Arial" w:eastAsia="Arial" w:hAnsi="Arial"/>
                <w:sz w:val="18"/>
                <w:szCs w:val="18"/>
                <w:b w:val="1"/>
                <w:bCs w:val="1"/>
                <w:i w:val="1"/>
                <w:iCs w:val="1"/>
                <w:color w:val="auto"/>
              </w:rPr>
              <w:t>Maturity of Lease Liabilities</w:t>
            </w:r>
          </w:p>
        </w:tc>
        <w:tc>
          <w:tcPr>
            <w:tcW w:w="1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3"/>
        </w:trPr>
        <w:tc>
          <w:tcPr>
            <w:tcW w:w="7140" w:type="dxa"/>
            <w:vAlign w:val="bottom"/>
            <w:gridSpan w:val="5"/>
          </w:tcPr>
          <w:p>
            <w:pPr>
              <w:ind w:left="480"/>
              <w:spacing w:after="0"/>
              <w:rPr>
                <w:sz w:val="20"/>
                <w:szCs w:val="20"/>
                <w:color w:val="auto"/>
              </w:rPr>
            </w:pPr>
            <w:r>
              <w:rPr>
                <w:rFonts w:ascii="Arial" w:cs="Arial" w:eastAsia="Arial" w:hAnsi="Arial"/>
                <w:sz w:val="18"/>
                <w:szCs w:val="18"/>
                <w:color w:val="auto"/>
                <w:w w:val="90"/>
              </w:rPr>
              <w:t>A summary of our remaining operating lease payments as of June 30, 2020 were as follows:</w:t>
            </w:r>
          </w:p>
        </w:tc>
        <w:tc>
          <w:tcPr>
            <w:tcW w:w="9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5"/>
        </w:trPr>
        <w:tc>
          <w:tcPr>
            <w:tcW w:w="5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860" w:type="dxa"/>
            <w:vAlign w:val="bottom"/>
            <w:tcBorders>
              <w:bottom w:val="single" w:sz="8" w:color="auto"/>
            </w:tcBorders>
            <w:gridSpan w:val="5"/>
          </w:tcPr>
          <w:p>
            <w:pPr>
              <w:jc w:val="right"/>
              <w:ind w:right="600"/>
              <w:spacing w:after="0"/>
              <w:rPr>
                <w:sz w:val="20"/>
                <w:szCs w:val="20"/>
                <w:color w:val="auto"/>
              </w:rPr>
            </w:pPr>
            <w:r>
              <w:rPr>
                <w:rFonts w:ascii="Arial" w:cs="Arial" w:eastAsia="Arial" w:hAnsi="Arial"/>
                <w:sz w:val="14"/>
                <w:szCs w:val="14"/>
                <w:b w:val="1"/>
                <w:bCs w:val="1"/>
                <w:color w:val="auto"/>
              </w:rPr>
              <w:t>Operating Leases</w:t>
            </w: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6"/>
        </w:trPr>
        <w:tc>
          <w:tcPr>
            <w:tcW w:w="52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300" w:type="dxa"/>
            <w:vAlign w:val="bottom"/>
            <w:gridSpan w:val="7"/>
          </w:tcPr>
          <w:p>
            <w:pPr>
              <w:ind w:left="280"/>
              <w:spacing w:after="0"/>
              <w:rPr>
                <w:sz w:val="20"/>
                <w:szCs w:val="20"/>
                <w:color w:val="auto"/>
              </w:rPr>
            </w:pPr>
            <w:r>
              <w:rPr>
                <w:rFonts w:ascii="Arial" w:cs="Arial" w:eastAsia="Arial" w:hAnsi="Arial"/>
                <w:sz w:val="14"/>
                <w:szCs w:val="14"/>
                <w:b w:val="1"/>
                <w:bCs w:val="1"/>
                <w:color w:val="auto"/>
              </w:rPr>
              <w:t>(Amounts in Thousands)</w:t>
            </w:r>
          </w:p>
        </w:tc>
        <w:tc>
          <w:tcPr>
            <w:tcW w:w="0" w:type="dxa"/>
            <w:vAlign w:val="bottom"/>
          </w:tcPr>
          <w:p>
            <w:pPr>
              <w:spacing w:after="0"/>
              <w:rPr>
                <w:sz w:val="1"/>
                <w:szCs w:val="1"/>
                <w:color w:val="auto"/>
              </w:rPr>
            </w:pPr>
          </w:p>
        </w:tc>
      </w:tr>
      <w:tr>
        <w:trPr>
          <w:trHeight w:val="223"/>
        </w:trPr>
        <w:tc>
          <w:tcPr>
            <w:tcW w:w="52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Due in the 12-month period ended June 30,</w:t>
            </w:r>
          </w:p>
        </w:tc>
        <w:tc>
          <w:tcPr>
            <w:tcW w:w="140" w:type="dxa"/>
            <w:vAlign w:val="bottom"/>
            <w:tcBorders>
              <w:top w:val="single" w:sz="8" w:color="CFF0FC"/>
            </w:tcBorders>
            <w:shd w:val="clear" w:color="auto" w:fill="CFF0FC"/>
          </w:tcPr>
          <w:p>
            <w:pPr>
              <w:spacing w:after="0"/>
              <w:rPr>
                <w:sz w:val="19"/>
                <w:szCs w:val="19"/>
                <w:color w:val="auto"/>
              </w:rPr>
            </w:pPr>
          </w:p>
        </w:tc>
        <w:tc>
          <w:tcPr>
            <w:tcW w:w="114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CFF0FC"/>
            </w:tcBorders>
            <w:shd w:val="clear" w:color="auto" w:fill="CFF0FC"/>
          </w:tcPr>
          <w:p>
            <w:pPr>
              <w:spacing w:after="0"/>
              <w:rPr>
                <w:sz w:val="19"/>
                <w:szCs w:val="19"/>
                <w:color w:val="auto"/>
              </w:rPr>
            </w:pPr>
          </w:p>
        </w:tc>
        <w:tc>
          <w:tcPr>
            <w:tcW w:w="360" w:type="dxa"/>
            <w:vAlign w:val="bottom"/>
            <w:tcBorders>
              <w:top w:val="single" w:sz="8" w:color="CFF0FC"/>
            </w:tcBorders>
            <w:shd w:val="clear" w:color="auto" w:fill="CFF0FC"/>
          </w:tcPr>
          <w:p>
            <w:pPr>
              <w:spacing w:after="0"/>
              <w:rPr>
                <w:sz w:val="19"/>
                <w:szCs w:val="19"/>
                <w:color w:val="auto"/>
              </w:rPr>
            </w:pPr>
          </w:p>
        </w:tc>
        <w:tc>
          <w:tcPr>
            <w:tcW w:w="920" w:type="dxa"/>
            <w:vAlign w:val="bottom"/>
            <w:tcBorders>
              <w:top w:val="single" w:sz="8" w:color="CFF0FC"/>
            </w:tcBorders>
            <w:shd w:val="clear" w:color="auto" w:fill="CFF0FC"/>
          </w:tcPr>
          <w:p>
            <w:pPr>
              <w:spacing w:after="0"/>
              <w:rPr>
                <w:sz w:val="19"/>
                <w:szCs w:val="19"/>
                <w:color w:val="auto"/>
              </w:rPr>
            </w:pPr>
          </w:p>
        </w:tc>
        <w:tc>
          <w:tcPr>
            <w:tcW w:w="24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CFF0FC"/>
            </w:tcBorders>
            <w:shd w:val="clear" w:color="auto" w:fill="CFF0FC"/>
          </w:tcPr>
          <w:p>
            <w:pPr>
              <w:spacing w:after="0"/>
              <w:rPr>
                <w:sz w:val="19"/>
                <w:szCs w:val="19"/>
                <w:color w:val="auto"/>
              </w:rPr>
            </w:pPr>
          </w:p>
        </w:tc>
        <w:tc>
          <w:tcPr>
            <w:tcW w:w="34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auto"/>
            </w:tcBorders>
            <w:shd w:val="clear" w:color="auto" w:fill="CFF0FC"/>
          </w:tcPr>
          <w:p>
            <w:pPr>
              <w:spacing w:after="0"/>
              <w:rPr>
                <w:sz w:val="19"/>
                <w:szCs w:val="19"/>
                <w:color w:val="auto"/>
              </w:rPr>
            </w:pPr>
          </w:p>
        </w:tc>
        <w:tc>
          <w:tcPr>
            <w:tcW w:w="320" w:type="dxa"/>
            <w:vAlign w:val="bottom"/>
            <w:tcBorders>
              <w:top w:val="single" w:sz="8" w:color="auto"/>
            </w:tcBorders>
            <w:shd w:val="clear" w:color="auto" w:fill="CFF0FC"/>
          </w:tcPr>
          <w:p>
            <w:pPr>
              <w:spacing w:after="0"/>
              <w:rPr>
                <w:sz w:val="19"/>
                <w:szCs w:val="19"/>
                <w:color w:val="auto"/>
              </w:rPr>
            </w:pPr>
          </w:p>
        </w:tc>
        <w:tc>
          <w:tcPr>
            <w:tcW w:w="340" w:type="dxa"/>
            <w:vAlign w:val="bottom"/>
            <w:tcBorders>
              <w:top w:val="single" w:sz="8" w:color="auto"/>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spacing w:after="0"/>
              <w:rPr>
                <w:sz w:val="19"/>
                <w:szCs w:val="19"/>
                <w:color w:val="auto"/>
              </w:rPr>
            </w:pPr>
          </w:p>
        </w:tc>
        <w:tc>
          <w:tcPr>
            <w:tcW w:w="300" w:type="dxa"/>
            <w:vAlign w:val="bottom"/>
            <w:tcBorders>
              <w:top w:val="single" w:sz="8" w:color="auto"/>
            </w:tcBorders>
            <w:shd w:val="clear" w:color="auto" w:fill="CFF0FC"/>
          </w:tcPr>
          <w:p>
            <w:pPr>
              <w:spacing w:after="0"/>
              <w:rPr>
                <w:sz w:val="19"/>
                <w:szCs w:val="19"/>
                <w:color w:val="auto"/>
              </w:rPr>
            </w:pPr>
          </w:p>
        </w:tc>
        <w:tc>
          <w:tcPr>
            <w:tcW w:w="940" w:type="dxa"/>
            <w:vAlign w:val="bottom"/>
            <w:tcBorders>
              <w:top w:val="single" w:sz="8" w:color="auto"/>
            </w:tcBorders>
            <w:shd w:val="clear" w:color="auto" w:fill="CFF0FC"/>
          </w:tcPr>
          <w:p>
            <w:pPr>
              <w:spacing w:after="0"/>
              <w:rPr>
                <w:sz w:val="19"/>
                <w:szCs w:val="19"/>
                <w:color w:val="auto"/>
              </w:rPr>
            </w:pPr>
          </w:p>
        </w:tc>
        <w:tc>
          <w:tcPr>
            <w:tcW w:w="60" w:type="dxa"/>
            <w:vAlign w:val="bottom"/>
            <w:tcBorders>
              <w:top w:val="single" w:sz="8" w:color="auto"/>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280" w:type="dxa"/>
            <w:vAlign w:val="bottom"/>
          </w:tcPr>
          <w:p>
            <w:pPr>
              <w:ind w:left="140"/>
              <w:spacing w:after="0"/>
              <w:rPr>
                <w:sz w:val="20"/>
                <w:szCs w:val="20"/>
                <w:color w:val="auto"/>
              </w:rPr>
            </w:pPr>
            <w:r>
              <w:rPr>
                <w:rFonts w:ascii="Arial" w:cs="Arial" w:eastAsia="Arial" w:hAnsi="Arial"/>
                <w:sz w:val="18"/>
                <w:szCs w:val="18"/>
                <w:color w:val="auto"/>
              </w:rPr>
              <w:t>2021</w:t>
            </w:r>
          </w:p>
        </w:tc>
        <w:tc>
          <w:tcPr>
            <w:tcW w:w="1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40" w:type="dxa"/>
            <w:vAlign w:val="bottom"/>
            <w:gridSpan w:val="3"/>
          </w:tcPr>
          <w:p>
            <w:pPr>
              <w:jc w:val="right"/>
              <w:ind w:right="228"/>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gridSpan w:val="2"/>
          </w:tcPr>
          <w:p>
            <w:pPr>
              <w:jc w:val="right"/>
              <w:ind w:right="20"/>
              <w:spacing w:after="0"/>
              <w:rPr>
                <w:sz w:val="20"/>
                <w:szCs w:val="20"/>
                <w:color w:val="auto"/>
              </w:rPr>
            </w:pPr>
            <w:r>
              <w:rPr>
                <w:rFonts w:ascii="Arial" w:cs="Arial" w:eastAsia="Arial" w:hAnsi="Arial"/>
                <w:sz w:val="18"/>
                <w:szCs w:val="18"/>
                <w:color w:val="auto"/>
              </w:rPr>
              <w:t>8,034</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80" w:type="dxa"/>
            <w:vAlign w:val="bottom"/>
            <w:shd w:val="clear" w:color="auto" w:fill="CFF0FC"/>
          </w:tcPr>
          <w:p>
            <w:pPr>
              <w:ind w:left="140"/>
              <w:spacing w:after="0"/>
              <w:rPr>
                <w:sz w:val="20"/>
                <w:szCs w:val="20"/>
                <w:color w:val="auto"/>
              </w:rPr>
            </w:pPr>
            <w:r>
              <w:rPr>
                <w:rFonts w:ascii="Arial" w:cs="Arial" w:eastAsia="Arial" w:hAnsi="Arial"/>
                <w:sz w:val="18"/>
                <w:szCs w:val="18"/>
                <w:color w:val="auto"/>
              </w:rPr>
              <w:t>2022</w:t>
            </w:r>
          </w:p>
        </w:tc>
        <w:tc>
          <w:tcPr>
            <w:tcW w:w="140" w:type="dxa"/>
            <w:vAlign w:val="bottom"/>
            <w:shd w:val="clear" w:color="auto" w:fill="CFF0FC"/>
          </w:tcPr>
          <w:p>
            <w:pPr>
              <w:spacing w:after="0"/>
              <w:rPr>
                <w:sz w:val="19"/>
                <w:szCs w:val="19"/>
                <w:color w:val="auto"/>
              </w:rPr>
            </w:pPr>
          </w:p>
        </w:tc>
        <w:tc>
          <w:tcPr>
            <w:tcW w:w="11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0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6,462</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80" w:type="dxa"/>
            <w:vAlign w:val="bottom"/>
          </w:tcPr>
          <w:p>
            <w:pPr>
              <w:ind w:left="140"/>
              <w:spacing w:after="0"/>
              <w:rPr>
                <w:sz w:val="20"/>
                <w:szCs w:val="20"/>
                <w:color w:val="auto"/>
              </w:rPr>
            </w:pPr>
            <w:r>
              <w:rPr>
                <w:rFonts w:ascii="Arial" w:cs="Arial" w:eastAsia="Arial" w:hAnsi="Arial"/>
                <w:sz w:val="18"/>
                <w:szCs w:val="18"/>
                <w:color w:val="auto"/>
              </w:rPr>
              <w:t>2023</w:t>
            </w:r>
          </w:p>
        </w:tc>
        <w:tc>
          <w:tcPr>
            <w:tcW w:w="1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gridSpan w:val="2"/>
          </w:tcPr>
          <w:p>
            <w:pPr>
              <w:jc w:val="right"/>
              <w:ind w:right="20"/>
              <w:spacing w:after="0"/>
              <w:rPr>
                <w:sz w:val="20"/>
                <w:szCs w:val="20"/>
                <w:color w:val="auto"/>
              </w:rPr>
            </w:pPr>
            <w:r>
              <w:rPr>
                <w:rFonts w:ascii="Arial" w:cs="Arial" w:eastAsia="Arial" w:hAnsi="Arial"/>
                <w:sz w:val="18"/>
                <w:szCs w:val="18"/>
                <w:color w:val="auto"/>
              </w:rPr>
              <w:t>3,795</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80" w:type="dxa"/>
            <w:vAlign w:val="bottom"/>
            <w:shd w:val="clear" w:color="auto" w:fill="CFF0FC"/>
          </w:tcPr>
          <w:p>
            <w:pPr>
              <w:ind w:left="140"/>
              <w:spacing w:after="0"/>
              <w:rPr>
                <w:sz w:val="20"/>
                <w:szCs w:val="20"/>
                <w:color w:val="auto"/>
              </w:rPr>
            </w:pPr>
            <w:r>
              <w:rPr>
                <w:rFonts w:ascii="Arial" w:cs="Arial" w:eastAsia="Arial" w:hAnsi="Arial"/>
                <w:sz w:val="18"/>
                <w:szCs w:val="18"/>
                <w:color w:val="auto"/>
              </w:rPr>
              <w:t>2024</w:t>
            </w:r>
          </w:p>
        </w:tc>
        <w:tc>
          <w:tcPr>
            <w:tcW w:w="140" w:type="dxa"/>
            <w:vAlign w:val="bottom"/>
            <w:shd w:val="clear" w:color="auto" w:fill="CFF0FC"/>
          </w:tcPr>
          <w:p>
            <w:pPr>
              <w:spacing w:after="0"/>
              <w:rPr>
                <w:sz w:val="19"/>
                <w:szCs w:val="19"/>
                <w:color w:val="auto"/>
              </w:rPr>
            </w:pPr>
          </w:p>
        </w:tc>
        <w:tc>
          <w:tcPr>
            <w:tcW w:w="11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0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2,140</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280" w:type="dxa"/>
            <w:vAlign w:val="bottom"/>
          </w:tcPr>
          <w:p>
            <w:pPr>
              <w:ind w:left="140"/>
              <w:spacing w:after="0"/>
              <w:rPr>
                <w:sz w:val="20"/>
                <w:szCs w:val="20"/>
                <w:color w:val="auto"/>
              </w:rPr>
            </w:pPr>
            <w:r>
              <w:rPr>
                <w:rFonts w:ascii="Arial" w:cs="Arial" w:eastAsia="Arial" w:hAnsi="Arial"/>
                <w:sz w:val="18"/>
                <w:szCs w:val="18"/>
                <w:color w:val="auto"/>
              </w:rPr>
              <w:t>2025</w:t>
            </w:r>
          </w:p>
        </w:tc>
        <w:tc>
          <w:tcPr>
            <w:tcW w:w="1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gridSpan w:val="2"/>
          </w:tcPr>
          <w:p>
            <w:pPr>
              <w:jc w:val="right"/>
              <w:ind w:right="20"/>
              <w:spacing w:after="0"/>
              <w:rPr>
                <w:sz w:val="20"/>
                <w:szCs w:val="20"/>
                <w:color w:val="auto"/>
              </w:rPr>
            </w:pPr>
            <w:r>
              <w:rPr>
                <w:rFonts w:ascii="Arial" w:cs="Arial" w:eastAsia="Arial" w:hAnsi="Arial"/>
                <w:sz w:val="18"/>
                <w:szCs w:val="18"/>
                <w:color w:val="auto"/>
              </w:rPr>
              <w:t>1,259</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80" w:type="dxa"/>
            <w:vAlign w:val="bottom"/>
            <w:shd w:val="clear" w:color="auto" w:fill="CFF0FC"/>
          </w:tcPr>
          <w:p>
            <w:pPr>
              <w:ind w:left="140"/>
              <w:spacing w:after="0"/>
              <w:rPr>
                <w:sz w:val="20"/>
                <w:szCs w:val="20"/>
                <w:color w:val="auto"/>
              </w:rPr>
            </w:pPr>
            <w:r>
              <w:rPr>
                <w:rFonts w:ascii="Arial" w:cs="Arial" w:eastAsia="Arial" w:hAnsi="Arial"/>
                <w:sz w:val="18"/>
                <w:szCs w:val="18"/>
                <w:color w:val="auto"/>
              </w:rPr>
              <w:t>Thereafter</w:t>
            </w:r>
          </w:p>
        </w:tc>
        <w:tc>
          <w:tcPr>
            <w:tcW w:w="140" w:type="dxa"/>
            <w:vAlign w:val="bottom"/>
            <w:shd w:val="clear" w:color="auto" w:fill="CFF0FC"/>
          </w:tcPr>
          <w:p>
            <w:pPr>
              <w:spacing w:after="0"/>
              <w:rPr>
                <w:sz w:val="19"/>
                <w:szCs w:val="19"/>
                <w:color w:val="auto"/>
              </w:rPr>
            </w:pPr>
          </w:p>
        </w:tc>
        <w:tc>
          <w:tcPr>
            <w:tcW w:w="11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80" w:type="dxa"/>
            <w:vAlign w:val="bottom"/>
            <w:tcBorders>
              <w:bottom w:val="single" w:sz="8" w:color="auto"/>
            </w:tcBorders>
            <w:shd w:val="clear" w:color="auto" w:fill="CFF0FC"/>
          </w:tcPr>
          <w:p>
            <w:pPr>
              <w:spacing w:after="0"/>
              <w:rPr>
                <w:sz w:val="19"/>
                <w:szCs w:val="19"/>
                <w:color w:val="auto"/>
              </w:rPr>
            </w:pPr>
          </w:p>
        </w:tc>
        <w:tc>
          <w:tcPr>
            <w:tcW w:w="320" w:type="dxa"/>
            <w:vAlign w:val="bottom"/>
            <w:tcBorders>
              <w:bottom w:val="single" w:sz="8" w:color="auto"/>
            </w:tcBorders>
            <w:shd w:val="clear" w:color="auto" w:fill="CFF0FC"/>
          </w:tcPr>
          <w:p>
            <w:pPr>
              <w:spacing w:after="0"/>
              <w:rPr>
                <w:sz w:val="19"/>
                <w:szCs w:val="19"/>
                <w:color w:val="auto"/>
              </w:rPr>
            </w:pPr>
          </w:p>
        </w:tc>
        <w:tc>
          <w:tcPr>
            <w:tcW w:w="340" w:type="dxa"/>
            <w:vAlign w:val="bottom"/>
            <w:tcBorders>
              <w:bottom w:val="single" w:sz="8" w:color="auto"/>
            </w:tcBorders>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spacing w:after="0"/>
              <w:rPr>
                <w:sz w:val="19"/>
                <w:szCs w:val="19"/>
                <w:color w:val="auto"/>
              </w:rPr>
            </w:pPr>
          </w:p>
        </w:tc>
        <w:tc>
          <w:tcPr>
            <w:tcW w:w="1000" w:type="dxa"/>
            <w:vAlign w:val="bottom"/>
            <w:tcBorders>
              <w:bottom w:val="single" w:sz="8" w:color="auto"/>
            </w:tcBorders>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104</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63"/>
        </w:trPr>
        <w:tc>
          <w:tcPr>
            <w:tcW w:w="528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Total future minimum rental commitments</w:t>
            </w:r>
          </w:p>
        </w:tc>
        <w:tc>
          <w:tcPr>
            <w:tcW w:w="140" w:type="dxa"/>
            <w:vAlign w:val="bottom"/>
            <w:tcBorders>
              <w:bottom w:val="single" w:sz="8" w:color="CFF0FC"/>
            </w:tcBorders>
          </w:tcPr>
          <w:p>
            <w:pPr>
              <w:spacing w:after="0"/>
              <w:rPr>
                <w:sz w:val="22"/>
                <w:szCs w:val="22"/>
                <w:color w:val="auto"/>
              </w:rPr>
            </w:pPr>
          </w:p>
        </w:tc>
        <w:tc>
          <w:tcPr>
            <w:tcW w:w="1140" w:type="dxa"/>
            <w:vAlign w:val="bottom"/>
            <w:tcBorders>
              <w:bottom w:val="single" w:sz="8" w:color="CFF0FC"/>
            </w:tcBorders>
          </w:tcPr>
          <w:p>
            <w:pPr>
              <w:spacing w:after="0"/>
              <w:rPr>
                <w:sz w:val="22"/>
                <w:szCs w:val="22"/>
                <w:color w:val="auto"/>
              </w:rPr>
            </w:pPr>
          </w:p>
        </w:tc>
        <w:tc>
          <w:tcPr>
            <w:tcW w:w="220" w:type="dxa"/>
            <w:vAlign w:val="bottom"/>
            <w:tcBorders>
              <w:bottom w:val="single" w:sz="8" w:color="CFF0FC"/>
            </w:tcBorders>
          </w:tcPr>
          <w:p>
            <w:pPr>
              <w:spacing w:after="0"/>
              <w:rPr>
                <w:sz w:val="22"/>
                <w:szCs w:val="22"/>
                <w:color w:val="auto"/>
              </w:rPr>
            </w:pPr>
          </w:p>
        </w:tc>
        <w:tc>
          <w:tcPr>
            <w:tcW w:w="360" w:type="dxa"/>
            <w:vAlign w:val="bottom"/>
            <w:tcBorders>
              <w:bottom w:val="single" w:sz="8" w:color="CFF0FC"/>
            </w:tcBorders>
          </w:tcPr>
          <w:p>
            <w:pPr>
              <w:spacing w:after="0"/>
              <w:rPr>
                <w:sz w:val="22"/>
                <w:szCs w:val="22"/>
                <w:color w:val="auto"/>
              </w:rPr>
            </w:pPr>
          </w:p>
        </w:tc>
        <w:tc>
          <w:tcPr>
            <w:tcW w:w="920" w:type="dxa"/>
            <w:vAlign w:val="bottom"/>
            <w:tcBorders>
              <w:bottom w:val="single" w:sz="8" w:color="CFF0FC"/>
            </w:tcBorders>
          </w:tcPr>
          <w:p>
            <w:pPr>
              <w:spacing w:after="0"/>
              <w:rPr>
                <w:sz w:val="22"/>
                <w:szCs w:val="22"/>
                <w:color w:val="auto"/>
              </w:rPr>
            </w:pPr>
          </w:p>
        </w:tc>
        <w:tc>
          <w:tcPr>
            <w:tcW w:w="240" w:type="dxa"/>
            <w:vAlign w:val="bottom"/>
            <w:tcBorders>
              <w:bottom w:val="single" w:sz="8" w:color="CFF0FC"/>
            </w:tcBorders>
          </w:tcPr>
          <w:p>
            <w:pPr>
              <w:spacing w:after="0"/>
              <w:rPr>
                <w:sz w:val="22"/>
                <w:szCs w:val="22"/>
                <w:color w:val="auto"/>
              </w:rPr>
            </w:pPr>
          </w:p>
        </w:tc>
        <w:tc>
          <w:tcPr>
            <w:tcW w:w="220" w:type="dxa"/>
            <w:vAlign w:val="bottom"/>
            <w:tcBorders>
              <w:bottom w:val="single" w:sz="8" w:color="CFF0FC"/>
            </w:tcBorders>
          </w:tcPr>
          <w:p>
            <w:pPr>
              <w:spacing w:after="0"/>
              <w:rPr>
                <w:sz w:val="22"/>
                <w:szCs w:val="22"/>
                <w:color w:val="auto"/>
              </w:rPr>
            </w:pPr>
          </w:p>
        </w:tc>
        <w:tc>
          <w:tcPr>
            <w:tcW w:w="340" w:type="dxa"/>
            <w:vAlign w:val="bottom"/>
            <w:tcBorders>
              <w:bottom w:val="single" w:sz="8" w:color="CFF0FC"/>
            </w:tcBorders>
          </w:tcPr>
          <w:p>
            <w:pPr>
              <w:spacing w:after="0"/>
              <w:rPr>
                <w:sz w:val="22"/>
                <w:szCs w:val="22"/>
                <w:color w:val="auto"/>
              </w:rPr>
            </w:pPr>
          </w:p>
        </w:tc>
        <w:tc>
          <w:tcPr>
            <w:tcW w:w="80" w:type="dxa"/>
            <w:vAlign w:val="bottom"/>
            <w:tcBorders>
              <w:bottom w:val="single" w:sz="8" w:color="auto"/>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21,794</w:t>
            </w:r>
          </w:p>
        </w:tc>
        <w:tc>
          <w:tcPr>
            <w:tcW w:w="120" w:type="dxa"/>
            <w:vAlign w:val="bottom"/>
            <w:tcBorders>
              <w:bottom w:val="single" w:sz="8" w:color="CFF0FC"/>
            </w:tcBorders>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5280" w:type="dxa"/>
            <w:vAlign w:val="bottom"/>
            <w:shd w:val="clear" w:color="auto" w:fill="CFF0FC"/>
          </w:tcPr>
          <w:p>
            <w:pPr>
              <w:ind w:left="140"/>
              <w:spacing w:after="0"/>
              <w:rPr>
                <w:sz w:val="20"/>
                <w:szCs w:val="20"/>
                <w:color w:val="auto"/>
              </w:rPr>
            </w:pPr>
            <w:r>
              <w:rPr>
                <w:rFonts w:ascii="Arial" w:cs="Arial" w:eastAsia="Arial" w:hAnsi="Arial"/>
                <w:sz w:val="18"/>
                <w:szCs w:val="18"/>
                <w:color w:val="auto"/>
              </w:rPr>
              <w:t>Less: Imputed interest</w:t>
            </w:r>
          </w:p>
        </w:tc>
        <w:tc>
          <w:tcPr>
            <w:tcW w:w="140" w:type="dxa"/>
            <w:vAlign w:val="bottom"/>
            <w:shd w:val="clear" w:color="auto" w:fill="CFF0FC"/>
          </w:tcPr>
          <w:p>
            <w:pPr>
              <w:spacing w:after="0"/>
              <w:rPr>
                <w:sz w:val="18"/>
                <w:szCs w:val="18"/>
                <w:color w:val="auto"/>
              </w:rPr>
            </w:pPr>
          </w:p>
        </w:tc>
        <w:tc>
          <w:tcPr>
            <w:tcW w:w="11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80" w:type="dxa"/>
            <w:vAlign w:val="bottom"/>
            <w:tcBorders>
              <w:bottom w:val="single" w:sz="8" w:color="auto"/>
            </w:tcBorders>
            <w:shd w:val="clear" w:color="auto" w:fill="CFF0FC"/>
          </w:tcPr>
          <w:p>
            <w:pPr>
              <w:spacing w:after="0"/>
              <w:rPr>
                <w:sz w:val="18"/>
                <w:szCs w:val="18"/>
                <w:color w:val="auto"/>
              </w:rPr>
            </w:pPr>
          </w:p>
        </w:tc>
        <w:tc>
          <w:tcPr>
            <w:tcW w:w="320" w:type="dxa"/>
            <w:vAlign w:val="bottom"/>
            <w:tcBorders>
              <w:bottom w:val="single" w:sz="8" w:color="auto"/>
            </w:tcBorders>
            <w:shd w:val="clear" w:color="auto" w:fill="CFF0FC"/>
          </w:tcPr>
          <w:p>
            <w:pPr>
              <w:spacing w:after="0"/>
              <w:rPr>
                <w:sz w:val="18"/>
                <w:szCs w:val="18"/>
                <w:color w:val="auto"/>
              </w:rPr>
            </w:pPr>
          </w:p>
        </w:tc>
        <w:tc>
          <w:tcPr>
            <w:tcW w:w="340" w:type="dxa"/>
            <w:vAlign w:val="bottom"/>
            <w:tcBorders>
              <w:bottom w:val="single" w:sz="8" w:color="auto"/>
            </w:tcBorders>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spacing w:after="0"/>
              <w:rPr>
                <w:sz w:val="18"/>
                <w:szCs w:val="18"/>
                <w:color w:val="auto"/>
              </w:rPr>
            </w:pPr>
          </w:p>
        </w:tc>
        <w:tc>
          <w:tcPr>
            <w:tcW w:w="300" w:type="dxa"/>
            <w:vAlign w:val="bottom"/>
            <w:tcBorders>
              <w:bottom w:val="single" w:sz="8" w:color="auto"/>
            </w:tcBorders>
            <w:shd w:val="clear" w:color="auto" w:fill="CFF0FC"/>
          </w:tcPr>
          <w:p>
            <w:pPr>
              <w:spacing w:after="0"/>
              <w:rPr>
                <w:sz w:val="18"/>
                <w:szCs w:val="18"/>
                <w:color w:val="auto"/>
              </w:rPr>
            </w:pPr>
          </w:p>
        </w:tc>
        <w:tc>
          <w:tcPr>
            <w:tcW w:w="1000" w:type="dxa"/>
            <w:vAlign w:val="bottom"/>
            <w:tcBorders>
              <w:bottom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color w:val="auto"/>
              </w:rPr>
              <w:t>(1,720)</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5280" w:type="dxa"/>
            <w:vAlign w:val="bottom"/>
          </w:tcPr>
          <w:p>
            <w:pPr>
              <w:spacing w:after="0"/>
              <w:rPr>
                <w:sz w:val="20"/>
                <w:szCs w:val="20"/>
                <w:color w:val="auto"/>
              </w:rPr>
            </w:pPr>
            <w:r>
              <w:rPr>
                <w:rFonts w:ascii="Arial" w:cs="Arial" w:eastAsia="Arial" w:hAnsi="Arial"/>
                <w:sz w:val="18"/>
                <w:szCs w:val="18"/>
                <w:color w:val="auto"/>
              </w:rPr>
              <w:t>Total lease liabilities</w:t>
            </w:r>
          </w:p>
        </w:tc>
        <w:tc>
          <w:tcPr>
            <w:tcW w:w="1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400" w:type="dxa"/>
            <w:vAlign w:val="bottom"/>
            <w:tcBorders>
              <w:bottom w:val="single" w:sz="8" w:color="auto"/>
            </w:tcBorders>
            <w:gridSpan w:val="2"/>
          </w:tcPr>
          <w:p>
            <w:pPr>
              <w:jc w:val="right"/>
              <w:ind w:right="228"/>
              <w:spacing w:after="0"/>
              <w:rPr>
                <w:sz w:val="20"/>
                <w:szCs w:val="20"/>
                <w:color w:val="auto"/>
              </w:rPr>
            </w:pPr>
            <w:r>
              <w:rPr>
                <w:rFonts w:ascii="Arial" w:cs="Arial" w:eastAsia="Arial" w:hAnsi="Arial"/>
                <w:sz w:val="18"/>
                <w:szCs w:val="18"/>
                <w:color w:val="auto"/>
                <w:w w:val="79"/>
              </w:rPr>
              <w:t>$</w:t>
            </w:r>
          </w:p>
        </w:tc>
        <w:tc>
          <w:tcPr>
            <w:tcW w:w="34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20,074</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2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40" w:type="dxa"/>
            <w:vAlign w:val="bottom"/>
            <w:vMerge w:val="restart"/>
          </w:tcPr>
          <w:p>
            <w:pPr>
              <w:jc w:val="right"/>
              <w:ind w:right="779"/>
              <w:spacing w:after="0"/>
              <w:rPr>
                <w:sz w:val="20"/>
                <w:szCs w:val="20"/>
                <w:color w:val="auto"/>
              </w:rPr>
            </w:pPr>
            <w:r>
              <w:rPr>
                <w:rFonts w:ascii="Arial" w:cs="Arial" w:eastAsia="Arial" w:hAnsi="Arial"/>
                <w:sz w:val="16"/>
                <w:szCs w:val="16"/>
                <w:color w:val="auto"/>
              </w:rPr>
              <w:t>10</w:t>
            </w:r>
          </w:p>
        </w:tc>
        <w:tc>
          <w:tcPr>
            <w:tcW w:w="2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95"/>
        </w:trPr>
        <w:tc>
          <w:tcPr>
            <w:tcW w:w="5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40" w:type="dxa"/>
            <w:vAlign w:val="bottom"/>
            <w:vMerge w:val="continue"/>
          </w:tcPr>
          <w:p>
            <w:pPr>
              <w:spacing w:after="0"/>
              <w:rPr>
                <w:sz w:val="24"/>
                <w:szCs w:val="24"/>
                <w:color w:val="auto"/>
              </w:rPr>
            </w:pPr>
          </w:p>
        </w:tc>
        <w:tc>
          <w:tcPr>
            <w:tcW w:w="2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7"/>
        </w:trPr>
        <w:tc>
          <w:tcPr>
            <w:tcW w:w="528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114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c>
          <w:tcPr>
            <w:tcW w:w="92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34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34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94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-7620</wp:posOffset>
            </wp:positionV>
            <wp:extent cx="8255"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Supplemental cash flows information</w:t>
      </w:r>
    </w:p>
    <w:p>
      <w:pPr>
        <w:spacing w:after="0" w:line="217" w:lineRule="exact"/>
        <w:rPr>
          <w:sz w:val="20"/>
          <w:szCs w:val="20"/>
          <w:color w:val="auto"/>
        </w:rPr>
      </w:pPr>
    </w:p>
    <w:p>
      <w:pPr>
        <w:jc w:val="center"/>
        <w:ind w:left="7080"/>
        <w:spacing w:after="0"/>
        <w:rPr>
          <w:sz w:val="20"/>
          <w:szCs w:val="20"/>
          <w:color w:val="auto"/>
        </w:rPr>
      </w:pPr>
      <w:r>
        <w:rPr>
          <w:rFonts w:ascii="Arial" w:cs="Arial" w:eastAsia="Arial" w:hAnsi="Arial"/>
          <w:sz w:val="14"/>
          <w:szCs w:val="14"/>
          <w:b w:val="1"/>
          <w:bCs w:val="1"/>
          <w:color w:val="auto"/>
        </w:rPr>
        <w:t>For the Six Months Ended June 30,</w:t>
      </w:r>
    </w:p>
    <w:p>
      <w:pPr>
        <w:jc w:val="center"/>
        <w:ind w:left="7080"/>
        <w:spacing w:after="0" w:line="236" w:lineRule="auto"/>
        <w:rPr>
          <w:sz w:val="20"/>
          <w:szCs w:val="20"/>
          <w:color w:val="auto"/>
        </w:rPr>
      </w:pPr>
      <w:r>
        <w:rPr>
          <w:rFonts w:ascii="Arial" w:cs="Arial" w:eastAsia="Arial" w:hAnsi="Arial"/>
          <w:sz w:val="14"/>
          <w:szCs w:val="14"/>
          <w:b w:val="1"/>
          <w:bCs w:val="1"/>
          <w:color w:val="auto"/>
        </w:rPr>
        <w:t>(Amounts in Thousands)</w:t>
      </w:r>
    </w:p>
    <w:tbl>
      <w:tblPr>
        <w:tblLayout w:type="fixed"/>
        <w:tblInd w:w="0" w:type="dxa"/>
        <w:tblCellMar>
          <w:top w:w="0" w:type="dxa"/>
          <w:left w:w="0" w:type="dxa"/>
          <w:bottom w:w="0" w:type="dxa"/>
          <w:right w:w="0" w:type="dxa"/>
        </w:tblCellMar>
      </w:tblPr>
      <w:tr>
        <w:trPr>
          <w:trHeight w:val="156"/>
        </w:trPr>
        <w:tc>
          <w:tcPr>
            <w:tcW w:w="6180" w:type="dxa"/>
            <w:vAlign w:val="bottom"/>
            <w:tcBorders>
              <w:bottom w:val="single" w:sz="8" w:color="CFF0FC"/>
            </w:tcBorders>
          </w:tcPr>
          <w:p>
            <w:pPr>
              <w:spacing w:after="0"/>
              <w:rPr>
                <w:sz w:val="13"/>
                <w:szCs w:val="13"/>
                <w:color w:val="auto"/>
              </w:rPr>
            </w:pPr>
          </w:p>
        </w:tc>
        <w:tc>
          <w:tcPr>
            <w:tcW w:w="1060" w:type="dxa"/>
            <w:vAlign w:val="bottom"/>
            <w:tcBorders>
              <w:bottom w:val="single" w:sz="8" w:color="CFF0FC"/>
            </w:tcBorders>
          </w:tcPr>
          <w:p>
            <w:pPr>
              <w:spacing w:after="0"/>
              <w:rPr>
                <w:sz w:val="13"/>
                <w:szCs w:val="13"/>
                <w:color w:val="auto"/>
              </w:rPr>
            </w:pPr>
          </w:p>
        </w:tc>
        <w:tc>
          <w:tcPr>
            <w:tcW w:w="1200" w:type="dxa"/>
            <w:vAlign w:val="bottom"/>
            <w:tcBorders>
              <w:top w:val="single" w:sz="8" w:color="auto"/>
              <w:bottom w:val="single" w:sz="8" w:color="auto"/>
            </w:tcBorders>
          </w:tcPr>
          <w:p>
            <w:pPr>
              <w:jc w:val="right"/>
              <w:ind w:right="88"/>
              <w:spacing w:after="0" w:line="155" w:lineRule="exact"/>
              <w:rPr>
                <w:sz w:val="20"/>
                <w:szCs w:val="20"/>
                <w:color w:val="auto"/>
              </w:rPr>
            </w:pPr>
            <w:r>
              <w:rPr>
                <w:rFonts w:ascii="Arial" w:cs="Arial" w:eastAsia="Arial" w:hAnsi="Arial"/>
                <w:sz w:val="14"/>
                <w:szCs w:val="14"/>
                <w:b w:val="1"/>
                <w:bCs w:val="1"/>
                <w:color w:val="auto"/>
              </w:rPr>
              <w:t>2020</w:t>
            </w:r>
          </w:p>
        </w:tc>
        <w:tc>
          <w:tcPr>
            <w:tcW w:w="600" w:type="dxa"/>
            <w:vAlign w:val="bottom"/>
            <w:tcBorders>
              <w:top w:val="single" w:sz="8" w:color="auto"/>
              <w:bottom w:val="single" w:sz="8" w:color="auto"/>
            </w:tcBorders>
          </w:tcPr>
          <w:p>
            <w:pPr>
              <w:spacing w:after="0"/>
              <w:rPr>
                <w:sz w:val="13"/>
                <w:szCs w:val="13"/>
                <w:color w:val="auto"/>
              </w:rPr>
            </w:pPr>
          </w:p>
        </w:tc>
        <w:tc>
          <w:tcPr>
            <w:tcW w:w="260" w:type="dxa"/>
            <w:vAlign w:val="bottom"/>
            <w:tcBorders>
              <w:top w:val="single" w:sz="8" w:color="auto"/>
              <w:bottom w:val="single" w:sz="8" w:color="CFF0FC"/>
            </w:tcBorders>
          </w:tcPr>
          <w:p>
            <w:pPr>
              <w:spacing w:after="0"/>
              <w:rPr>
                <w:sz w:val="13"/>
                <w:szCs w:val="13"/>
                <w:color w:val="auto"/>
              </w:rPr>
            </w:pPr>
          </w:p>
        </w:tc>
        <w:tc>
          <w:tcPr>
            <w:tcW w:w="420" w:type="dxa"/>
            <w:vAlign w:val="bottom"/>
            <w:tcBorders>
              <w:top w:val="single" w:sz="8" w:color="auto"/>
              <w:bottom w:val="single" w:sz="8" w:color="auto"/>
            </w:tcBorders>
          </w:tcPr>
          <w:p>
            <w:pPr>
              <w:spacing w:after="0"/>
              <w:rPr>
                <w:sz w:val="13"/>
                <w:szCs w:val="13"/>
                <w:color w:val="auto"/>
              </w:rPr>
            </w:pPr>
          </w:p>
        </w:tc>
        <w:tc>
          <w:tcPr>
            <w:tcW w:w="1400" w:type="dxa"/>
            <w:vAlign w:val="bottom"/>
            <w:tcBorders>
              <w:top w:val="single" w:sz="8" w:color="auto"/>
              <w:bottom w:val="single" w:sz="8" w:color="auto"/>
            </w:tcBorders>
          </w:tcPr>
          <w:p>
            <w:pPr>
              <w:jc w:val="right"/>
              <w:ind w:right="696"/>
              <w:spacing w:after="0" w:line="155" w:lineRule="exact"/>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CFF0FC"/>
            </w:tcBorders>
          </w:tcPr>
          <w:p>
            <w:pPr>
              <w:spacing w:after="0"/>
              <w:rPr>
                <w:sz w:val="13"/>
                <w:szCs w:val="13"/>
                <w:color w:val="auto"/>
              </w:rPr>
            </w:pPr>
          </w:p>
        </w:tc>
      </w:tr>
      <w:tr>
        <w:trPr>
          <w:trHeight w:val="223"/>
        </w:trPr>
        <w:tc>
          <w:tcPr>
            <w:tcW w:w="618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Supplemental Cash Flows Information</w:t>
            </w:r>
          </w:p>
        </w:tc>
        <w:tc>
          <w:tcPr>
            <w:tcW w:w="1060" w:type="dxa"/>
            <w:vAlign w:val="bottom"/>
            <w:shd w:val="clear" w:color="auto" w:fill="CFF0FC"/>
          </w:tcPr>
          <w:p>
            <w:pPr>
              <w:spacing w:after="0"/>
              <w:rPr>
                <w:sz w:val="19"/>
                <w:szCs w:val="19"/>
                <w:color w:val="auto"/>
              </w:rPr>
            </w:pPr>
          </w:p>
        </w:tc>
        <w:tc>
          <w:tcPr>
            <w:tcW w:w="1200" w:type="dxa"/>
            <w:vAlign w:val="bottom"/>
            <w:shd w:val="clear" w:color="auto" w:fill="CFF0FC"/>
          </w:tcPr>
          <w:p>
            <w:pPr>
              <w:spacing w:after="0"/>
              <w:rPr>
                <w:sz w:val="19"/>
                <w:szCs w:val="19"/>
                <w:color w:val="auto"/>
              </w:rPr>
            </w:pPr>
          </w:p>
        </w:tc>
        <w:tc>
          <w:tcPr>
            <w:tcW w:w="6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14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r>
      <w:tr>
        <w:trPr>
          <w:trHeight w:val="229"/>
        </w:trPr>
        <w:tc>
          <w:tcPr>
            <w:tcW w:w="6180" w:type="dxa"/>
            <w:vAlign w:val="bottom"/>
          </w:tcPr>
          <w:p>
            <w:pPr>
              <w:spacing w:after="0"/>
              <w:rPr>
                <w:sz w:val="20"/>
                <w:szCs w:val="20"/>
                <w:color w:val="auto"/>
              </w:rPr>
            </w:pPr>
            <w:r>
              <w:rPr>
                <w:rFonts w:ascii="Arial" w:cs="Arial" w:eastAsia="Arial" w:hAnsi="Arial"/>
                <w:sz w:val="18"/>
                <w:szCs w:val="18"/>
                <w:color w:val="auto"/>
              </w:rPr>
              <w:t>Cash paid for amounts included in the measurement of lease liabilities:</w:t>
            </w:r>
          </w:p>
        </w:tc>
        <w:tc>
          <w:tcPr>
            <w:tcW w:w="10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29"/>
        </w:trPr>
        <w:tc>
          <w:tcPr>
            <w:tcW w:w="61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Operating cash flows from operating leases</w:t>
            </w:r>
          </w:p>
        </w:tc>
        <w:tc>
          <w:tcPr>
            <w:tcW w:w="2260" w:type="dxa"/>
            <w:vAlign w:val="bottom"/>
            <w:gridSpan w:val="2"/>
            <w:shd w:val="clear" w:color="auto" w:fill="CFF0FC"/>
          </w:tcPr>
          <w:p>
            <w:pPr>
              <w:jc w:val="right"/>
              <w:ind w:right="1048"/>
              <w:spacing w:after="0"/>
              <w:rPr>
                <w:sz w:val="20"/>
                <w:szCs w:val="20"/>
                <w:color w:val="auto"/>
              </w:rPr>
            </w:pPr>
            <w:r>
              <w:rPr>
                <w:rFonts w:ascii="Arial" w:cs="Arial" w:eastAsia="Arial" w:hAnsi="Arial"/>
                <w:sz w:val="18"/>
                <w:szCs w:val="18"/>
                <w:color w:val="auto"/>
              </w:rPr>
              <w:t>$</w:t>
            </w: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4,321</w:t>
            </w:r>
          </w:p>
        </w:tc>
        <w:tc>
          <w:tcPr>
            <w:tcW w:w="260" w:type="dxa"/>
            <w:vAlign w:val="bottom"/>
            <w:shd w:val="clear" w:color="auto" w:fill="CFF0FC"/>
          </w:tcPr>
          <w:p>
            <w:pPr>
              <w:spacing w:after="0"/>
              <w:rPr>
                <w:sz w:val="19"/>
                <w:szCs w:val="19"/>
                <w:color w:val="auto"/>
              </w:rPr>
            </w:pPr>
          </w:p>
        </w:tc>
        <w:tc>
          <w:tcPr>
            <w:tcW w:w="420" w:type="dxa"/>
            <w:vAlign w:val="bottom"/>
            <w:shd w:val="clear" w:color="auto" w:fill="CFF0FC"/>
          </w:tcPr>
          <w:p>
            <w:pPr>
              <w:jc w:val="right"/>
              <w:ind w:right="267"/>
              <w:spacing w:after="0"/>
              <w:rPr>
                <w:sz w:val="20"/>
                <w:szCs w:val="20"/>
                <w:color w:val="auto"/>
              </w:rPr>
            </w:pPr>
            <w:r>
              <w:rPr>
                <w:rFonts w:ascii="Arial" w:cs="Arial" w:eastAsia="Arial" w:hAnsi="Arial"/>
                <w:sz w:val="15"/>
                <w:szCs w:val="15"/>
                <w:color w:val="auto"/>
                <w:w w:val="71"/>
              </w:rPr>
              <w:t>$</w:t>
            </w:r>
          </w:p>
        </w:tc>
        <w:tc>
          <w:tcPr>
            <w:tcW w:w="14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3,465</w:t>
            </w:r>
          </w:p>
        </w:tc>
        <w:tc>
          <w:tcPr>
            <w:tcW w:w="120" w:type="dxa"/>
            <w:vAlign w:val="bottom"/>
            <w:shd w:val="clear" w:color="auto" w:fill="CFF0FC"/>
          </w:tcPr>
          <w:p>
            <w:pPr>
              <w:spacing w:after="0"/>
              <w:rPr>
                <w:sz w:val="19"/>
                <w:szCs w:val="19"/>
                <w:color w:val="auto"/>
              </w:rPr>
            </w:pPr>
          </w:p>
        </w:tc>
      </w:tr>
      <w:tr>
        <w:trPr>
          <w:trHeight w:val="230"/>
        </w:trPr>
        <w:tc>
          <w:tcPr>
            <w:tcW w:w="61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29"/>
        </w:trPr>
        <w:tc>
          <w:tcPr>
            <w:tcW w:w="6180" w:type="dxa"/>
            <w:vAlign w:val="bottom"/>
            <w:shd w:val="clear" w:color="auto" w:fill="CFF0FC"/>
          </w:tcPr>
          <w:p>
            <w:pPr>
              <w:spacing w:after="0"/>
              <w:rPr>
                <w:sz w:val="20"/>
                <w:szCs w:val="20"/>
                <w:color w:val="auto"/>
              </w:rPr>
            </w:pPr>
            <w:r>
              <w:rPr>
                <w:rFonts w:ascii="Arial" w:cs="Arial" w:eastAsia="Arial" w:hAnsi="Arial"/>
                <w:sz w:val="18"/>
                <w:szCs w:val="18"/>
                <w:color w:val="auto"/>
              </w:rPr>
              <w:t>Right-of-use assets obtained in exchange for lease obligations:</w:t>
            </w:r>
          </w:p>
        </w:tc>
        <w:tc>
          <w:tcPr>
            <w:tcW w:w="1060" w:type="dxa"/>
            <w:vAlign w:val="bottom"/>
            <w:shd w:val="clear" w:color="auto" w:fill="CFF0FC"/>
          </w:tcPr>
          <w:p>
            <w:pPr>
              <w:spacing w:after="0"/>
              <w:rPr>
                <w:sz w:val="19"/>
                <w:szCs w:val="19"/>
                <w:color w:val="auto"/>
              </w:rPr>
            </w:pPr>
          </w:p>
        </w:tc>
        <w:tc>
          <w:tcPr>
            <w:tcW w:w="1200" w:type="dxa"/>
            <w:vAlign w:val="bottom"/>
            <w:shd w:val="clear" w:color="auto" w:fill="CFF0FC"/>
          </w:tcPr>
          <w:p>
            <w:pPr>
              <w:spacing w:after="0"/>
              <w:rPr>
                <w:sz w:val="19"/>
                <w:szCs w:val="19"/>
                <w:color w:val="auto"/>
              </w:rPr>
            </w:pPr>
          </w:p>
        </w:tc>
        <w:tc>
          <w:tcPr>
            <w:tcW w:w="6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14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r>
      <w:tr>
        <w:trPr>
          <w:trHeight w:val="230"/>
        </w:trPr>
        <w:tc>
          <w:tcPr>
            <w:tcW w:w="6180" w:type="dxa"/>
            <w:vAlign w:val="bottom"/>
          </w:tcPr>
          <w:p>
            <w:pPr>
              <w:ind w:left="260"/>
              <w:spacing w:after="0"/>
              <w:rPr>
                <w:sz w:val="20"/>
                <w:szCs w:val="20"/>
                <w:color w:val="auto"/>
              </w:rPr>
            </w:pPr>
            <w:r>
              <w:rPr>
                <w:rFonts w:ascii="Arial" w:cs="Arial" w:eastAsia="Arial" w:hAnsi="Arial"/>
                <w:sz w:val="18"/>
                <w:szCs w:val="18"/>
                <w:color w:val="auto"/>
              </w:rPr>
              <w:t>Operating leases</w:t>
            </w:r>
          </w:p>
        </w:tc>
        <w:tc>
          <w:tcPr>
            <w:tcW w:w="106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2,441</w:t>
            </w:r>
          </w:p>
        </w:tc>
        <w:tc>
          <w:tcPr>
            <w:tcW w:w="2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3,743</w:t>
            </w:r>
          </w:p>
        </w:tc>
        <w:tc>
          <w:tcPr>
            <w:tcW w:w="120" w:type="dxa"/>
            <w:vAlign w:val="bottom"/>
          </w:tcPr>
          <w:p>
            <w:pPr>
              <w:spacing w:after="0"/>
              <w:rPr>
                <w:sz w:val="20"/>
                <w:szCs w:val="20"/>
                <w:color w:val="auto"/>
              </w:rPr>
            </w:pPr>
          </w:p>
        </w:tc>
      </w:tr>
    </w:tbl>
    <w:p>
      <w:pPr>
        <w:spacing w:after="0" w:line="26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Financing Leases</w:t>
      </w:r>
    </w:p>
    <w:p>
      <w:pPr>
        <w:spacing w:after="0" w:line="77" w:lineRule="exact"/>
        <w:rPr>
          <w:sz w:val="20"/>
          <w:szCs w:val="20"/>
          <w:color w:val="auto"/>
        </w:rPr>
      </w:pPr>
    </w:p>
    <w:p>
      <w:pPr>
        <w:jc w:val="both"/>
        <w:ind w:right="20" w:firstLine="476"/>
        <w:spacing w:after="0" w:line="277" w:lineRule="auto"/>
        <w:rPr>
          <w:sz w:val="20"/>
          <w:szCs w:val="20"/>
          <w:color w:val="auto"/>
        </w:rPr>
      </w:pPr>
      <w:r>
        <w:rPr>
          <w:rFonts w:ascii="Arial" w:cs="Arial" w:eastAsia="Arial" w:hAnsi="Arial"/>
          <w:sz w:val="18"/>
          <w:szCs w:val="18"/>
          <w:color w:val="auto"/>
        </w:rPr>
        <w:t>Some of our financing leases include provisions to purchase the asset at the conclusion of the lease. Financing leases were not material as of June 30, 2020 and December 31, 2019.</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Acquisitions</w:t>
      </w:r>
    </w:p>
    <w:p>
      <w:pPr>
        <w:spacing w:after="0" w:line="94" w:lineRule="exact"/>
        <w:rPr>
          <w:sz w:val="20"/>
          <w:szCs w:val="20"/>
          <w:color w:val="auto"/>
        </w:rPr>
      </w:pPr>
    </w:p>
    <w:p>
      <w:pPr>
        <w:ind w:right="20" w:firstLine="476"/>
        <w:spacing w:after="0" w:line="257" w:lineRule="auto"/>
        <w:rPr>
          <w:sz w:val="20"/>
          <w:szCs w:val="20"/>
          <w:color w:val="auto"/>
        </w:rPr>
      </w:pPr>
      <w:r>
        <w:rPr>
          <w:rFonts w:ascii="Arial" w:cs="Arial" w:eastAsia="Arial" w:hAnsi="Arial"/>
          <w:sz w:val="18"/>
          <w:szCs w:val="18"/>
          <w:color w:val="auto"/>
        </w:rPr>
        <w:t xml:space="preserve">The Company’s acquisitions have been accounted for in accordance with ASC Topic 805, </w:t>
      </w:r>
      <w:r>
        <w:rPr>
          <w:rFonts w:ascii="Arial" w:cs="Arial" w:eastAsia="Arial" w:hAnsi="Arial"/>
          <w:sz w:val="18"/>
          <w:szCs w:val="18"/>
          <w:i w:val="1"/>
          <w:iCs w:val="1"/>
          <w:color w:val="auto"/>
        </w:rPr>
        <w:t>Business Combinations</w:t>
      </w:r>
      <w:r>
        <w:rPr>
          <w:rFonts w:ascii="Arial" w:cs="Arial" w:eastAsia="Arial" w:hAnsi="Arial"/>
          <w:sz w:val="18"/>
          <w:szCs w:val="18"/>
          <w:color w:val="auto"/>
        </w:rPr>
        <w:t xml:space="preserve">, and the resulting goodwill and other intangible assets were accounted for under ASC Topic 350, </w:t>
      </w:r>
      <w:r>
        <w:rPr>
          <w:rFonts w:ascii="Arial" w:cs="Arial" w:eastAsia="Arial" w:hAnsi="Arial"/>
          <w:sz w:val="18"/>
          <w:szCs w:val="18"/>
          <w:i w:val="1"/>
          <w:iCs w:val="1"/>
          <w:color w:val="auto"/>
        </w:rPr>
        <w:t>Goodwill and Other Intangible Assets</w:t>
      </w:r>
      <w:r>
        <w:rPr>
          <w:rFonts w:ascii="Arial" w:cs="Arial" w:eastAsia="Arial" w:hAnsi="Arial"/>
          <w:sz w:val="18"/>
          <w:szCs w:val="18"/>
          <w:color w:val="auto"/>
        </w:rPr>
        <w:t>. Under business combination accounting, the assets and liabilities are generally recognized at their fair values and the difference between the consideration transferred, excluding transaction costs, and the fair values of the assets and liabilities is recognized as goodwill. The results of each business acquisition are included on the Unaudited Condensed Consolidated Statements of Income from the date of the acquisition.</w:t>
      </w:r>
    </w:p>
    <w:p>
      <w:pPr>
        <w:spacing w:after="0" w:line="174" w:lineRule="exact"/>
        <w:rPr>
          <w:sz w:val="20"/>
          <w:szCs w:val="20"/>
          <w:color w:val="auto"/>
        </w:rPr>
      </w:pPr>
    </w:p>
    <w:p>
      <w:pPr>
        <w:ind w:right="260" w:firstLine="476"/>
        <w:spacing w:after="0" w:line="277" w:lineRule="auto"/>
        <w:rPr>
          <w:sz w:val="20"/>
          <w:szCs w:val="20"/>
          <w:color w:val="auto"/>
        </w:rPr>
      </w:pPr>
      <w:r>
        <w:rPr>
          <w:rFonts w:ascii="Arial" w:cs="Arial" w:eastAsia="Arial" w:hAnsi="Arial"/>
          <w:sz w:val="18"/>
          <w:szCs w:val="18"/>
          <w:color w:val="auto"/>
        </w:rPr>
        <w:t>Management’s assessment of qualitative factors affecting goodwill for each acquisition includes estimates of market share at the date of purchase, ability to grow in the market, synergy with existing Company operations and the payor profile in the markets.</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Hospice Partners</w:t>
      </w:r>
    </w:p>
    <w:p>
      <w:pPr>
        <w:spacing w:after="0" w:line="77" w:lineRule="exact"/>
        <w:rPr>
          <w:sz w:val="20"/>
          <w:szCs w:val="20"/>
          <w:color w:val="auto"/>
        </w:rPr>
      </w:pPr>
    </w:p>
    <w:p>
      <w:pPr>
        <w:ind w:firstLine="476"/>
        <w:spacing w:after="0" w:line="254" w:lineRule="auto"/>
        <w:rPr>
          <w:sz w:val="20"/>
          <w:szCs w:val="20"/>
          <w:color w:val="auto"/>
        </w:rPr>
      </w:pPr>
      <w:r>
        <w:rPr>
          <w:rFonts w:ascii="Arial" w:cs="Arial" w:eastAsia="Arial" w:hAnsi="Arial"/>
          <w:sz w:val="18"/>
          <w:szCs w:val="18"/>
          <w:color w:val="auto"/>
        </w:rPr>
        <w:t>On October 1, 2019, the Company completed the acquisition of the assets of Hospice Partners of America, LLC (“Hospice Partners”). The purchase price was approximately $135.6 million. The purchase of Hospice Partners was funded through a portion of the net proceeds of our public offering of an aggregate 2,300,000 shares of common stock, par value $0.001 per share, including 300,000 shares of common stock sold pursuant to the exercise in full by the underwriters of their option to purchase additional shares at a public offering price of $79.50 per share, which the Company completed on September 9, 2019 (the “Public Offering”). With the purchase of Hospice Partners, we expanded our hospice operations through 21 locations in Idaho, Kansas, Missouri, Oregon, Texas and Virginia. The related integration costs were $0.7 million and $1.4 million for the three and six months ended June 30, 2020, respectively. These costs were included in general and administrative expenses on the Unaudited Condensed Consolidated Statements of Income and were expensed as incurred.</w:t>
      </w:r>
    </w:p>
    <w:p>
      <w:pPr>
        <w:spacing w:after="0" w:line="138" w:lineRule="exact"/>
        <w:rPr>
          <w:sz w:val="20"/>
          <w:szCs w:val="20"/>
          <w:color w:val="auto"/>
        </w:rPr>
      </w:pPr>
    </w:p>
    <w:p>
      <w:pPr>
        <w:ind w:right="160" w:firstLine="476"/>
        <w:spacing w:after="0" w:line="277" w:lineRule="auto"/>
        <w:rPr>
          <w:sz w:val="20"/>
          <w:szCs w:val="20"/>
          <w:color w:val="auto"/>
        </w:rPr>
      </w:pPr>
      <w:r>
        <w:rPr>
          <w:rFonts w:ascii="Arial" w:cs="Arial" w:eastAsia="Arial" w:hAnsi="Arial"/>
          <w:sz w:val="18"/>
          <w:szCs w:val="18"/>
          <w:color w:val="auto"/>
        </w:rPr>
        <w:t>Based upon management’s valuations, which are preliminary and subject to completion of working capital adjustments, the fair values of the assets and liabilities are as follows:</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80" w:type="dxa"/>
            <w:vAlign w:val="bottom"/>
          </w:tcPr>
          <w:p>
            <w:pPr>
              <w:spacing w:after="0"/>
              <w:rPr>
                <w:sz w:val="14"/>
                <w:szCs w:val="14"/>
                <w:color w:val="auto"/>
              </w:rPr>
            </w:pPr>
          </w:p>
        </w:tc>
        <w:tc>
          <w:tcPr>
            <w:tcW w:w="51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660" w:type="dxa"/>
            <w:vAlign w:val="bottom"/>
            <w:gridSpan w:val="2"/>
          </w:tcPr>
          <w:p>
            <w:pPr>
              <w:jc w:val="center"/>
              <w:ind w:right="460"/>
              <w:spacing w:after="0"/>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rPr>
                <w:sz w:val="1"/>
                <w:szCs w:val="1"/>
                <w:color w:val="auto"/>
              </w:rPr>
            </w:pPr>
          </w:p>
        </w:tc>
      </w:tr>
      <w:tr>
        <w:trPr>
          <w:trHeight w:val="148"/>
        </w:trPr>
        <w:tc>
          <w:tcPr>
            <w:tcW w:w="4080" w:type="dxa"/>
            <w:vAlign w:val="bottom"/>
          </w:tcPr>
          <w:p>
            <w:pPr>
              <w:spacing w:after="0"/>
              <w:rPr>
                <w:sz w:val="12"/>
                <w:szCs w:val="12"/>
                <w:color w:val="auto"/>
              </w:rPr>
            </w:pPr>
          </w:p>
        </w:tc>
        <w:tc>
          <w:tcPr>
            <w:tcW w:w="51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660" w:type="dxa"/>
            <w:vAlign w:val="bottom"/>
            <w:gridSpan w:val="2"/>
          </w:tcPr>
          <w:p>
            <w:pPr>
              <w:jc w:val="center"/>
              <w:ind w:right="460"/>
              <w:spacing w:after="0" w:line="149" w:lineRule="exact"/>
              <w:rPr>
                <w:sz w:val="20"/>
                <w:szCs w:val="20"/>
                <w:color w:val="auto"/>
              </w:rPr>
            </w:pPr>
            <w:r>
              <w:rPr>
                <w:rFonts w:ascii="Arial" w:cs="Arial" w:eastAsia="Arial" w:hAnsi="Arial"/>
                <w:sz w:val="14"/>
                <w:szCs w:val="14"/>
                <w:b w:val="1"/>
                <w:bCs w:val="1"/>
                <w:color w:val="auto"/>
                <w:w w:val="93"/>
              </w:rPr>
              <w:t>(Amounts in</w:t>
            </w:r>
          </w:p>
        </w:tc>
        <w:tc>
          <w:tcPr>
            <w:tcW w:w="0" w:type="dxa"/>
            <w:vAlign w:val="bottom"/>
          </w:tcPr>
          <w:p>
            <w:pPr>
              <w:spacing w:after="0"/>
              <w:rPr>
                <w:sz w:val="1"/>
                <w:szCs w:val="1"/>
                <w:color w:val="auto"/>
              </w:rPr>
            </w:pPr>
          </w:p>
        </w:tc>
      </w:tr>
      <w:tr>
        <w:trPr>
          <w:trHeight w:val="171"/>
        </w:trPr>
        <w:tc>
          <w:tcPr>
            <w:tcW w:w="4080" w:type="dxa"/>
            <w:vAlign w:val="bottom"/>
            <w:vMerge w:val="restart"/>
          </w:tcPr>
          <w:p>
            <w:pPr>
              <w:spacing w:after="0"/>
              <w:rPr>
                <w:sz w:val="20"/>
                <w:szCs w:val="20"/>
                <w:color w:val="auto"/>
              </w:rPr>
            </w:pPr>
            <w:r>
              <w:rPr>
                <w:rFonts w:ascii="Arial" w:cs="Arial" w:eastAsia="Arial" w:hAnsi="Arial"/>
                <w:sz w:val="18"/>
                <w:szCs w:val="18"/>
                <w:color w:val="auto"/>
              </w:rPr>
              <w:t>Goodwill</w:t>
            </w:r>
          </w:p>
        </w:tc>
        <w:tc>
          <w:tcPr>
            <w:tcW w:w="51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660" w:type="dxa"/>
            <w:vAlign w:val="bottom"/>
            <w:gridSpan w:val="2"/>
          </w:tcPr>
          <w:p>
            <w:pPr>
              <w:jc w:val="center"/>
              <w:ind w:right="460"/>
              <w:spacing w:after="0"/>
              <w:rPr>
                <w:sz w:val="20"/>
                <w:szCs w:val="20"/>
                <w:color w:val="auto"/>
              </w:rPr>
            </w:pPr>
            <w:r>
              <w:rPr>
                <w:rFonts w:ascii="Arial" w:cs="Arial" w:eastAsia="Arial" w:hAnsi="Arial"/>
                <w:sz w:val="14"/>
                <w:szCs w:val="14"/>
                <w:b w:val="1"/>
                <w:bCs w:val="1"/>
                <w:color w:val="auto"/>
                <w:w w:val="90"/>
              </w:rPr>
              <w:t>Thousands)</w:t>
            </w:r>
          </w:p>
        </w:tc>
        <w:tc>
          <w:tcPr>
            <w:tcW w:w="0" w:type="dxa"/>
            <w:vAlign w:val="bottom"/>
          </w:tcPr>
          <w:p>
            <w:pPr>
              <w:spacing w:after="0"/>
              <w:rPr>
                <w:sz w:val="1"/>
                <w:szCs w:val="1"/>
                <w:color w:val="auto"/>
              </w:rPr>
            </w:pPr>
          </w:p>
        </w:tc>
      </w:tr>
      <w:tr>
        <w:trPr>
          <w:trHeight w:val="223"/>
        </w:trPr>
        <w:tc>
          <w:tcPr>
            <w:tcW w:w="4080" w:type="dxa"/>
            <w:vAlign w:val="bottom"/>
            <w:vMerge w:val="continue"/>
          </w:tcPr>
          <w:p>
            <w:pPr>
              <w:spacing w:after="0"/>
              <w:rPr>
                <w:sz w:val="19"/>
                <w:szCs w:val="19"/>
                <w:color w:val="auto"/>
              </w:rPr>
            </w:pPr>
          </w:p>
        </w:tc>
        <w:tc>
          <w:tcPr>
            <w:tcW w:w="5180" w:type="dxa"/>
            <w:vAlign w:val="bottom"/>
          </w:tcPr>
          <w:p>
            <w:pPr>
              <w:spacing w:after="0"/>
              <w:rPr>
                <w:sz w:val="19"/>
                <w:szCs w:val="19"/>
                <w:color w:val="auto"/>
              </w:rPr>
            </w:pPr>
          </w:p>
        </w:tc>
        <w:tc>
          <w:tcPr>
            <w:tcW w:w="320" w:type="dxa"/>
            <w:vAlign w:val="bottom"/>
            <w:tcBorders>
              <w:top w:val="single" w:sz="8" w:color="auto"/>
            </w:tcBorders>
          </w:tcPr>
          <w:p>
            <w:pPr>
              <w:jc w:val="right"/>
              <w:ind w:right="167"/>
              <w:spacing w:after="0"/>
              <w:rPr>
                <w:sz w:val="20"/>
                <w:szCs w:val="20"/>
                <w:color w:val="auto"/>
              </w:rPr>
            </w:pPr>
            <w:r>
              <w:rPr>
                <w:rFonts w:ascii="Arial" w:cs="Arial" w:eastAsia="Arial" w:hAnsi="Arial"/>
                <w:sz w:val="15"/>
                <w:szCs w:val="15"/>
                <w:color w:val="auto"/>
                <w:w w:val="71"/>
              </w:rPr>
              <w:t>$</w:t>
            </w:r>
          </w:p>
        </w:tc>
        <w:tc>
          <w:tcPr>
            <w:tcW w:w="15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111,897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080" w:type="dxa"/>
            <w:vAlign w:val="bottom"/>
            <w:shd w:val="clear" w:color="auto" w:fill="CFF0FC"/>
          </w:tcPr>
          <w:p>
            <w:pPr>
              <w:spacing w:after="0"/>
              <w:rPr>
                <w:sz w:val="20"/>
                <w:szCs w:val="20"/>
                <w:color w:val="auto"/>
              </w:rPr>
            </w:pPr>
            <w:r>
              <w:rPr>
                <w:rFonts w:ascii="Arial" w:cs="Arial" w:eastAsia="Arial" w:hAnsi="Arial"/>
                <w:sz w:val="18"/>
                <w:szCs w:val="18"/>
                <w:color w:val="auto"/>
              </w:rPr>
              <w:t>Identifiable intangible assets</w:t>
            </w:r>
          </w:p>
        </w:tc>
        <w:tc>
          <w:tcPr>
            <w:tcW w:w="518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5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18,090</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80" w:type="dxa"/>
            <w:vAlign w:val="bottom"/>
          </w:tcPr>
          <w:p>
            <w:pPr>
              <w:spacing w:after="0"/>
              <w:rPr>
                <w:sz w:val="20"/>
                <w:szCs w:val="20"/>
                <w:color w:val="auto"/>
              </w:rPr>
            </w:pPr>
            <w:r>
              <w:rPr>
                <w:rFonts w:ascii="Arial" w:cs="Arial" w:eastAsia="Arial" w:hAnsi="Arial"/>
                <w:sz w:val="18"/>
                <w:szCs w:val="18"/>
                <w:color w:val="auto"/>
              </w:rPr>
              <w:t>Cash</w:t>
            </w:r>
          </w:p>
        </w:tc>
        <w:tc>
          <w:tcPr>
            <w:tcW w:w="51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5,473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80" w:type="dxa"/>
            <w:vAlign w:val="bottom"/>
            <w:shd w:val="clear" w:color="auto" w:fill="CFF0FC"/>
          </w:tcPr>
          <w:p>
            <w:pPr>
              <w:spacing w:after="0"/>
              <w:rPr>
                <w:sz w:val="20"/>
                <w:szCs w:val="20"/>
                <w:color w:val="auto"/>
              </w:rPr>
            </w:pPr>
            <w:r>
              <w:rPr>
                <w:rFonts w:ascii="Arial" w:cs="Arial" w:eastAsia="Arial" w:hAnsi="Arial"/>
                <w:sz w:val="18"/>
                <w:szCs w:val="18"/>
                <w:color w:val="auto"/>
              </w:rPr>
              <w:t>Property and equipment</w:t>
            </w:r>
          </w:p>
        </w:tc>
        <w:tc>
          <w:tcPr>
            <w:tcW w:w="518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5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164</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80" w:type="dxa"/>
            <w:vAlign w:val="bottom"/>
          </w:tcPr>
          <w:p>
            <w:pPr>
              <w:spacing w:after="0"/>
              <w:rPr>
                <w:sz w:val="20"/>
                <w:szCs w:val="20"/>
                <w:color w:val="auto"/>
              </w:rPr>
            </w:pPr>
            <w:r>
              <w:rPr>
                <w:rFonts w:ascii="Arial" w:cs="Arial" w:eastAsia="Arial" w:hAnsi="Arial"/>
                <w:sz w:val="18"/>
                <w:szCs w:val="18"/>
                <w:color w:val="auto"/>
              </w:rPr>
              <w:t>Accounts receivable</w:t>
            </w:r>
          </w:p>
        </w:tc>
        <w:tc>
          <w:tcPr>
            <w:tcW w:w="51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7,185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080" w:type="dxa"/>
            <w:vAlign w:val="bottom"/>
            <w:shd w:val="clear" w:color="auto" w:fill="CFF0FC"/>
          </w:tcPr>
          <w:p>
            <w:pPr>
              <w:spacing w:after="0"/>
              <w:rPr>
                <w:sz w:val="20"/>
                <w:szCs w:val="20"/>
                <w:color w:val="auto"/>
              </w:rPr>
            </w:pPr>
            <w:r>
              <w:rPr>
                <w:rFonts w:ascii="Arial" w:cs="Arial" w:eastAsia="Arial" w:hAnsi="Arial"/>
                <w:sz w:val="18"/>
                <w:szCs w:val="18"/>
                <w:color w:val="auto"/>
              </w:rPr>
              <w:t>Operating lease assets, net</w:t>
            </w:r>
          </w:p>
        </w:tc>
        <w:tc>
          <w:tcPr>
            <w:tcW w:w="518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5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2,425</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80" w:type="dxa"/>
            <w:vAlign w:val="bottom"/>
          </w:tcPr>
          <w:p>
            <w:pPr>
              <w:spacing w:after="0"/>
              <w:rPr>
                <w:sz w:val="20"/>
                <w:szCs w:val="20"/>
                <w:color w:val="auto"/>
              </w:rPr>
            </w:pPr>
            <w:r>
              <w:rPr>
                <w:rFonts w:ascii="Arial" w:cs="Arial" w:eastAsia="Arial" w:hAnsi="Arial"/>
                <w:sz w:val="18"/>
                <w:szCs w:val="18"/>
                <w:color w:val="auto"/>
              </w:rPr>
              <w:t>Other assets</w:t>
            </w:r>
          </w:p>
        </w:tc>
        <w:tc>
          <w:tcPr>
            <w:tcW w:w="51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702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80" w:type="dxa"/>
            <w:vAlign w:val="bottom"/>
            <w:shd w:val="clear" w:color="auto" w:fill="CFF0FC"/>
          </w:tcPr>
          <w:p>
            <w:pPr>
              <w:spacing w:after="0"/>
              <w:rPr>
                <w:sz w:val="20"/>
                <w:szCs w:val="20"/>
                <w:color w:val="auto"/>
              </w:rPr>
            </w:pPr>
            <w:r>
              <w:rPr>
                <w:rFonts w:ascii="Arial" w:cs="Arial" w:eastAsia="Arial" w:hAnsi="Arial"/>
                <w:sz w:val="18"/>
                <w:szCs w:val="18"/>
                <w:color w:val="auto"/>
              </w:rPr>
              <w:t>Accounts payable</w:t>
            </w:r>
          </w:p>
        </w:tc>
        <w:tc>
          <w:tcPr>
            <w:tcW w:w="518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66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(1,764)</w:t>
            </w:r>
          </w:p>
        </w:tc>
        <w:tc>
          <w:tcPr>
            <w:tcW w:w="0" w:type="dxa"/>
            <w:vAlign w:val="bottom"/>
          </w:tcPr>
          <w:p>
            <w:pPr>
              <w:spacing w:after="0"/>
              <w:rPr>
                <w:sz w:val="1"/>
                <w:szCs w:val="1"/>
                <w:color w:val="auto"/>
              </w:rPr>
            </w:pPr>
          </w:p>
        </w:tc>
      </w:tr>
      <w:tr>
        <w:trPr>
          <w:trHeight w:val="230"/>
        </w:trPr>
        <w:tc>
          <w:tcPr>
            <w:tcW w:w="4080" w:type="dxa"/>
            <w:vAlign w:val="bottom"/>
          </w:tcPr>
          <w:p>
            <w:pPr>
              <w:spacing w:after="0"/>
              <w:rPr>
                <w:sz w:val="20"/>
                <w:szCs w:val="20"/>
                <w:color w:val="auto"/>
              </w:rPr>
            </w:pPr>
            <w:r>
              <w:rPr>
                <w:rFonts w:ascii="Arial" w:cs="Arial" w:eastAsia="Arial" w:hAnsi="Arial"/>
                <w:sz w:val="18"/>
                <w:szCs w:val="18"/>
                <w:color w:val="auto"/>
              </w:rPr>
              <w:t>Accrued expenses</w:t>
            </w:r>
          </w:p>
        </w:tc>
        <w:tc>
          <w:tcPr>
            <w:tcW w:w="51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660" w:type="dxa"/>
            <w:vAlign w:val="bottom"/>
            <w:gridSpan w:val="2"/>
          </w:tcPr>
          <w:p>
            <w:pPr>
              <w:jc w:val="right"/>
              <w:ind w:right="40"/>
              <w:spacing w:after="0"/>
              <w:rPr>
                <w:sz w:val="20"/>
                <w:szCs w:val="20"/>
                <w:color w:val="auto"/>
              </w:rPr>
            </w:pPr>
            <w:r>
              <w:rPr>
                <w:rFonts w:ascii="Arial" w:cs="Arial" w:eastAsia="Arial" w:hAnsi="Arial"/>
                <w:sz w:val="18"/>
                <w:szCs w:val="18"/>
                <w:color w:val="auto"/>
              </w:rPr>
              <w:t>(4,339)</w:t>
            </w:r>
          </w:p>
        </w:tc>
        <w:tc>
          <w:tcPr>
            <w:tcW w:w="0" w:type="dxa"/>
            <w:vAlign w:val="bottom"/>
          </w:tcPr>
          <w:p>
            <w:pPr>
              <w:spacing w:after="0"/>
              <w:rPr>
                <w:sz w:val="1"/>
                <w:szCs w:val="1"/>
                <w:color w:val="auto"/>
              </w:rPr>
            </w:pPr>
          </w:p>
        </w:tc>
      </w:tr>
      <w:tr>
        <w:trPr>
          <w:trHeight w:val="229"/>
        </w:trPr>
        <w:tc>
          <w:tcPr>
            <w:tcW w:w="4080" w:type="dxa"/>
            <w:vAlign w:val="bottom"/>
            <w:shd w:val="clear" w:color="auto" w:fill="CFF0FC"/>
          </w:tcPr>
          <w:p>
            <w:pPr>
              <w:spacing w:after="0"/>
              <w:rPr>
                <w:sz w:val="20"/>
                <w:szCs w:val="20"/>
                <w:color w:val="auto"/>
              </w:rPr>
            </w:pPr>
            <w:r>
              <w:rPr>
                <w:rFonts w:ascii="Arial" w:cs="Arial" w:eastAsia="Arial" w:hAnsi="Arial"/>
                <w:sz w:val="18"/>
                <w:szCs w:val="18"/>
                <w:color w:val="auto"/>
              </w:rPr>
              <w:t>Accrued payroll</w:t>
            </w:r>
          </w:p>
        </w:tc>
        <w:tc>
          <w:tcPr>
            <w:tcW w:w="518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66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(1,110)</w:t>
            </w:r>
          </w:p>
        </w:tc>
        <w:tc>
          <w:tcPr>
            <w:tcW w:w="0" w:type="dxa"/>
            <w:vAlign w:val="bottom"/>
          </w:tcPr>
          <w:p>
            <w:pPr>
              <w:spacing w:after="0"/>
              <w:rPr>
                <w:sz w:val="1"/>
                <w:szCs w:val="1"/>
                <w:color w:val="auto"/>
              </w:rPr>
            </w:pPr>
          </w:p>
        </w:tc>
      </w:tr>
      <w:tr>
        <w:trPr>
          <w:trHeight w:val="230"/>
        </w:trPr>
        <w:tc>
          <w:tcPr>
            <w:tcW w:w="4080" w:type="dxa"/>
            <w:vAlign w:val="bottom"/>
          </w:tcPr>
          <w:p>
            <w:pPr>
              <w:spacing w:after="0"/>
              <w:rPr>
                <w:sz w:val="20"/>
                <w:szCs w:val="20"/>
                <w:color w:val="auto"/>
              </w:rPr>
            </w:pPr>
            <w:r>
              <w:rPr>
                <w:rFonts w:ascii="Arial" w:cs="Arial" w:eastAsia="Arial" w:hAnsi="Arial"/>
                <w:sz w:val="18"/>
                <w:szCs w:val="18"/>
                <w:color w:val="auto"/>
              </w:rPr>
              <w:t>Deferred tax liability</w:t>
            </w:r>
          </w:p>
        </w:tc>
        <w:tc>
          <w:tcPr>
            <w:tcW w:w="51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660" w:type="dxa"/>
            <w:vAlign w:val="bottom"/>
            <w:gridSpan w:val="2"/>
          </w:tcPr>
          <w:p>
            <w:pPr>
              <w:jc w:val="right"/>
              <w:ind w:right="40"/>
              <w:spacing w:after="0"/>
              <w:rPr>
                <w:sz w:val="20"/>
                <w:szCs w:val="20"/>
                <w:color w:val="auto"/>
              </w:rPr>
            </w:pPr>
            <w:r>
              <w:rPr>
                <w:rFonts w:ascii="Arial" w:cs="Arial" w:eastAsia="Arial" w:hAnsi="Arial"/>
                <w:sz w:val="18"/>
                <w:szCs w:val="18"/>
                <w:color w:val="auto"/>
              </w:rPr>
              <w:t>(1,540)</w:t>
            </w:r>
          </w:p>
        </w:tc>
        <w:tc>
          <w:tcPr>
            <w:tcW w:w="0" w:type="dxa"/>
            <w:vAlign w:val="bottom"/>
          </w:tcPr>
          <w:p>
            <w:pPr>
              <w:spacing w:after="0"/>
              <w:rPr>
                <w:sz w:val="1"/>
                <w:szCs w:val="1"/>
                <w:color w:val="auto"/>
              </w:rPr>
            </w:pPr>
          </w:p>
        </w:tc>
      </w:tr>
      <w:tr>
        <w:trPr>
          <w:trHeight w:val="229"/>
        </w:trPr>
        <w:tc>
          <w:tcPr>
            <w:tcW w:w="4080" w:type="dxa"/>
            <w:vAlign w:val="bottom"/>
            <w:shd w:val="clear" w:color="auto" w:fill="CFF0FC"/>
          </w:tcPr>
          <w:p>
            <w:pPr>
              <w:spacing w:after="0"/>
              <w:rPr>
                <w:sz w:val="20"/>
                <w:szCs w:val="20"/>
                <w:color w:val="auto"/>
              </w:rPr>
            </w:pPr>
            <w:r>
              <w:rPr>
                <w:rFonts w:ascii="Arial" w:cs="Arial" w:eastAsia="Arial" w:hAnsi="Arial"/>
                <w:sz w:val="18"/>
                <w:szCs w:val="18"/>
                <w:color w:val="auto"/>
              </w:rPr>
              <w:t>Long-term operating lease liabilities</w:t>
            </w:r>
          </w:p>
        </w:tc>
        <w:tc>
          <w:tcPr>
            <w:tcW w:w="518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66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(1,615)</w:t>
            </w:r>
          </w:p>
        </w:tc>
        <w:tc>
          <w:tcPr>
            <w:tcW w:w="0" w:type="dxa"/>
            <w:vAlign w:val="bottom"/>
          </w:tcPr>
          <w:p>
            <w:pPr>
              <w:spacing w:after="0"/>
              <w:rPr>
                <w:sz w:val="1"/>
                <w:szCs w:val="1"/>
                <w:color w:val="auto"/>
              </w:rPr>
            </w:pPr>
          </w:p>
        </w:tc>
      </w:tr>
      <w:tr>
        <w:trPr>
          <w:trHeight w:val="223"/>
        </w:trPr>
        <w:tc>
          <w:tcPr>
            <w:tcW w:w="4080" w:type="dxa"/>
            <w:vAlign w:val="bottom"/>
          </w:tcPr>
          <w:p>
            <w:pPr>
              <w:spacing w:after="0"/>
              <w:rPr>
                <w:sz w:val="20"/>
                <w:szCs w:val="20"/>
                <w:color w:val="auto"/>
              </w:rPr>
            </w:pPr>
            <w:r>
              <w:rPr>
                <w:rFonts w:ascii="Arial" w:cs="Arial" w:eastAsia="Arial" w:hAnsi="Arial"/>
                <w:sz w:val="18"/>
                <w:szCs w:val="18"/>
                <w:color w:val="auto"/>
              </w:rPr>
              <w:t>Total purchase price</w:t>
            </w:r>
          </w:p>
        </w:tc>
        <w:tc>
          <w:tcPr>
            <w:tcW w:w="5180" w:type="dxa"/>
            <w:vAlign w:val="bottom"/>
          </w:tcPr>
          <w:p>
            <w:pPr>
              <w:spacing w:after="0"/>
              <w:rPr>
                <w:sz w:val="19"/>
                <w:szCs w:val="19"/>
                <w:color w:val="auto"/>
              </w:rPr>
            </w:pPr>
          </w:p>
        </w:tc>
        <w:tc>
          <w:tcPr>
            <w:tcW w:w="320" w:type="dxa"/>
            <w:vAlign w:val="bottom"/>
            <w:tcBorders>
              <w:top w:val="single" w:sz="8" w:color="auto"/>
              <w:bottom w:val="single" w:sz="8" w:color="auto"/>
            </w:tcBorders>
          </w:tcPr>
          <w:p>
            <w:pPr>
              <w:jc w:val="right"/>
              <w:ind w:right="167"/>
              <w:spacing w:after="0"/>
              <w:rPr>
                <w:sz w:val="20"/>
                <w:szCs w:val="20"/>
                <w:color w:val="auto"/>
              </w:rPr>
            </w:pPr>
            <w:r>
              <w:rPr>
                <w:rFonts w:ascii="Arial" w:cs="Arial" w:eastAsia="Arial" w:hAnsi="Arial"/>
                <w:sz w:val="15"/>
                <w:szCs w:val="15"/>
                <w:color w:val="auto"/>
                <w:w w:val="71"/>
              </w:rPr>
              <w:t>$</w:t>
            </w:r>
          </w:p>
        </w:tc>
        <w:tc>
          <w:tcPr>
            <w:tcW w:w="1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135,568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080" w:type="dxa"/>
            <w:vAlign w:val="bottom"/>
          </w:tcPr>
          <w:p>
            <w:pPr>
              <w:spacing w:after="0" w:line="20" w:lineRule="exact"/>
              <w:rPr>
                <w:sz w:val="1"/>
                <w:szCs w:val="1"/>
                <w:color w:val="auto"/>
              </w:rPr>
            </w:pPr>
          </w:p>
        </w:tc>
        <w:tc>
          <w:tcPr>
            <w:tcW w:w="5180" w:type="dxa"/>
            <w:vAlign w:val="bottom"/>
            <w:vMerge w:val="restart"/>
          </w:tcPr>
          <w:p>
            <w:pPr>
              <w:jc w:val="right"/>
              <w:ind w:right="3479"/>
              <w:spacing w:after="0"/>
              <w:rPr>
                <w:sz w:val="20"/>
                <w:szCs w:val="20"/>
                <w:color w:val="auto"/>
              </w:rPr>
            </w:pPr>
            <w:r>
              <w:rPr>
                <w:rFonts w:ascii="Arial" w:cs="Arial" w:eastAsia="Arial" w:hAnsi="Arial"/>
                <w:sz w:val="16"/>
                <w:szCs w:val="16"/>
                <w:color w:val="auto"/>
              </w:rPr>
              <w:t>11</w:t>
            </w:r>
          </w:p>
        </w:tc>
        <w:tc>
          <w:tcPr>
            <w:tcW w:w="32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95"/>
        </w:trPr>
        <w:tc>
          <w:tcPr>
            <w:tcW w:w="4080" w:type="dxa"/>
            <w:vAlign w:val="bottom"/>
          </w:tcPr>
          <w:p>
            <w:pPr>
              <w:spacing w:after="0"/>
              <w:rPr>
                <w:sz w:val="24"/>
                <w:szCs w:val="24"/>
                <w:color w:val="auto"/>
              </w:rPr>
            </w:pPr>
          </w:p>
        </w:tc>
        <w:tc>
          <w:tcPr>
            <w:tcW w:w="5180" w:type="dxa"/>
            <w:vAlign w:val="bottom"/>
            <w:vMerge w:val="continue"/>
          </w:tcPr>
          <w:p>
            <w:pPr>
              <w:spacing w:after="0"/>
              <w:rPr>
                <w:sz w:val="24"/>
                <w:szCs w:val="24"/>
                <w:color w:val="auto"/>
              </w:rPr>
            </w:pPr>
          </w:p>
        </w:tc>
        <w:tc>
          <w:tcPr>
            <w:tcW w:w="32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7"/>
        </w:trPr>
        <w:tc>
          <w:tcPr>
            <w:tcW w:w="4080" w:type="dxa"/>
            <w:vAlign w:val="bottom"/>
            <w:tcBorders>
              <w:bottom w:val="single" w:sz="8" w:color="9A9A9A"/>
            </w:tcBorders>
          </w:tcPr>
          <w:p>
            <w:pPr>
              <w:spacing w:after="0"/>
              <w:rPr>
                <w:sz w:val="24"/>
                <w:szCs w:val="24"/>
                <w:color w:val="auto"/>
              </w:rPr>
            </w:pPr>
          </w:p>
        </w:tc>
        <w:tc>
          <w:tcPr>
            <w:tcW w:w="518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156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-8255</wp:posOffset>
            </wp:positionV>
            <wp:extent cx="8255"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29" w:lineRule="exact"/>
        <w:rPr>
          <w:sz w:val="20"/>
          <w:szCs w:val="20"/>
          <w:color w:val="auto"/>
        </w:rPr>
      </w:pPr>
    </w:p>
    <w:p>
      <w:pPr>
        <w:ind w:right="40" w:firstLine="476"/>
        <w:spacing w:after="0" w:line="275" w:lineRule="auto"/>
        <w:rPr>
          <w:sz w:val="20"/>
          <w:szCs w:val="20"/>
          <w:color w:val="auto"/>
        </w:rPr>
      </w:pPr>
      <w:r>
        <w:rPr>
          <w:rFonts w:ascii="Arial" w:cs="Arial" w:eastAsia="Arial" w:hAnsi="Arial"/>
          <w:sz w:val="17"/>
          <w:szCs w:val="17"/>
          <w:color w:val="auto"/>
        </w:rPr>
        <w:t>Identifiable intangible assets acquired consist of $9.5 million in trade names with estimated useful lives of fifteen years, $2.5 million in non-competition agreements with estimated useful lives of three to five years and $6.1 million of indefinite lived state licenses. The preliminary estimated fair value of identifiable intangible assets was determined, using Level 3 inputs as defined under ASC Topic 820, with the assistance of a valuation specialist. The fair value analysis and related valuations reflect the conclusions of management. All estimates, key assumptions, and forecasts were either provided by or reviewed by the Company. The goodwill and intangible assets acquired are deductible for tax purposes.</w:t>
      </w:r>
    </w:p>
    <w:p>
      <w:pPr>
        <w:spacing w:after="0" w:line="163" w:lineRule="exact"/>
        <w:rPr>
          <w:sz w:val="20"/>
          <w:szCs w:val="20"/>
          <w:color w:val="auto"/>
        </w:rPr>
      </w:pPr>
    </w:p>
    <w:p>
      <w:pPr>
        <w:ind w:right="660" w:firstLine="476"/>
        <w:spacing w:after="0" w:line="277" w:lineRule="auto"/>
        <w:rPr>
          <w:sz w:val="20"/>
          <w:szCs w:val="20"/>
          <w:color w:val="auto"/>
        </w:rPr>
      </w:pPr>
      <w:r>
        <w:rPr>
          <w:rFonts w:ascii="Arial" w:cs="Arial" w:eastAsia="Arial" w:hAnsi="Arial"/>
          <w:sz w:val="18"/>
          <w:szCs w:val="18"/>
          <w:color w:val="auto"/>
        </w:rPr>
        <w:t>The Hospice Partners acquisition accounted for $13.1 million and $27.3 million of net service revenues and $2.9 million and $6.0 million of operating income for the three and six months ended June 30, 2020, respectively.</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Alliance Home Health Care</w:t>
      </w:r>
    </w:p>
    <w:p>
      <w:pPr>
        <w:spacing w:after="0" w:line="90" w:lineRule="exact"/>
        <w:rPr>
          <w:sz w:val="20"/>
          <w:szCs w:val="20"/>
          <w:color w:val="auto"/>
        </w:rPr>
      </w:pPr>
    </w:p>
    <w:p>
      <w:pPr>
        <w:ind w:right="140" w:firstLine="476"/>
        <w:spacing w:after="0" w:line="275" w:lineRule="auto"/>
        <w:rPr>
          <w:sz w:val="20"/>
          <w:szCs w:val="20"/>
          <w:color w:val="auto"/>
        </w:rPr>
      </w:pPr>
      <w:r>
        <w:rPr>
          <w:rFonts w:ascii="Arial" w:cs="Arial" w:eastAsia="Arial" w:hAnsi="Arial"/>
          <w:sz w:val="17"/>
          <w:szCs w:val="17"/>
          <w:color w:val="auto"/>
        </w:rPr>
        <w:t>On August 1, 2019, the Company completed the acquisition of all of the assets of Alliance Home Health Care (“Alliance”). The purchase price was approximately $23.5 million. The purchase of Alliance was funded through the Company’s revolving credit facility and available cash. With the purchase of Alliance, the Company expanded its personal care, home health and hospice operations in the state of New Mexico. The related integration costs were $0.1 million and $0.2 million for the three and six months ended June 30, 2020, respectively. These costs were included in general and administrative expenses on the Unaudited Condensed Consolidated Statements of Income and were expensed as incurred.</w:t>
      </w:r>
    </w:p>
    <w:p>
      <w:pPr>
        <w:spacing w:after="0" w:line="163" w:lineRule="exact"/>
        <w:rPr>
          <w:sz w:val="20"/>
          <w:szCs w:val="20"/>
          <w:color w:val="auto"/>
        </w:rPr>
      </w:pPr>
    </w:p>
    <w:p>
      <w:pPr>
        <w:ind w:left="480"/>
        <w:spacing w:after="0"/>
        <w:rPr>
          <w:sz w:val="20"/>
          <w:szCs w:val="20"/>
          <w:color w:val="auto"/>
        </w:rPr>
      </w:pPr>
      <w:r>
        <w:rPr>
          <w:rFonts w:ascii="Arial" w:cs="Arial" w:eastAsia="Arial" w:hAnsi="Arial"/>
          <w:sz w:val="18"/>
          <w:szCs w:val="18"/>
          <w:color w:val="auto"/>
        </w:rPr>
        <w:t>Based upon management’s final valuations, the fair values of the assets and liabilities are as follows:</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2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660" w:type="dxa"/>
            <w:vAlign w:val="bottom"/>
            <w:gridSpan w:val="2"/>
          </w:tcPr>
          <w:p>
            <w:pPr>
              <w:jc w:val="center"/>
              <w:ind w:right="460"/>
              <w:spacing w:after="0"/>
              <w:rPr>
                <w:sz w:val="20"/>
                <w:szCs w:val="20"/>
                <w:color w:val="auto"/>
              </w:rPr>
            </w:pPr>
            <w:r>
              <w:rPr>
                <w:rFonts w:ascii="Arial" w:cs="Arial" w:eastAsia="Arial" w:hAnsi="Arial"/>
                <w:sz w:val="14"/>
                <w:szCs w:val="14"/>
                <w:b w:val="1"/>
                <w:bCs w:val="1"/>
                <w:color w:val="auto"/>
                <w:w w:val="95"/>
              </w:rPr>
              <w:t>Total</w:t>
            </w:r>
          </w:p>
        </w:tc>
      </w:tr>
      <w:tr>
        <w:trPr>
          <w:trHeight w:val="148"/>
        </w:trPr>
        <w:tc>
          <w:tcPr>
            <w:tcW w:w="92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660" w:type="dxa"/>
            <w:vAlign w:val="bottom"/>
            <w:gridSpan w:val="2"/>
          </w:tcPr>
          <w:p>
            <w:pPr>
              <w:jc w:val="center"/>
              <w:ind w:right="460"/>
              <w:spacing w:after="0" w:line="149" w:lineRule="exact"/>
              <w:rPr>
                <w:sz w:val="20"/>
                <w:szCs w:val="20"/>
                <w:color w:val="auto"/>
              </w:rPr>
            </w:pPr>
            <w:r>
              <w:rPr>
                <w:rFonts w:ascii="Arial" w:cs="Arial" w:eastAsia="Arial" w:hAnsi="Arial"/>
                <w:sz w:val="14"/>
                <w:szCs w:val="14"/>
                <w:b w:val="1"/>
                <w:bCs w:val="1"/>
                <w:color w:val="auto"/>
                <w:w w:val="93"/>
              </w:rPr>
              <w:t>(Amounts in</w:t>
            </w:r>
          </w:p>
        </w:tc>
      </w:tr>
      <w:tr>
        <w:trPr>
          <w:trHeight w:val="171"/>
        </w:trPr>
        <w:tc>
          <w:tcPr>
            <w:tcW w:w="92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660" w:type="dxa"/>
            <w:vAlign w:val="bottom"/>
            <w:gridSpan w:val="2"/>
          </w:tcPr>
          <w:p>
            <w:pPr>
              <w:jc w:val="center"/>
              <w:ind w:right="460"/>
              <w:spacing w:after="0"/>
              <w:rPr>
                <w:sz w:val="20"/>
                <w:szCs w:val="20"/>
                <w:color w:val="auto"/>
              </w:rPr>
            </w:pPr>
            <w:r>
              <w:rPr>
                <w:rFonts w:ascii="Arial" w:cs="Arial" w:eastAsia="Arial" w:hAnsi="Arial"/>
                <w:sz w:val="14"/>
                <w:szCs w:val="14"/>
                <w:b w:val="1"/>
                <w:bCs w:val="1"/>
                <w:color w:val="auto"/>
                <w:w w:val="90"/>
              </w:rPr>
              <w:t>Thousands)</w:t>
            </w:r>
          </w:p>
        </w:tc>
      </w:tr>
      <w:tr>
        <w:trPr>
          <w:trHeight w:val="223"/>
        </w:trPr>
        <w:tc>
          <w:tcPr>
            <w:tcW w:w="92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Goodwill</w:t>
            </w:r>
          </w:p>
        </w:tc>
        <w:tc>
          <w:tcPr>
            <w:tcW w:w="320" w:type="dxa"/>
            <w:vAlign w:val="bottom"/>
            <w:tcBorders>
              <w:top w:val="single" w:sz="8" w:color="auto"/>
            </w:tcBorders>
            <w:shd w:val="clear" w:color="auto" w:fill="CFF0FC"/>
          </w:tcPr>
          <w:p>
            <w:pPr>
              <w:jc w:val="right"/>
              <w:ind w:right="167"/>
              <w:spacing w:after="0"/>
              <w:rPr>
                <w:sz w:val="20"/>
                <w:szCs w:val="20"/>
                <w:color w:val="auto"/>
              </w:rPr>
            </w:pPr>
            <w:r>
              <w:rPr>
                <w:rFonts w:ascii="Arial" w:cs="Arial" w:eastAsia="Arial" w:hAnsi="Arial"/>
                <w:sz w:val="15"/>
                <w:szCs w:val="15"/>
                <w:color w:val="auto"/>
                <w:w w:val="71"/>
              </w:rPr>
              <w:t>$</w:t>
            </w:r>
          </w:p>
        </w:tc>
        <w:tc>
          <w:tcPr>
            <w:tcW w:w="15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16,972</w:t>
            </w:r>
          </w:p>
        </w:tc>
        <w:tc>
          <w:tcPr>
            <w:tcW w:w="100" w:type="dxa"/>
            <w:vAlign w:val="bottom"/>
            <w:tcBorders>
              <w:top w:val="single" w:sz="8" w:color="CFF0FC"/>
            </w:tcBorders>
            <w:shd w:val="clear" w:color="auto" w:fill="CFF0FC"/>
          </w:tcPr>
          <w:p>
            <w:pPr>
              <w:spacing w:after="0"/>
              <w:rPr>
                <w:sz w:val="19"/>
                <w:szCs w:val="19"/>
                <w:color w:val="auto"/>
              </w:rPr>
            </w:pPr>
          </w:p>
        </w:tc>
      </w:tr>
      <w:tr>
        <w:trPr>
          <w:trHeight w:val="230"/>
        </w:trPr>
        <w:tc>
          <w:tcPr>
            <w:tcW w:w="9260" w:type="dxa"/>
            <w:vAlign w:val="bottom"/>
          </w:tcPr>
          <w:p>
            <w:pPr>
              <w:spacing w:after="0"/>
              <w:rPr>
                <w:sz w:val="20"/>
                <w:szCs w:val="20"/>
                <w:color w:val="auto"/>
              </w:rPr>
            </w:pPr>
            <w:r>
              <w:rPr>
                <w:rFonts w:ascii="Arial" w:cs="Arial" w:eastAsia="Arial" w:hAnsi="Arial"/>
                <w:sz w:val="18"/>
                <w:szCs w:val="18"/>
                <w:color w:val="auto"/>
              </w:rPr>
              <w:t>Identifiable intangible assets</w:t>
            </w:r>
          </w:p>
        </w:tc>
        <w:tc>
          <w:tcPr>
            <w:tcW w:w="32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5,422</w:t>
            </w:r>
          </w:p>
        </w:tc>
        <w:tc>
          <w:tcPr>
            <w:tcW w:w="100" w:type="dxa"/>
            <w:vAlign w:val="bottom"/>
          </w:tcPr>
          <w:p>
            <w:pPr>
              <w:spacing w:after="0"/>
              <w:rPr>
                <w:sz w:val="19"/>
                <w:szCs w:val="19"/>
                <w:color w:val="auto"/>
              </w:rPr>
            </w:pPr>
          </w:p>
        </w:tc>
      </w:tr>
      <w:tr>
        <w:trPr>
          <w:trHeight w:val="229"/>
        </w:trPr>
        <w:tc>
          <w:tcPr>
            <w:tcW w:w="9260" w:type="dxa"/>
            <w:vAlign w:val="bottom"/>
            <w:shd w:val="clear" w:color="auto" w:fill="CFF0FC"/>
          </w:tcPr>
          <w:p>
            <w:pPr>
              <w:spacing w:after="0"/>
              <w:rPr>
                <w:sz w:val="20"/>
                <w:szCs w:val="20"/>
                <w:color w:val="auto"/>
              </w:rPr>
            </w:pPr>
            <w:r>
              <w:rPr>
                <w:rFonts w:ascii="Arial" w:cs="Arial" w:eastAsia="Arial" w:hAnsi="Arial"/>
                <w:sz w:val="18"/>
                <w:szCs w:val="18"/>
                <w:color w:val="auto"/>
              </w:rPr>
              <w:t>Cash</w:t>
            </w:r>
          </w:p>
        </w:tc>
        <w:tc>
          <w:tcPr>
            <w:tcW w:w="320" w:type="dxa"/>
            <w:vAlign w:val="bottom"/>
            <w:shd w:val="clear" w:color="auto" w:fill="CFF0FC"/>
          </w:tcPr>
          <w:p>
            <w:pPr>
              <w:spacing w:after="0"/>
              <w:rPr>
                <w:sz w:val="19"/>
                <w:szCs w:val="19"/>
                <w:color w:val="auto"/>
              </w:rPr>
            </w:pPr>
          </w:p>
        </w:tc>
        <w:tc>
          <w:tcPr>
            <w:tcW w:w="15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177</w:t>
            </w:r>
          </w:p>
        </w:tc>
        <w:tc>
          <w:tcPr>
            <w:tcW w:w="100" w:type="dxa"/>
            <w:vAlign w:val="bottom"/>
            <w:shd w:val="clear" w:color="auto" w:fill="CFF0FC"/>
          </w:tcPr>
          <w:p>
            <w:pPr>
              <w:spacing w:after="0"/>
              <w:rPr>
                <w:sz w:val="19"/>
                <w:szCs w:val="19"/>
                <w:color w:val="auto"/>
              </w:rPr>
            </w:pPr>
          </w:p>
        </w:tc>
      </w:tr>
      <w:tr>
        <w:trPr>
          <w:trHeight w:val="229"/>
        </w:trPr>
        <w:tc>
          <w:tcPr>
            <w:tcW w:w="9260" w:type="dxa"/>
            <w:vAlign w:val="bottom"/>
          </w:tcPr>
          <w:p>
            <w:pPr>
              <w:spacing w:after="0"/>
              <w:rPr>
                <w:sz w:val="20"/>
                <w:szCs w:val="20"/>
                <w:color w:val="auto"/>
              </w:rPr>
            </w:pPr>
            <w:r>
              <w:rPr>
                <w:rFonts w:ascii="Arial" w:cs="Arial" w:eastAsia="Arial" w:hAnsi="Arial"/>
                <w:sz w:val="18"/>
                <w:szCs w:val="18"/>
                <w:color w:val="auto"/>
              </w:rPr>
              <w:t>Accounts receivable</w:t>
            </w:r>
          </w:p>
        </w:tc>
        <w:tc>
          <w:tcPr>
            <w:tcW w:w="32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1,693</w:t>
            </w:r>
          </w:p>
        </w:tc>
        <w:tc>
          <w:tcPr>
            <w:tcW w:w="100" w:type="dxa"/>
            <w:vAlign w:val="bottom"/>
          </w:tcPr>
          <w:p>
            <w:pPr>
              <w:spacing w:after="0"/>
              <w:rPr>
                <w:sz w:val="19"/>
                <w:szCs w:val="19"/>
                <w:color w:val="auto"/>
              </w:rPr>
            </w:pPr>
          </w:p>
        </w:tc>
      </w:tr>
      <w:tr>
        <w:trPr>
          <w:trHeight w:val="230"/>
        </w:trPr>
        <w:tc>
          <w:tcPr>
            <w:tcW w:w="9260" w:type="dxa"/>
            <w:vAlign w:val="bottom"/>
            <w:shd w:val="clear" w:color="auto" w:fill="CFF0FC"/>
          </w:tcPr>
          <w:p>
            <w:pPr>
              <w:spacing w:after="0"/>
              <w:rPr>
                <w:sz w:val="20"/>
                <w:szCs w:val="20"/>
                <w:color w:val="auto"/>
              </w:rPr>
            </w:pPr>
            <w:r>
              <w:rPr>
                <w:rFonts w:ascii="Arial" w:cs="Arial" w:eastAsia="Arial" w:hAnsi="Arial"/>
                <w:sz w:val="18"/>
                <w:szCs w:val="18"/>
                <w:color w:val="auto"/>
              </w:rPr>
              <w:t>Accounts payable</w:t>
            </w:r>
          </w:p>
        </w:tc>
        <w:tc>
          <w:tcPr>
            <w:tcW w:w="320" w:type="dxa"/>
            <w:vAlign w:val="bottom"/>
            <w:shd w:val="clear" w:color="auto" w:fill="CFF0FC"/>
          </w:tcPr>
          <w:p>
            <w:pPr>
              <w:spacing w:after="0"/>
              <w:rPr>
                <w:sz w:val="19"/>
                <w:szCs w:val="19"/>
                <w:color w:val="auto"/>
              </w:rPr>
            </w:pPr>
          </w:p>
        </w:tc>
        <w:tc>
          <w:tcPr>
            <w:tcW w:w="166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(316)</w:t>
            </w:r>
          </w:p>
        </w:tc>
      </w:tr>
      <w:tr>
        <w:trPr>
          <w:trHeight w:val="229"/>
        </w:trPr>
        <w:tc>
          <w:tcPr>
            <w:tcW w:w="9260" w:type="dxa"/>
            <w:vAlign w:val="bottom"/>
          </w:tcPr>
          <w:p>
            <w:pPr>
              <w:spacing w:after="0"/>
              <w:rPr>
                <w:sz w:val="20"/>
                <w:szCs w:val="20"/>
                <w:color w:val="auto"/>
              </w:rPr>
            </w:pPr>
            <w:r>
              <w:rPr>
                <w:rFonts w:ascii="Arial" w:cs="Arial" w:eastAsia="Arial" w:hAnsi="Arial"/>
                <w:sz w:val="18"/>
                <w:szCs w:val="18"/>
                <w:color w:val="auto"/>
              </w:rPr>
              <w:t>Other liabilities</w:t>
            </w:r>
          </w:p>
        </w:tc>
        <w:tc>
          <w:tcPr>
            <w:tcW w:w="320" w:type="dxa"/>
            <w:vAlign w:val="bottom"/>
          </w:tcPr>
          <w:p>
            <w:pPr>
              <w:spacing w:after="0"/>
              <w:rPr>
                <w:sz w:val="19"/>
                <w:szCs w:val="19"/>
                <w:color w:val="auto"/>
              </w:rPr>
            </w:pPr>
          </w:p>
        </w:tc>
        <w:tc>
          <w:tcPr>
            <w:tcW w:w="1660" w:type="dxa"/>
            <w:vAlign w:val="bottom"/>
            <w:gridSpan w:val="2"/>
          </w:tcPr>
          <w:p>
            <w:pPr>
              <w:jc w:val="right"/>
              <w:ind w:right="40"/>
              <w:spacing w:after="0"/>
              <w:rPr>
                <w:sz w:val="20"/>
                <w:szCs w:val="20"/>
                <w:color w:val="auto"/>
              </w:rPr>
            </w:pPr>
            <w:r>
              <w:rPr>
                <w:rFonts w:ascii="Arial" w:cs="Arial" w:eastAsia="Arial" w:hAnsi="Arial"/>
                <w:sz w:val="18"/>
                <w:szCs w:val="18"/>
                <w:color w:val="auto"/>
              </w:rPr>
              <w:t>(490)</w:t>
            </w:r>
          </w:p>
        </w:tc>
      </w:tr>
      <w:tr>
        <w:trPr>
          <w:trHeight w:val="223"/>
        </w:trPr>
        <w:tc>
          <w:tcPr>
            <w:tcW w:w="926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 purchase price</w:t>
            </w:r>
          </w:p>
        </w:tc>
        <w:tc>
          <w:tcPr>
            <w:tcW w:w="320" w:type="dxa"/>
            <w:vAlign w:val="bottom"/>
            <w:tcBorders>
              <w:top w:val="single" w:sz="8" w:color="auto"/>
              <w:bottom w:val="single" w:sz="8" w:color="auto"/>
            </w:tcBorders>
            <w:shd w:val="clear" w:color="auto" w:fill="CFF0FC"/>
          </w:tcPr>
          <w:p>
            <w:pPr>
              <w:jc w:val="right"/>
              <w:ind w:right="167"/>
              <w:spacing w:after="0"/>
              <w:rPr>
                <w:sz w:val="20"/>
                <w:szCs w:val="20"/>
                <w:color w:val="auto"/>
              </w:rPr>
            </w:pPr>
            <w:r>
              <w:rPr>
                <w:rFonts w:ascii="Arial" w:cs="Arial" w:eastAsia="Arial" w:hAnsi="Arial"/>
                <w:sz w:val="15"/>
                <w:szCs w:val="15"/>
                <w:color w:val="auto"/>
                <w:w w:val="71"/>
              </w:rPr>
              <w:t>$</w:t>
            </w:r>
          </w:p>
        </w:tc>
        <w:tc>
          <w:tcPr>
            <w:tcW w:w="15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23,458</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r>
      <w:tr>
        <w:trPr>
          <w:trHeight w:val="20"/>
        </w:trPr>
        <w:tc>
          <w:tcPr>
            <w:tcW w:w="92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88" w:lineRule="exact"/>
        <w:rPr>
          <w:sz w:val="20"/>
          <w:szCs w:val="20"/>
          <w:color w:val="auto"/>
        </w:rPr>
      </w:pPr>
    </w:p>
    <w:p>
      <w:pPr>
        <w:ind w:right="140" w:firstLine="476"/>
        <w:spacing w:after="0" w:line="257" w:lineRule="auto"/>
        <w:rPr>
          <w:sz w:val="20"/>
          <w:szCs w:val="20"/>
          <w:color w:val="auto"/>
        </w:rPr>
      </w:pPr>
      <w:r>
        <w:rPr>
          <w:rFonts w:ascii="Arial" w:cs="Arial" w:eastAsia="Arial" w:hAnsi="Arial"/>
          <w:sz w:val="18"/>
          <w:szCs w:val="18"/>
          <w:color w:val="auto"/>
        </w:rPr>
        <w:t>Identifiable intangible assets acquired consist of $1.1 million in state licenses, subject to amortization, with an estimated useful life of ten years and $4.3 million of indefinite lived state licenses. The estimated fair value of identifiable intangible assets was determined, using Level 3 inputs as defined under ASC Topic 820, with the assistance of a valuation specialist. The fair value analysis and related valuations reflect the conclusions of management. All estimates, key assumptions, and forecasts were either provided by or reviewed by the Company. The goodwill and intangible assets acquired are deductible for tax purposes.</w:t>
      </w:r>
    </w:p>
    <w:p>
      <w:pPr>
        <w:spacing w:after="0" w:line="174" w:lineRule="exact"/>
        <w:rPr>
          <w:sz w:val="20"/>
          <w:szCs w:val="20"/>
          <w:color w:val="auto"/>
        </w:rPr>
      </w:pPr>
    </w:p>
    <w:p>
      <w:pPr>
        <w:ind w:right="160" w:firstLine="476"/>
        <w:spacing w:after="0" w:line="277" w:lineRule="auto"/>
        <w:rPr>
          <w:sz w:val="20"/>
          <w:szCs w:val="20"/>
          <w:color w:val="auto"/>
        </w:rPr>
      </w:pPr>
      <w:r>
        <w:rPr>
          <w:rFonts w:ascii="Arial" w:cs="Arial" w:eastAsia="Arial" w:hAnsi="Arial"/>
          <w:sz w:val="18"/>
          <w:szCs w:val="18"/>
          <w:color w:val="auto"/>
        </w:rPr>
        <w:t>The Alliance acquisition accounted for $4.0 million and $8.7 million of net service revenues and $0.9 million and $1.9 million of operating income for the three and six months ended June 30, 2020, respectively.</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VIP Health Care Services</w:t>
      </w:r>
    </w:p>
    <w:p>
      <w:pPr>
        <w:spacing w:after="0" w:line="77" w:lineRule="exact"/>
        <w:rPr>
          <w:sz w:val="20"/>
          <w:szCs w:val="20"/>
          <w:color w:val="auto"/>
        </w:rPr>
      </w:pPr>
    </w:p>
    <w:p>
      <w:pPr>
        <w:ind w:firstLine="476"/>
        <w:spacing w:after="0" w:line="273" w:lineRule="auto"/>
        <w:rPr>
          <w:sz w:val="20"/>
          <w:szCs w:val="20"/>
          <w:color w:val="auto"/>
        </w:rPr>
      </w:pPr>
      <w:r>
        <w:rPr>
          <w:rFonts w:ascii="Arial" w:cs="Arial" w:eastAsia="Arial" w:hAnsi="Arial"/>
          <w:sz w:val="17"/>
          <w:szCs w:val="17"/>
          <w:color w:val="auto"/>
        </w:rPr>
        <w:t>On June 1, 2019, the Company completed the acquisition of all of the assets of VIP Health Care Services (“VIP”). The purchase price was approximately $29.9 million. The purchase of VIP was funded through a combination of the Company’s delayed draw term loan portion of its credit facility and available cash. With the purchase of VIP, the Company expanded its personal care operations in the state of New York and into the New York City metropolitan area. The related acquisition costs were $0.2 million for the three and six months ended June 30, 2019. The related integration costs were $0.1 million for the three and six months ended June 30, 2020 and 2019, respectively. These costs were included in general and administrative expenses on the Unaudited Condensed Consolidated Statements of Income and were expensed as incurred.</w:t>
      </w:r>
    </w:p>
    <w:p>
      <w:pPr>
        <w:spacing w:after="0" w:line="38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223520</wp:posOffset>
            </wp:positionV>
            <wp:extent cx="713232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29" w:lineRule="exact"/>
        <w:rPr>
          <w:sz w:val="20"/>
          <w:szCs w:val="20"/>
          <w:color w:val="auto"/>
        </w:rPr>
      </w:pPr>
    </w:p>
    <w:p>
      <w:pPr>
        <w:ind w:left="480"/>
        <w:spacing w:after="0"/>
        <w:rPr>
          <w:sz w:val="20"/>
          <w:szCs w:val="20"/>
          <w:color w:val="auto"/>
        </w:rPr>
      </w:pPr>
      <w:r>
        <w:rPr>
          <w:rFonts w:ascii="Arial" w:cs="Arial" w:eastAsia="Arial" w:hAnsi="Arial"/>
          <w:sz w:val="18"/>
          <w:szCs w:val="18"/>
          <w:color w:val="auto"/>
        </w:rPr>
        <w:t>Based upon management’s valuations, the fair values of the assets and liabilities are as follows:</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940" w:type="dxa"/>
            <w:vAlign w:val="bottom"/>
          </w:tcPr>
          <w:p>
            <w:pPr>
              <w:spacing w:after="0"/>
              <w:rPr>
                <w:sz w:val="14"/>
                <w:szCs w:val="14"/>
                <w:color w:val="auto"/>
              </w:rPr>
            </w:pPr>
          </w:p>
        </w:tc>
        <w:tc>
          <w:tcPr>
            <w:tcW w:w="33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660" w:type="dxa"/>
            <w:vAlign w:val="bottom"/>
            <w:gridSpan w:val="2"/>
          </w:tcPr>
          <w:p>
            <w:pPr>
              <w:jc w:val="center"/>
              <w:ind w:right="460"/>
              <w:spacing w:after="0"/>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rPr>
                <w:sz w:val="1"/>
                <w:szCs w:val="1"/>
                <w:color w:val="auto"/>
              </w:rPr>
            </w:pPr>
          </w:p>
        </w:tc>
      </w:tr>
      <w:tr>
        <w:trPr>
          <w:trHeight w:val="148"/>
        </w:trPr>
        <w:tc>
          <w:tcPr>
            <w:tcW w:w="5940" w:type="dxa"/>
            <w:vAlign w:val="bottom"/>
          </w:tcPr>
          <w:p>
            <w:pPr>
              <w:spacing w:after="0"/>
              <w:rPr>
                <w:sz w:val="12"/>
                <w:szCs w:val="12"/>
                <w:color w:val="auto"/>
              </w:rPr>
            </w:pPr>
          </w:p>
        </w:tc>
        <w:tc>
          <w:tcPr>
            <w:tcW w:w="33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660" w:type="dxa"/>
            <w:vAlign w:val="bottom"/>
            <w:gridSpan w:val="2"/>
          </w:tcPr>
          <w:p>
            <w:pPr>
              <w:jc w:val="center"/>
              <w:ind w:right="460"/>
              <w:spacing w:after="0" w:line="149" w:lineRule="exact"/>
              <w:rPr>
                <w:sz w:val="20"/>
                <w:szCs w:val="20"/>
                <w:color w:val="auto"/>
              </w:rPr>
            </w:pPr>
            <w:r>
              <w:rPr>
                <w:rFonts w:ascii="Arial" w:cs="Arial" w:eastAsia="Arial" w:hAnsi="Arial"/>
                <w:sz w:val="14"/>
                <w:szCs w:val="14"/>
                <w:b w:val="1"/>
                <w:bCs w:val="1"/>
                <w:color w:val="auto"/>
                <w:w w:val="93"/>
              </w:rPr>
              <w:t>(Amounts in</w:t>
            </w:r>
          </w:p>
        </w:tc>
        <w:tc>
          <w:tcPr>
            <w:tcW w:w="0" w:type="dxa"/>
            <w:vAlign w:val="bottom"/>
          </w:tcPr>
          <w:p>
            <w:pPr>
              <w:spacing w:after="0"/>
              <w:rPr>
                <w:sz w:val="1"/>
                <w:szCs w:val="1"/>
                <w:color w:val="auto"/>
              </w:rPr>
            </w:pPr>
          </w:p>
        </w:tc>
      </w:tr>
      <w:tr>
        <w:trPr>
          <w:trHeight w:val="171"/>
        </w:trPr>
        <w:tc>
          <w:tcPr>
            <w:tcW w:w="5940" w:type="dxa"/>
            <w:vAlign w:val="bottom"/>
            <w:vMerge w:val="restart"/>
          </w:tcPr>
          <w:p>
            <w:pPr>
              <w:spacing w:after="0"/>
              <w:rPr>
                <w:sz w:val="20"/>
                <w:szCs w:val="20"/>
                <w:color w:val="auto"/>
              </w:rPr>
            </w:pPr>
            <w:r>
              <w:rPr>
                <w:rFonts w:ascii="Arial" w:cs="Arial" w:eastAsia="Arial" w:hAnsi="Arial"/>
                <w:sz w:val="18"/>
                <w:szCs w:val="18"/>
                <w:color w:val="auto"/>
              </w:rPr>
              <w:t>Goodwill</w:t>
            </w:r>
          </w:p>
        </w:tc>
        <w:tc>
          <w:tcPr>
            <w:tcW w:w="33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660" w:type="dxa"/>
            <w:vAlign w:val="bottom"/>
            <w:gridSpan w:val="2"/>
          </w:tcPr>
          <w:p>
            <w:pPr>
              <w:jc w:val="center"/>
              <w:ind w:right="460"/>
              <w:spacing w:after="0"/>
              <w:rPr>
                <w:sz w:val="20"/>
                <w:szCs w:val="20"/>
                <w:color w:val="auto"/>
              </w:rPr>
            </w:pPr>
            <w:r>
              <w:rPr>
                <w:rFonts w:ascii="Arial" w:cs="Arial" w:eastAsia="Arial" w:hAnsi="Arial"/>
                <w:sz w:val="14"/>
                <w:szCs w:val="14"/>
                <w:b w:val="1"/>
                <w:bCs w:val="1"/>
                <w:color w:val="auto"/>
                <w:w w:val="90"/>
              </w:rPr>
              <w:t>Thousands)</w:t>
            </w:r>
          </w:p>
        </w:tc>
        <w:tc>
          <w:tcPr>
            <w:tcW w:w="0" w:type="dxa"/>
            <w:vAlign w:val="bottom"/>
          </w:tcPr>
          <w:p>
            <w:pPr>
              <w:spacing w:after="0"/>
              <w:rPr>
                <w:sz w:val="1"/>
                <w:szCs w:val="1"/>
                <w:color w:val="auto"/>
              </w:rPr>
            </w:pPr>
          </w:p>
        </w:tc>
      </w:tr>
      <w:tr>
        <w:trPr>
          <w:trHeight w:val="223"/>
        </w:trPr>
        <w:tc>
          <w:tcPr>
            <w:tcW w:w="5940" w:type="dxa"/>
            <w:vAlign w:val="bottom"/>
            <w:vMerge w:val="continue"/>
          </w:tcPr>
          <w:p>
            <w:pPr>
              <w:spacing w:after="0"/>
              <w:rPr>
                <w:sz w:val="19"/>
                <w:szCs w:val="19"/>
                <w:color w:val="auto"/>
              </w:rPr>
            </w:pPr>
          </w:p>
        </w:tc>
        <w:tc>
          <w:tcPr>
            <w:tcW w:w="3320" w:type="dxa"/>
            <w:vAlign w:val="bottom"/>
          </w:tcPr>
          <w:p>
            <w:pPr>
              <w:spacing w:after="0"/>
              <w:rPr>
                <w:sz w:val="19"/>
                <w:szCs w:val="19"/>
                <w:color w:val="auto"/>
              </w:rPr>
            </w:pPr>
          </w:p>
        </w:tc>
        <w:tc>
          <w:tcPr>
            <w:tcW w:w="320" w:type="dxa"/>
            <w:vAlign w:val="bottom"/>
            <w:tcBorders>
              <w:top w:val="single" w:sz="8" w:color="auto"/>
            </w:tcBorders>
          </w:tcPr>
          <w:p>
            <w:pPr>
              <w:jc w:val="right"/>
              <w:ind w:right="167"/>
              <w:spacing w:after="0"/>
              <w:rPr>
                <w:sz w:val="20"/>
                <w:szCs w:val="20"/>
                <w:color w:val="auto"/>
              </w:rPr>
            </w:pPr>
            <w:r>
              <w:rPr>
                <w:rFonts w:ascii="Arial" w:cs="Arial" w:eastAsia="Arial" w:hAnsi="Arial"/>
                <w:sz w:val="15"/>
                <w:szCs w:val="15"/>
                <w:color w:val="auto"/>
                <w:w w:val="71"/>
              </w:rPr>
              <w:t>$</w:t>
            </w:r>
          </w:p>
        </w:tc>
        <w:tc>
          <w:tcPr>
            <w:tcW w:w="15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11,936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940" w:type="dxa"/>
            <w:vAlign w:val="bottom"/>
            <w:shd w:val="clear" w:color="auto" w:fill="CFF0FC"/>
          </w:tcPr>
          <w:p>
            <w:pPr>
              <w:spacing w:after="0"/>
              <w:rPr>
                <w:sz w:val="20"/>
                <w:szCs w:val="20"/>
                <w:color w:val="auto"/>
              </w:rPr>
            </w:pPr>
            <w:r>
              <w:rPr>
                <w:rFonts w:ascii="Arial" w:cs="Arial" w:eastAsia="Arial" w:hAnsi="Arial"/>
                <w:sz w:val="18"/>
                <w:szCs w:val="18"/>
                <w:color w:val="auto"/>
              </w:rPr>
              <w:t>Identifiable intangible assets</w:t>
            </w:r>
          </w:p>
        </w:tc>
        <w:tc>
          <w:tcPr>
            <w:tcW w:w="332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5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15,370</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940" w:type="dxa"/>
            <w:vAlign w:val="bottom"/>
          </w:tcPr>
          <w:p>
            <w:pPr>
              <w:spacing w:after="0"/>
              <w:rPr>
                <w:sz w:val="20"/>
                <w:szCs w:val="20"/>
                <w:color w:val="auto"/>
              </w:rPr>
            </w:pPr>
            <w:r>
              <w:rPr>
                <w:rFonts w:ascii="Arial" w:cs="Arial" w:eastAsia="Arial" w:hAnsi="Arial"/>
                <w:sz w:val="18"/>
                <w:szCs w:val="18"/>
                <w:color w:val="auto"/>
              </w:rPr>
              <w:t>Cash</w:t>
            </w:r>
          </w:p>
        </w:tc>
        <w:tc>
          <w:tcPr>
            <w:tcW w:w="33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130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940" w:type="dxa"/>
            <w:vAlign w:val="bottom"/>
            <w:shd w:val="clear" w:color="auto" w:fill="CFF0FC"/>
          </w:tcPr>
          <w:p>
            <w:pPr>
              <w:spacing w:after="0"/>
              <w:rPr>
                <w:sz w:val="20"/>
                <w:szCs w:val="20"/>
                <w:color w:val="auto"/>
              </w:rPr>
            </w:pPr>
            <w:r>
              <w:rPr>
                <w:rFonts w:ascii="Arial" w:cs="Arial" w:eastAsia="Arial" w:hAnsi="Arial"/>
                <w:sz w:val="18"/>
                <w:szCs w:val="18"/>
                <w:color w:val="auto"/>
              </w:rPr>
              <w:t>Accounts receivable</w:t>
            </w:r>
          </w:p>
        </w:tc>
        <w:tc>
          <w:tcPr>
            <w:tcW w:w="332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5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4,730</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940" w:type="dxa"/>
            <w:vAlign w:val="bottom"/>
          </w:tcPr>
          <w:p>
            <w:pPr>
              <w:spacing w:after="0"/>
              <w:rPr>
                <w:sz w:val="20"/>
                <w:szCs w:val="20"/>
                <w:color w:val="auto"/>
              </w:rPr>
            </w:pPr>
            <w:r>
              <w:rPr>
                <w:rFonts w:ascii="Arial" w:cs="Arial" w:eastAsia="Arial" w:hAnsi="Arial"/>
                <w:sz w:val="18"/>
                <w:szCs w:val="18"/>
                <w:color w:val="auto"/>
              </w:rPr>
              <w:t>Operating lease assets, net</w:t>
            </w:r>
          </w:p>
        </w:tc>
        <w:tc>
          <w:tcPr>
            <w:tcW w:w="33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2,278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940" w:type="dxa"/>
            <w:vAlign w:val="bottom"/>
            <w:shd w:val="clear" w:color="auto" w:fill="CFF0FC"/>
          </w:tcPr>
          <w:p>
            <w:pPr>
              <w:spacing w:after="0"/>
              <w:rPr>
                <w:sz w:val="20"/>
                <w:szCs w:val="20"/>
                <w:color w:val="auto"/>
              </w:rPr>
            </w:pPr>
            <w:r>
              <w:rPr>
                <w:rFonts w:ascii="Arial" w:cs="Arial" w:eastAsia="Arial" w:hAnsi="Arial"/>
                <w:sz w:val="18"/>
                <w:szCs w:val="18"/>
                <w:color w:val="auto"/>
              </w:rPr>
              <w:t>Other assets</w:t>
            </w:r>
          </w:p>
        </w:tc>
        <w:tc>
          <w:tcPr>
            <w:tcW w:w="332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5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940" w:type="dxa"/>
            <w:vAlign w:val="bottom"/>
          </w:tcPr>
          <w:p>
            <w:pPr>
              <w:spacing w:after="0"/>
              <w:rPr>
                <w:sz w:val="20"/>
                <w:szCs w:val="20"/>
                <w:color w:val="auto"/>
              </w:rPr>
            </w:pPr>
            <w:r>
              <w:rPr>
                <w:rFonts w:ascii="Arial" w:cs="Arial" w:eastAsia="Arial" w:hAnsi="Arial"/>
                <w:sz w:val="18"/>
                <w:szCs w:val="18"/>
                <w:color w:val="auto"/>
              </w:rPr>
              <w:t>Property and equipment</w:t>
            </w:r>
          </w:p>
        </w:tc>
        <w:tc>
          <w:tcPr>
            <w:tcW w:w="33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27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940" w:type="dxa"/>
            <w:vAlign w:val="bottom"/>
            <w:shd w:val="clear" w:color="auto" w:fill="CFF0FC"/>
          </w:tcPr>
          <w:p>
            <w:pPr>
              <w:spacing w:after="0"/>
              <w:rPr>
                <w:sz w:val="20"/>
                <w:szCs w:val="20"/>
                <w:color w:val="auto"/>
              </w:rPr>
            </w:pPr>
            <w:r>
              <w:rPr>
                <w:rFonts w:ascii="Arial" w:cs="Arial" w:eastAsia="Arial" w:hAnsi="Arial"/>
                <w:sz w:val="18"/>
                <w:szCs w:val="18"/>
                <w:color w:val="auto"/>
              </w:rPr>
              <w:t>Accounts payable</w:t>
            </w:r>
          </w:p>
        </w:tc>
        <w:tc>
          <w:tcPr>
            <w:tcW w:w="332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66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(540)</w:t>
            </w:r>
          </w:p>
        </w:tc>
        <w:tc>
          <w:tcPr>
            <w:tcW w:w="0" w:type="dxa"/>
            <w:vAlign w:val="bottom"/>
          </w:tcPr>
          <w:p>
            <w:pPr>
              <w:spacing w:after="0"/>
              <w:rPr>
                <w:sz w:val="1"/>
                <w:szCs w:val="1"/>
                <w:color w:val="auto"/>
              </w:rPr>
            </w:pPr>
          </w:p>
        </w:tc>
      </w:tr>
      <w:tr>
        <w:trPr>
          <w:trHeight w:val="229"/>
        </w:trPr>
        <w:tc>
          <w:tcPr>
            <w:tcW w:w="5940" w:type="dxa"/>
            <w:vAlign w:val="bottom"/>
          </w:tcPr>
          <w:p>
            <w:pPr>
              <w:spacing w:after="0"/>
              <w:rPr>
                <w:sz w:val="20"/>
                <w:szCs w:val="20"/>
                <w:color w:val="auto"/>
              </w:rPr>
            </w:pPr>
            <w:r>
              <w:rPr>
                <w:rFonts w:ascii="Arial" w:cs="Arial" w:eastAsia="Arial" w:hAnsi="Arial"/>
                <w:sz w:val="18"/>
                <w:szCs w:val="18"/>
                <w:color w:val="auto"/>
              </w:rPr>
              <w:t>Accrued expenses</w:t>
            </w:r>
          </w:p>
        </w:tc>
        <w:tc>
          <w:tcPr>
            <w:tcW w:w="33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660" w:type="dxa"/>
            <w:vAlign w:val="bottom"/>
            <w:gridSpan w:val="2"/>
          </w:tcPr>
          <w:p>
            <w:pPr>
              <w:jc w:val="right"/>
              <w:ind w:right="40"/>
              <w:spacing w:after="0"/>
              <w:rPr>
                <w:sz w:val="20"/>
                <w:szCs w:val="20"/>
                <w:color w:val="auto"/>
              </w:rPr>
            </w:pPr>
            <w:r>
              <w:rPr>
                <w:rFonts w:ascii="Arial" w:cs="Arial" w:eastAsia="Arial" w:hAnsi="Arial"/>
                <w:sz w:val="18"/>
                <w:szCs w:val="18"/>
                <w:color w:val="auto"/>
              </w:rPr>
              <w:t>(770)</w:t>
            </w:r>
          </w:p>
        </w:tc>
        <w:tc>
          <w:tcPr>
            <w:tcW w:w="0" w:type="dxa"/>
            <w:vAlign w:val="bottom"/>
          </w:tcPr>
          <w:p>
            <w:pPr>
              <w:spacing w:after="0"/>
              <w:rPr>
                <w:sz w:val="1"/>
                <w:szCs w:val="1"/>
                <w:color w:val="auto"/>
              </w:rPr>
            </w:pPr>
          </w:p>
        </w:tc>
      </w:tr>
      <w:tr>
        <w:trPr>
          <w:trHeight w:val="230"/>
        </w:trPr>
        <w:tc>
          <w:tcPr>
            <w:tcW w:w="5940" w:type="dxa"/>
            <w:vAlign w:val="bottom"/>
            <w:shd w:val="clear" w:color="auto" w:fill="CFF0FC"/>
          </w:tcPr>
          <w:p>
            <w:pPr>
              <w:spacing w:after="0"/>
              <w:rPr>
                <w:sz w:val="20"/>
                <w:szCs w:val="20"/>
                <w:color w:val="auto"/>
              </w:rPr>
            </w:pPr>
            <w:r>
              <w:rPr>
                <w:rFonts w:ascii="Arial" w:cs="Arial" w:eastAsia="Arial" w:hAnsi="Arial"/>
                <w:sz w:val="18"/>
                <w:szCs w:val="18"/>
                <w:color w:val="auto"/>
              </w:rPr>
              <w:t>Accrued payroll</w:t>
            </w:r>
          </w:p>
        </w:tc>
        <w:tc>
          <w:tcPr>
            <w:tcW w:w="332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66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(1,742)</w:t>
            </w:r>
          </w:p>
        </w:tc>
        <w:tc>
          <w:tcPr>
            <w:tcW w:w="0" w:type="dxa"/>
            <w:vAlign w:val="bottom"/>
          </w:tcPr>
          <w:p>
            <w:pPr>
              <w:spacing w:after="0"/>
              <w:rPr>
                <w:sz w:val="1"/>
                <w:szCs w:val="1"/>
                <w:color w:val="auto"/>
              </w:rPr>
            </w:pPr>
          </w:p>
        </w:tc>
      </w:tr>
      <w:tr>
        <w:trPr>
          <w:trHeight w:val="229"/>
        </w:trPr>
        <w:tc>
          <w:tcPr>
            <w:tcW w:w="5940" w:type="dxa"/>
            <w:vAlign w:val="bottom"/>
          </w:tcPr>
          <w:p>
            <w:pPr>
              <w:spacing w:after="0"/>
              <w:rPr>
                <w:sz w:val="20"/>
                <w:szCs w:val="20"/>
                <w:color w:val="auto"/>
              </w:rPr>
            </w:pPr>
            <w:r>
              <w:rPr>
                <w:rFonts w:ascii="Arial" w:cs="Arial" w:eastAsia="Arial" w:hAnsi="Arial"/>
                <w:sz w:val="18"/>
                <w:szCs w:val="18"/>
                <w:color w:val="auto"/>
              </w:rPr>
              <w:t>Long-term operating lease liabilities</w:t>
            </w:r>
          </w:p>
        </w:tc>
        <w:tc>
          <w:tcPr>
            <w:tcW w:w="33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660" w:type="dxa"/>
            <w:vAlign w:val="bottom"/>
            <w:gridSpan w:val="2"/>
          </w:tcPr>
          <w:p>
            <w:pPr>
              <w:jc w:val="right"/>
              <w:ind w:right="40"/>
              <w:spacing w:after="0"/>
              <w:rPr>
                <w:sz w:val="20"/>
                <w:szCs w:val="20"/>
                <w:color w:val="auto"/>
              </w:rPr>
            </w:pPr>
            <w:r>
              <w:rPr>
                <w:rFonts w:ascii="Arial" w:cs="Arial" w:eastAsia="Arial" w:hAnsi="Arial"/>
                <w:sz w:val="18"/>
                <w:szCs w:val="18"/>
                <w:color w:val="auto"/>
              </w:rPr>
              <w:t>(1,531)</w:t>
            </w:r>
          </w:p>
        </w:tc>
        <w:tc>
          <w:tcPr>
            <w:tcW w:w="0" w:type="dxa"/>
            <w:vAlign w:val="bottom"/>
          </w:tcPr>
          <w:p>
            <w:pPr>
              <w:spacing w:after="0"/>
              <w:rPr>
                <w:sz w:val="1"/>
                <w:szCs w:val="1"/>
                <w:color w:val="auto"/>
              </w:rPr>
            </w:pPr>
          </w:p>
        </w:tc>
      </w:tr>
      <w:tr>
        <w:trPr>
          <w:trHeight w:val="223"/>
        </w:trPr>
        <w:tc>
          <w:tcPr>
            <w:tcW w:w="594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 purchase price</w:t>
            </w:r>
          </w:p>
        </w:tc>
        <w:tc>
          <w:tcPr>
            <w:tcW w:w="3320" w:type="dxa"/>
            <w:vAlign w:val="bottom"/>
            <w:tcBorders>
              <w:top w:val="single" w:sz="8" w:color="CFF0FC"/>
              <w:bottom w:val="single" w:sz="8" w:color="CFF0FC"/>
            </w:tcBorders>
            <w:shd w:val="clear" w:color="auto" w:fill="CFF0FC"/>
          </w:tcPr>
          <w:p>
            <w:pPr>
              <w:spacing w:after="0"/>
              <w:rPr>
                <w:sz w:val="19"/>
                <w:szCs w:val="19"/>
                <w:color w:val="auto"/>
              </w:rPr>
            </w:pPr>
          </w:p>
        </w:tc>
        <w:tc>
          <w:tcPr>
            <w:tcW w:w="320" w:type="dxa"/>
            <w:vAlign w:val="bottom"/>
            <w:tcBorders>
              <w:top w:val="single" w:sz="8" w:color="auto"/>
              <w:bottom w:val="single" w:sz="8" w:color="auto"/>
            </w:tcBorders>
            <w:shd w:val="clear" w:color="auto" w:fill="CFF0FC"/>
          </w:tcPr>
          <w:p>
            <w:pPr>
              <w:jc w:val="right"/>
              <w:ind w:right="167"/>
              <w:spacing w:after="0"/>
              <w:rPr>
                <w:sz w:val="20"/>
                <w:szCs w:val="20"/>
                <w:color w:val="auto"/>
              </w:rPr>
            </w:pPr>
            <w:r>
              <w:rPr>
                <w:rFonts w:ascii="Arial" w:cs="Arial" w:eastAsia="Arial" w:hAnsi="Arial"/>
                <w:sz w:val="15"/>
                <w:szCs w:val="15"/>
                <w:color w:val="auto"/>
                <w:w w:val="71"/>
              </w:rPr>
              <w:t>$</w:t>
            </w:r>
          </w:p>
        </w:tc>
        <w:tc>
          <w:tcPr>
            <w:tcW w:w="15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29,918</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940" w:type="dxa"/>
            <w:vAlign w:val="bottom"/>
          </w:tcPr>
          <w:p>
            <w:pPr>
              <w:spacing w:after="0" w:line="20" w:lineRule="exact"/>
              <w:rPr>
                <w:sz w:val="1"/>
                <w:szCs w:val="1"/>
                <w:color w:val="auto"/>
              </w:rPr>
            </w:pPr>
          </w:p>
        </w:tc>
        <w:tc>
          <w:tcPr>
            <w:tcW w:w="33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8" w:lineRule="exact"/>
        <w:rPr>
          <w:sz w:val="20"/>
          <w:szCs w:val="20"/>
          <w:color w:val="auto"/>
        </w:rPr>
      </w:pPr>
    </w:p>
    <w:p>
      <w:pPr>
        <w:ind w:firstLine="476"/>
        <w:spacing w:after="0" w:line="257" w:lineRule="auto"/>
        <w:rPr>
          <w:sz w:val="20"/>
          <w:szCs w:val="20"/>
          <w:color w:val="auto"/>
        </w:rPr>
      </w:pPr>
      <w:r>
        <w:rPr>
          <w:rFonts w:ascii="Arial" w:cs="Arial" w:eastAsia="Arial" w:hAnsi="Arial"/>
          <w:sz w:val="18"/>
          <w:szCs w:val="18"/>
          <w:color w:val="auto"/>
        </w:rPr>
        <w:t>Identifiable intangible assets acquired consist of $10.7 million in state licenses, subject to amortization, and $4.7 million in customer relationships, with estimated useful lives of six and eight years, respectively. The estimated fair value of identifiable intangible assets was determined, using Level 3 inputs as defined under ASC Topic 820, with the assistance of a valuation specialist. The fair value analysis and related valuations reflect the conclusions of management. All estimates, key assumptions, and forecasts were either provided by or reviewed by the Company. The goodwill and intangible assets acquired are deductible for tax purposes.</w:t>
      </w:r>
    </w:p>
    <w:p>
      <w:pPr>
        <w:spacing w:after="0" w:line="134" w:lineRule="exact"/>
        <w:rPr>
          <w:sz w:val="20"/>
          <w:szCs w:val="20"/>
          <w:color w:val="auto"/>
        </w:rPr>
      </w:pPr>
    </w:p>
    <w:p>
      <w:pPr>
        <w:ind w:right="60" w:firstLine="476"/>
        <w:spacing w:after="0" w:line="263" w:lineRule="auto"/>
        <w:rPr>
          <w:sz w:val="20"/>
          <w:szCs w:val="20"/>
          <w:color w:val="auto"/>
        </w:rPr>
      </w:pPr>
      <w:r>
        <w:rPr>
          <w:rFonts w:ascii="Arial" w:cs="Arial" w:eastAsia="Arial" w:hAnsi="Arial"/>
          <w:sz w:val="18"/>
          <w:szCs w:val="18"/>
          <w:color w:val="auto"/>
        </w:rPr>
        <w:t>The VIP acquisition accounted for $9.3 million and $4.4 million of net service revenues for the three months ended June 30, 2020 and 2019, respectively, and $20.8 million and $4.4 million for the six months ended June 30, 2020 and 2019, respectively, and $0.7 million of operating loss and $0.3 million of operating income for the three and six months ended June 30, 2020 and 2019, respectively.</w:t>
      </w:r>
    </w:p>
    <w:p>
      <w:pPr>
        <w:spacing w:after="0" w:line="130" w:lineRule="exact"/>
        <w:rPr>
          <w:sz w:val="20"/>
          <w:szCs w:val="20"/>
          <w:color w:val="auto"/>
        </w:rPr>
      </w:pPr>
    </w:p>
    <w:p>
      <w:pPr>
        <w:ind w:right="500" w:firstLine="476"/>
        <w:spacing w:after="0" w:line="308" w:lineRule="auto"/>
        <w:rPr>
          <w:sz w:val="20"/>
          <w:szCs w:val="20"/>
          <w:color w:val="auto"/>
        </w:rPr>
      </w:pPr>
      <w:r>
        <w:rPr>
          <w:rFonts w:ascii="Arial" w:cs="Arial" w:eastAsia="Arial" w:hAnsi="Arial"/>
          <w:sz w:val="17"/>
          <w:szCs w:val="17"/>
          <w:color w:val="auto"/>
        </w:rPr>
        <w:t>For the three and six months ended June 30, 2019, the following table contains unaudited pro forma condensed consolidated income statement information of the Company as if each of the acquisitions of Hospice Partners, Alliance and VIP closed on January 1, 2019.</w:t>
      </w:r>
    </w:p>
    <w:p>
      <w:pPr>
        <w:spacing w:after="0" w:line="12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7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740" w:type="dxa"/>
            <w:vAlign w:val="bottom"/>
          </w:tcPr>
          <w:p>
            <w:pPr>
              <w:jc w:val="center"/>
              <w:ind w:right="118"/>
              <w:spacing w:after="0"/>
              <w:rPr>
                <w:sz w:val="20"/>
                <w:szCs w:val="20"/>
                <w:color w:val="auto"/>
              </w:rPr>
            </w:pPr>
            <w:r>
              <w:rPr>
                <w:rFonts w:ascii="Arial" w:cs="Arial" w:eastAsia="Arial" w:hAnsi="Arial"/>
                <w:sz w:val="14"/>
                <w:szCs w:val="14"/>
                <w:b w:val="1"/>
                <w:bCs w:val="1"/>
                <w:color w:val="auto"/>
                <w:w w:val="93"/>
              </w:rPr>
              <w:t>For the Three Months Ended June 30,</w:t>
            </w:r>
          </w:p>
        </w:tc>
        <w:tc>
          <w:tcPr>
            <w:tcW w:w="3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80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2"/>
              </w:rPr>
              <w:t>For the Six Months Ended June 30,</w:t>
            </w:r>
          </w:p>
        </w:tc>
        <w:tc>
          <w:tcPr>
            <w:tcW w:w="0" w:type="dxa"/>
            <w:vAlign w:val="bottom"/>
          </w:tcPr>
          <w:p>
            <w:pPr>
              <w:spacing w:after="0"/>
              <w:rPr>
                <w:sz w:val="1"/>
                <w:szCs w:val="1"/>
                <w:color w:val="auto"/>
              </w:rPr>
            </w:pPr>
          </w:p>
        </w:tc>
      </w:tr>
      <w:tr>
        <w:trPr>
          <w:trHeight w:val="171"/>
        </w:trPr>
        <w:tc>
          <w:tcPr>
            <w:tcW w:w="47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740" w:type="dxa"/>
            <w:vAlign w:val="bottom"/>
          </w:tcPr>
          <w:p>
            <w:pPr>
              <w:jc w:val="center"/>
              <w:ind w:right="138"/>
              <w:spacing w:after="0"/>
              <w:rPr>
                <w:sz w:val="20"/>
                <w:szCs w:val="20"/>
                <w:color w:val="auto"/>
              </w:rPr>
            </w:pPr>
            <w:r>
              <w:rPr>
                <w:rFonts w:ascii="Arial" w:cs="Arial" w:eastAsia="Arial" w:hAnsi="Arial"/>
                <w:sz w:val="14"/>
                <w:szCs w:val="14"/>
                <w:b w:val="1"/>
                <w:bCs w:val="1"/>
                <w:color w:val="auto"/>
                <w:w w:val="92"/>
              </w:rPr>
              <w:t>(Amounts in Thousands)</w:t>
            </w:r>
          </w:p>
        </w:tc>
        <w:tc>
          <w:tcPr>
            <w:tcW w:w="3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80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2"/>
              </w:rPr>
              <w:t>(Amounts in Thousands)</w:t>
            </w:r>
          </w:p>
        </w:tc>
        <w:tc>
          <w:tcPr>
            <w:tcW w:w="0" w:type="dxa"/>
            <w:vAlign w:val="bottom"/>
          </w:tcPr>
          <w:p>
            <w:pPr>
              <w:spacing w:after="0"/>
              <w:rPr>
                <w:sz w:val="1"/>
                <w:szCs w:val="1"/>
                <w:color w:val="auto"/>
              </w:rPr>
            </w:pPr>
          </w:p>
        </w:tc>
      </w:tr>
      <w:tr>
        <w:trPr>
          <w:trHeight w:val="155"/>
        </w:trPr>
        <w:tc>
          <w:tcPr>
            <w:tcW w:w="4740" w:type="dxa"/>
            <w:vAlign w:val="bottom"/>
            <w:tcBorders>
              <w:bottom w:val="single" w:sz="8" w:color="CFF0FC"/>
            </w:tcBorders>
          </w:tcPr>
          <w:p>
            <w:pPr>
              <w:spacing w:after="0"/>
              <w:rPr>
                <w:sz w:val="13"/>
                <w:szCs w:val="13"/>
                <w:color w:val="auto"/>
              </w:rPr>
            </w:pPr>
          </w:p>
        </w:tc>
        <w:tc>
          <w:tcPr>
            <w:tcW w:w="200" w:type="dxa"/>
            <w:vAlign w:val="bottom"/>
            <w:tcBorders>
              <w:top w:val="single" w:sz="8" w:color="auto"/>
              <w:bottom w:val="single" w:sz="8" w:color="CFF0FC"/>
            </w:tcBorders>
          </w:tcPr>
          <w:p>
            <w:pPr>
              <w:spacing w:after="0"/>
              <w:rPr>
                <w:sz w:val="13"/>
                <w:szCs w:val="13"/>
                <w:color w:val="auto"/>
              </w:rPr>
            </w:pPr>
          </w:p>
        </w:tc>
        <w:tc>
          <w:tcPr>
            <w:tcW w:w="200" w:type="dxa"/>
            <w:vAlign w:val="bottom"/>
            <w:tcBorders>
              <w:top w:val="single" w:sz="8" w:color="auto"/>
              <w:bottom w:val="single" w:sz="8" w:color="auto"/>
            </w:tcBorders>
          </w:tcPr>
          <w:p>
            <w:pPr>
              <w:spacing w:after="0"/>
              <w:rPr>
                <w:sz w:val="13"/>
                <w:szCs w:val="13"/>
                <w:color w:val="auto"/>
              </w:rPr>
            </w:pPr>
          </w:p>
        </w:tc>
        <w:tc>
          <w:tcPr>
            <w:tcW w:w="2740" w:type="dxa"/>
            <w:vAlign w:val="bottom"/>
            <w:tcBorders>
              <w:top w:val="single" w:sz="8" w:color="auto"/>
              <w:bottom w:val="single" w:sz="8" w:color="auto"/>
            </w:tcBorders>
          </w:tcPr>
          <w:p>
            <w:pPr>
              <w:jc w:val="center"/>
              <w:ind w:right="118"/>
              <w:spacing w:after="0" w:line="155" w:lineRule="exact"/>
              <w:rPr>
                <w:sz w:val="20"/>
                <w:szCs w:val="20"/>
                <w:color w:val="auto"/>
              </w:rPr>
            </w:pPr>
            <w:r>
              <w:rPr>
                <w:rFonts w:ascii="Arial" w:cs="Arial" w:eastAsia="Arial" w:hAnsi="Arial"/>
                <w:sz w:val="14"/>
                <w:szCs w:val="14"/>
                <w:b w:val="1"/>
                <w:bCs w:val="1"/>
                <w:color w:val="auto"/>
                <w:w w:val="96"/>
              </w:rPr>
              <w:t>2019</w:t>
            </w:r>
          </w:p>
        </w:tc>
        <w:tc>
          <w:tcPr>
            <w:tcW w:w="320" w:type="dxa"/>
            <w:vAlign w:val="bottom"/>
            <w:tcBorders>
              <w:bottom w:val="single" w:sz="8" w:color="CFF0FC"/>
            </w:tcBorders>
          </w:tcPr>
          <w:p>
            <w:pPr>
              <w:spacing w:after="0"/>
              <w:rPr>
                <w:sz w:val="13"/>
                <w:szCs w:val="13"/>
                <w:color w:val="auto"/>
              </w:rPr>
            </w:pPr>
          </w:p>
        </w:tc>
        <w:tc>
          <w:tcPr>
            <w:tcW w:w="240" w:type="dxa"/>
            <w:vAlign w:val="bottom"/>
            <w:tcBorders>
              <w:top w:val="single" w:sz="8" w:color="auto"/>
              <w:bottom w:val="single" w:sz="8" w:color="auto"/>
            </w:tcBorders>
          </w:tcPr>
          <w:p>
            <w:pPr>
              <w:spacing w:after="0"/>
              <w:rPr>
                <w:sz w:val="13"/>
                <w:szCs w:val="13"/>
                <w:color w:val="auto"/>
              </w:rPr>
            </w:pPr>
          </w:p>
        </w:tc>
        <w:tc>
          <w:tcPr>
            <w:tcW w:w="2700" w:type="dxa"/>
            <w:vAlign w:val="bottom"/>
            <w:tcBorders>
              <w:top w:val="single" w:sz="8" w:color="auto"/>
              <w:bottom w:val="single" w:sz="8" w:color="auto"/>
            </w:tcBorders>
          </w:tcPr>
          <w:p>
            <w:pPr>
              <w:jc w:val="center"/>
              <w:ind w:right="178"/>
              <w:spacing w:after="0" w:line="155" w:lineRule="exact"/>
              <w:rPr>
                <w:sz w:val="20"/>
                <w:szCs w:val="20"/>
                <w:color w:val="auto"/>
              </w:rPr>
            </w:pPr>
            <w:r>
              <w:rPr>
                <w:rFonts w:ascii="Arial" w:cs="Arial" w:eastAsia="Arial" w:hAnsi="Arial"/>
                <w:sz w:val="14"/>
                <w:szCs w:val="14"/>
                <w:b w:val="1"/>
                <w:bCs w:val="1"/>
                <w:color w:val="auto"/>
                <w:w w:val="89"/>
              </w:rPr>
              <w:t>2019</w:t>
            </w:r>
          </w:p>
        </w:tc>
        <w:tc>
          <w:tcPr>
            <w:tcW w:w="10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494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Net service revenues</w:t>
            </w:r>
          </w:p>
        </w:tc>
        <w:tc>
          <w:tcPr>
            <w:tcW w:w="20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2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177,488</w:t>
            </w:r>
          </w:p>
        </w:tc>
        <w:tc>
          <w:tcPr>
            <w:tcW w:w="320" w:type="dxa"/>
            <w:vAlign w:val="bottom"/>
            <w:shd w:val="clear" w:color="auto" w:fill="CFF0FC"/>
          </w:tcPr>
          <w:p>
            <w:pPr>
              <w:spacing w:after="0"/>
              <w:rPr>
                <w:sz w:val="19"/>
                <w:szCs w:val="19"/>
                <w:color w:val="auto"/>
              </w:rPr>
            </w:pPr>
          </w:p>
        </w:tc>
        <w:tc>
          <w:tcPr>
            <w:tcW w:w="2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2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348,976</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940" w:type="dxa"/>
            <w:vAlign w:val="bottom"/>
            <w:tcBorders>
              <w:bottom w:val="single" w:sz="8" w:color="CFF0FC"/>
            </w:tcBorders>
            <w:gridSpan w:val="2"/>
          </w:tcPr>
          <w:p>
            <w:pPr>
              <w:spacing w:after="0"/>
              <w:rPr>
                <w:sz w:val="20"/>
                <w:szCs w:val="20"/>
                <w:color w:val="auto"/>
              </w:rPr>
            </w:pPr>
            <w:r>
              <w:rPr>
                <w:rFonts w:ascii="Arial" w:cs="Arial" w:eastAsia="Arial" w:hAnsi="Arial"/>
                <w:sz w:val="18"/>
                <w:szCs w:val="18"/>
                <w:color w:val="auto"/>
              </w:rPr>
              <w:t>Operating income</w:t>
            </w:r>
          </w:p>
        </w:tc>
        <w:tc>
          <w:tcPr>
            <w:tcW w:w="200" w:type="dxa"/>
            <w:vAlign w:val="bottom"/>
            <w:tcBorders>
              <w:bottom w:val="single" w:sz="8" w:color="auto"/>
            </w:tcBorders>
          </w:tcPr>
          <w:p>
            <w:pPr>
              <w:spacing w:after="0"/>
              <w:rPr>
                <w:sz w:val="19"/>
                <w:szCs w:val="19"/>
                <w:color w:val="auto"/>
              </w:rPr>
            </w:pPr>
          </w:p>
        </w:tc>
        <w:tc>
          <w:tcPr>
            <w:tcW w:w="2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10,038</w:t>
            </w:r>
          </w:p>
        </w:tc>
        <w:tc>
          <w:tcPr>
            <w:tcW w:w="32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2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18,407</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940" w:type="dxa"/>
            <w:vAlign w:val="bottom"/>
            <w:tcBorders>
              <w:bottom w:val="single" w:sz="8" w:color="CFF0FC"/>
            </w:tcBorders>
            <w:gridSpan w:val="2"/>
            <w:shd w:val="clear" w:color="auto" w:fill="CFF0FC"/>
          </w:tcPr>
          <w:p>
            <w:pPr>
              <w:spacing w:after="0"/>
              <w:rPr>
                <w:sz w:val="20"/>
                <w:szCs w:val="20"/>
                <w:color w:val="auto"/>
              </w:rPr>
            </w:pPr>
            <w:r>
              <w:rPr>
                <w:rFonts w:ascii="Arial" w:cs="Arial" w:eastAsia="Arial" w:hAnsi="Arial"/>
                <w:sz w:val="18"/>
                <w:szCs w:val="18"/>
                <w:color w:val="auto"/>
              </w:rPr>
              <w:t>Net income</w:t>
            </w:r>
          </w:p>
        </w:tc>
        <w:tc>
          <w:tcPr>
            <w:tcW w:w="200" w:type="dxa"/>
            <w:vAlign w:val="bottom"/>
            <w:tcBorders>
              <w:bottom w:val="single" w:sz="8" w:color="auto"/>
            </w:tcBorders>
            <w:shd w:val="clear" w:color="auto" w:fill="CFF0FC"/>
          </w:tcPr>
          <w:p>
            <w:pPr>
              <w:spacing w:after="0"/>
              <w:rPr>
                <w:sz w:val="19"/>
                <w:szCs w:val="19"/>
                <w:color w:val="auto"/>
              </w:rPr>
            </w:pPr>
          </w:p>
        </w:tc>
        <w:tc>
          <w:tcPr>
            <w:tcW w:w="27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7,378</w:t>
            </w:r>
          </w:p>
        </w:tc>
        <w:tc>
          <w:tcPr>
            <w:tcW w:w="320" w:type="dxa"/>
            <w:vAlign w:val="bottom"/>
            <w:tcBorders>
              <w:bottom w:val="single" w:sz="8" w:color="CFF0FC"/>
            </w:tcBorders>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27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13,999</w:t>
            </w:r>
          </w:p>
        </w:tc>
        <w:tc>
          <w:tcPr>
            <w:tcW w:w="10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940" w:type="dxa"/>
            <w:vAlign w:val="bottom"/>
            <w:gridSpan w:val="2"/>
            <w:vMerge w:val="restart"/>
          </w:tcPr>
          <w:p>
            <w:pPr>
              <w:spacing w:after="0"/>
              <w:rPr>
                <w:sz w:val="20"/>
                <w:szCs w:val="20"/>
                <w:color w:val="auto"/>
              </w:rPr>
            </w:pPr>
            <w:r>
              <w:rPr>
                <w:rFonts w:ascii="Arial" w:cs="Arial" w:eastAsia="Arial" w:hAnsi="Arial"/>
                <w:sz w:val="18"/>
                <w:szCs w:val="18"/>
                <w:color w:val="auto"/>
              </w:rPr>
              <w:t>Net income per common share</w:t>
            </w:r>
          </w:p>
        </w:tc>
        <w:tc>
          <w:tcPr>
            <w:tcW w:w="200" w:type="dxa"/>
            <w:vAlign w:val="bottom"/>
            <w:tcBorders>
              <w:bottom w:val="single" w:sz="8" w:color="auto"/>
            </w:tcBorders>
          </w:tcPr>
          <w:p>
            <w:pPr>
              <w:spacing w:after="0" w:line="20" w:lineRule="exact"/>
              <w:rPr>
                <w:sz w:val="1"/>
                <w:szCs w:val="1"/>
                <w:color w:val="auto"/>
              </w:rPr>
            </w:pPr>
          </w:p>
        </w:tc>
        <w:tc>
          <w:tcPr>
            <w:tcW w:w="274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2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940" w:type="dxa"/>
            <w:vAlign w:val="bottom"/>
            <w:gridSpan w:val="2"/>
            <w:vMerge w:val="continue"/>
          </w:tcPr>
          <w:p>
            <w:pPr>
              <w:spacing w:after="0"/>
              <w:rPr>
                <w:sz w:val="18"/>
                <w:szCs w:val="18"/>
                <w:color w:val="auto"/>
              </w:rPr>
            </w:pPr>
          </w:p>
        </w:tc>
        <w:tc>
          <w:tcPr>
            <w:tcW w:w="200" w:type="dxa"/>
            <w:vAlign w:val="bottom"/>
          </w:tcPr>
          <w:p>
            <w:pPr>
              <w:spacing w:after="0"/>
              <w:rPr>
                <w:sz w:val="18"/>
                <w:szCs w:val="18"/>
                <w:color w:val="auto"/>
              </w:rPr>
            </w:pPr>
          </w:p>
        </w:tc>
        <w:tc>
          <w:tcPr>
            <w:tcW w:w="27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940" w:type="dxa"/>
            <w:vAlign w:val="bottom"/>
            <w:gridSpan w:val="2"/>
            <w:shd w:val="clear" w:color="auto" w:fill="CFF0FC"/>
          </w:tcPr>
          <w:p>
            <w:pPr>
              <w:ind w:left="260"/>
              <w:spacing w:after="0"/>
              <w:rPr>
                <w:sz w:val="20"/>
                <w:szCs w:val="20"/>
                <w:color w:val="auto"/>
              </w:rPr>
            </w:pPr>
            <w:r>
              <w:rPr>
                <w:rFonts w:ascii="Arial" w:cs="Arial" w:eastAsia="Arial" w:hAnsi="Arial"/>
                <w:sz w:val="18"/>
                <w:szCs w:val="18"/>
                <w:color w:val="auto"/>
              </w:rPr>
              <w:t>Basic income per share</w:t>
            </w:r>
          </w:p>
        </w:tc>
        <w:tc>
          <w:tcPr>
            <w:tcW w:w="20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2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0.57</w:t>
            </w:r>
          </w:p>
        </w:tc>
        <w:tc>
          <w:tcPr>
            <w:tcW w:w="560" w:type="dxa"/>
            <w:vAlign w:val="bottom"/>
            <w:gridSpan w:val="2"/>
            <w:shd w:val="clear" w:color="auto" w:fill="CFF0FC"/>
          </w:tcPr>
          <w:p>
            <w:pPr>
              <w:jc w:val="right"/>
              <w:ind w:right="50"/>
              <w:spacing w:after="0"/>
              <w:rPr>
                <w:sz w:val="20"/>
                <w:szCs w:val="20"/>
                <w:color w:val="auto"/>
              </w:rPr>
            </w:pPr>
            <w:r>
              <w:rPr>
                <w:rFonts w:ascii="Arial" w:cs="Arial" w:eastAsia="Arial" w:hAnsi="Arial"/>
                <w:sz w:val="18"/>
                <w:szCs w:val="18"/>
                <w:color w:val="auto"/>
              </w:rPr>
              <w:t>$</w:t>
            </w:r>
          </w:p>
        </w:tc>
        <w:tc>
          <w:tcPr>
            <w:tcW w:w="2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1.08</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740" w:type="dxa"/>
            <w:vAlign w:val="bottom"/>
            <w:tcBorders>
              <w:top w:val="single" w:sz="8" w:color="CFF0FC"/>
            </w:tcBorders>
          </w:tcPr>
          <w:p>
            <w:pPr>
              <w:spacing w:after="0" w:line="20" w:lineRule="exact"/>
              <w:rPr>
                <w:sz w:val="1"/>
                <w:szCs w:val="1"/>
                <w:color w:val="auto"/>
              </w:rPr>
            </w:pPr>
          </w:p>
        </w:tc>
        <w:tc>
          <w:tcPr>
            <w:tcW w:w="200" w:type="dxa"/>
            <w:vAlign w:val="bottom"/>
            <w:tcBorders>
              <w:top w:val="single" w:sz="8" w:color="CFF0FC"/>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27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CFF0FC"/>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2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8" w:lineRule="exact"/>
        <w:rPr>
          <w:sz w:val="20"/>
          <w:szCs w:val="20"/>
          <w:color w:val="auto"/>
        </w:rPr>
      </w:pPr>
    </w:p>
    <w:p>
      <w:pPr>
        <w:ind w:right="200" w:firstLine="476"/>
        <w:spacing w:after="0" w:line="255" w:lineRule="auto"/>
        <w:rPr>
          <w:sz w:val="20"/>
          <w:szCs w:val="20"/>
          <w:color w:val="auto"/>
        </w:rPr>
      </w:pPr>
      <w:r>
        <w:rPr>
          <w:rFonts w:ascii="Arial" w:cs="Arial" w:eastAsia="Arial" w:hAnsi="Arial"/>
          <w:sz w:val="18"/>
          <w:szCs w:val="18"/>
          <w:color w:val="auto"/>
        </w:rPr>
        <w:t>The pro forma disclosures in the table above include adjustments for amortization of intangible assets, tax expense and acquisition costs to reflect results that are more representative of the combined results of the transactions as if Hospice Partners, Alliance and VIP had been acquired effective January 1, 2019. This pro forma information is presented for illustrative purposes only and may not be indicative of the results of operations that would have actually occurred. In addition, future results may vary significantly from the results reflected in the pro forma information. The unaudited pro forma financial information does not reflect the impact of future events that may occur after the acquisition, such as anticipated cost savings from operating synergies.</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Goodwill and Intangible Assets</w:t>
      </w:r>
    </w:p>
    <w:p>
      <w:pPr>
        <w:spacing w:after="0" w:line="94" w:lineRule="exact"/>
        <w:rPr>
          <w:sz w:val="20"/>
          <w:szCs w:val="20"/>
          <w:color w:val="auto"/>
        </w:rPr>
      </w:pPr>
    </w:p>
    <w:p>
      <w:pPr>
        <w:ind w:left="480"/>
        <w:spacing w:after="0"/>
        <w:rPr>
          <w:sz w:val="20"/>
          <w:szCs w:val="20"/>
          <w:color w:val="auto"/>
        </w:rPr>
      </w:pPr>
      <w:r>
        <w:rPr>
          <w:rFonts w:ascii="Arial" w:cs="Arial" w:eastAsia="Arial" w:hAnsi="Arial"/>
          <w:sz w:val="18"/>
          <w:szCs w:val="18"/>
          <w:color w:val="auto"/>
        </w:rPr>
        <w:t>A summary of the goodwill activity for the six months ended June 30, 2020 is provided below:</w:t>
      </w: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40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440" w:type="dxa"/>
            <w:vAlign w:val="bottom"/>
            <w:tcBorders>
              <w:bottom w:val="single" w:sz="8" w:color="auto"/>
            </w:tcBorders>
            <w:gridSpan w:val="3"/>
          </w:tcPr>
          <w:p>
            <w:pPr>
              <w:jc w:val="right"/>
              <w:ind w:right="27"/>
              <w:spacing w:after="0"/>
              <w:rPr>
                <w:sz w:val="20"/>
                <w:szCs w:val="20"/>
                <w:color w:val="auto"/>
              </w:rPr>
            </w:pPr>
            <w:r>
              <w:rPr>
                <w:rFonts w:ascii="Arial" w:cs="Arial" w:eastAsia="Arial" w:hAnsi="Arial"/>
                <w:sz w:val="14"/>
                <w:szCs w:val="14"/>
                <w:b w:val="1"/>
                <w:bCs w:val="1"/>
                <w:color w:val="auto"/>
              </w:rPr>
              <w:t>Goodwill</w:t>
            </w:r>
          </w:p>
        </w:tc>
        <w:tc>
          <w:tcPr>
            <w:tcW w:w="88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4400" w:type="dxa"/>
            <w:vAlign w:val="bottom"/>
          </w:tcPr>
          <w:p>
            <w:pPr>
              <w:spacing w:after="0"/>
              <w:rPr>
                <w:sz w:val="11"/>
                <w:szCs w:val="11"/>
                <w:color w:val="auto"/>
              </w:rPr>
            </w:pPr>
          </w:p>
        </w:tc>
        <w:tc>
          <w:tcPr>
            <w:tcW w:w="1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180" w:type="dxa"/>
            <w:vAlign w:val="bottom"/>
            <w:gridSpan w:val="2"/>
          </w:tcPr>
          <w:p>
            <w:pPr>
              <w:jc w:val="center"/>
              <w:ind w:right="460"/>
              <w:spacing w:after="0" w:line="133" w:lineRule="exact"/>
              <w:rPr>
                <w:sz w:val="20"/>
                <w:szCs w:val="20"/>
                <w:color w:val="auto"/>
              </w:rPr>
            </w:pPr>
            <w:r>
              <w:rPr>
                <w:rFonts w:ascii="Arial" w:cs="Arial" w:eastAsia="Arial" w:hAnsi="Arial"/>
                <w:sz w:val="14"/>
                <w:szCs w:val="14"/>
                <w:b w:val="1"/>
                <w:bCs w:val="1"/>
                <w:color w:val="auto"/>
                <w:w w:val="87"/>
              </w:rPr>
              <w:t>Personal</w:t>
            </w:r>
          </w:p>
        </w:tc>
        <w:tc>
          <w:tcPr>
            <w:tcW w:w="200" w:type="dxa"/>
            <w:vAlign w:val="bottom"/>
          </w:tcPr>
          <w:p>
            <w:pPr>
              <w:spacing w:after="0"/>
              <w:rPr>
                <w:sz w:val="11"/>
                <w:szCs w:val="11"/>
                <w:color w:val="auto"/>
              </w:rPr>
            </w:pPr>
          </w:p>
        </w:tc>
        <w:tc>
          <w:tcPr>
            <w:tcW w:w="1180" w:type="dxa"/>
            <w:vAlign w:val="bottom"/>
            <w:gridSpan w:val="2"/>
            <w:vMerge w:val="restart"/>
          </w:tcPr>
          <w:p>
            <w:pPr>
              <w:jc w:val="right"/>
              <w:ind w:right="580"/>
              <w:spacing w:after="0"/>
              <w:rPr>
                <w:sz w:val="20"/>
                <w:szCs w:val="20"/>
                <w:color w:val="auto"/>
              </w:rPr>
            </w:pPr>
            <w:r>
              <w:rPr>
                <w:rFonts w:ascii="Arial" w:cs="Arial" w:eastAsia="Arial" w:hAnsi="Arial"/>
                <w:sz w:val="14"/>
                <w:szCs w:val="14"/>
                <w:b w:val="1"/>
                <w:bCs w:val="1"/>
                <w:color w:val="auto"/>
              </w:rPr>
              <w:t>Hospice</w:t>
            </w:r>
          </w:p>
        </w:tc>
        <w:tc>
          <w:tcPr>
            <w:tcW w:w="260" w:type="dxa"/>
            <w:vAlign w:val="bottom"/>
          </w:tcPr>
          <w:p>
            <w:pPr>
              <w:spacing w:after="0"/>
              <w:rPr>
                <w:sz w:val="11"/>
                <w:szCs w:val="11"/>
                <w:color w:val="auto"/>
              </w:rPr>
            </w:pPr>
          </w:p>
        </w:tc>
        <w:tc>
          <w:tcPr>
            <w:tcW w:w="880" w:type="dxa"/>
            <w:vAlign w:val="bottom"/>
          </w:tcPr>
          <w:p>
            <w:pPr>
              <w:jc w:val="right"/>
              <w:ind w:right="316"/>
              <w:spacing w:after="0" w:line="133" w:lineRule="exact"/>
              <w:rPr>
                <w:sz w:val="20"/>
                <w:szCs w:val="20"/>
                <w:color w:val="auto"/>
              </w:rPr>
            </w:pPr>
            <w:r>
              <w:rPr>
                <w:rFonts w:ascii="Arial" w:cs="Arial" w:eastAsia="Arial" w:hAnsi="Arial"/>
                <w:sz w:val="14"/>
                <w:szCs w:val="14"/>
                <w:b w:val="1"/>
                <w:bCs w:val="1"/>
                <w:color w:val="auto"/>
              </w:rPr>
              <w:t>Home</w:t>
            </w:r>
          </w:p>
        </w:tc>
        <w:tc>
          <w:tcPr>
            <w:tcW w:w="2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00" w:type="dxa"/>
            <w:vAlign w:val="bottom"/>
            <w:gridSpan w:val="2"/>
            <w:vMerge w:val="restart"/>
          </w:tcPr>
          <w:p>
            <w:pPr>
              <w:jc w:val="right"/>
              <w:ind w:right="54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1"/>
        </w:trPr>
        <w:tc>
          <w:tcPr>
            <w:tcW w:w="440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80" w:type="dxa"/>
            <w:vAlign w:val="bottom"/>
            <w:gridSpan w:val="2"/>
          </w:tcPr>
          <w:p>
            <w:pPr>
              <w:jc w:val="center"/>
              <w:ind w:right="460"/>
              <w:spacing w:after="0"/>
              <w:rPr>
                <w:sz w:val="20"/>
                <w:szCs w:val="20"/>
                <w:color w:val="auto"/>
              </w:rPr>
            </w:pPr>
            <w:r>
              <w:rPr>
                <w:rFonts w:ascii="Arial" w:cs="Arial" w:eastAsia="Arial" w:hAnsi="Arial"/>
                <w:sz w:val="14"/>
                <w:szCs w:val="14"/>
                <w:b w:val="1"/>
                <w:bCs w:val="1"/>
                <w:color w:val="auto"/>
              </w:rPr>
              <w:t>Care</w:t>
            </w:r>
          </w:p>
        </w:tc>
        <w:tc>
          <w:tcPr>
            <w:tcW w:w="200" w:type="dxa"/>
            <w:vAlign w:val="bottom"/>
          </w:tcPr>
          <w:p>
            <w:pPr>
              <w:spacing w:after="0"/>
              <w:rPr>
                <w:sz w:val="14"/>
                <w:szCs w:val="14"/>
                <w:color w:val="auto"/>
              </w:rPr>
            </w:pPr>
          </w:p>
        </w:tc>
        <w:tc>
          <w:tcPr>
            <w:tcW w:w="1180" w:type="dxa"/>
            <w:vAlign w:val="bottom"/>
            <w:gridSpan w:val="2"/>
            <w:vMerge w:val="continue"/>
          </w:tcPr>
          <w:p>
            <w:pPr>
              <w:spacing w:after="0"/>
              <w:rPr>
                <w:sz w:val="14"/>
                <w:szCs w:val="14"/>
                <w:color w:val="auto"/>
              </w:rPr>
            </w:pPr>
          </w:p>
        </w:tc>
        <w:tc>
          <w:tcPr>
            <w:tcW w:w="260" w:type="dxa"/>
            <w:vAlign w:val="bottom"/>
          </w:tcPr>
          <w:p>
            <w:pPr>
              <w:spacing w:after="0"/>
              <w:rPr>
                <w:sz w:val="14"/>
                <w:szCs w:val="14"/>
                <w:color w:val="auto"/>
              </w:rPr>
            </w:pPr>
          </w:p>
        </w:tc>
        <w:tc>
          <w:tcPr>
            <w:tcW w:w="880" w:type="dxa"/>
            <w:vAlign w:val="bottom"/>
          </w:tcPr>
          <w:p>
            <w:pPr>
              <w:jc w:val="right"/>
              <w:ind w:right="296"/>
              <w:spacing w:after="0"/>
              <w:rPr>
                <w:sz w:val="20"/>
                <w:szCs w:val="20"/>
                <w:color w:val="auto"/>
              </w:rPr>
            </w:pPr>
            <w:r>
              <w:rPr>
                <w:rFonts w:ascii="Arial" w:cs="Arial" w:eastAsia="Arial" w:hAnsi="Arial"/>
                <w:sz w:val="14"/>
                <w:szCs w:val="14"/>
                <w:b w:val="1"/>
                <w:bCs w:val="1"/>
                <w:color w:val="auto"/>
              </w:rPr>
              <w:t>Health</w:t>
            </w:r>
          </w:p>
        </w:tc>
        <w:tc>
          <w:tcPr>
            <w:tcW w:w="2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4400" w:type="dxa"/>
            <w:vAlign w:val="bottom"/>
          </w:tcPr>
          <w:p>
            <w:pPr>
              <w:spacing w:after="0"/>
              <w:rPr>
                <w:sz w:val="13"/>
                <w:szCs w:val="13"/>
                <w:color w:val="auto"/>
              </w:rPr>
            </w:pPr>
          </w:p>
        </w:tc>
        <w:tc>
          <w:tcPr>
            <w:tcW w:w="1440" w:type="dxa"/>
            <w:vAlign w:val="bottom"/>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940" w:type="dxa"/>
            <w:vAlign w:val="bottom"/>
            <w:tcBorders>
              <w:top w:val="single" w:sz="8" w:color="auto"/>
            </w:tcBorders>
          </w:tcPr>
          <w:p>
            <w:pPr>
              <w:spacing w:after="0"/>
              <w:rPr>
                <w:sz w:val="13"/>
                <w:szCs w:val="13"/>
                <w:color w:val="auto"/>
              </w:rPr>
            </w:pPr>
          </w:p>
        </w:tc>
        <w:tc>
          <w:tcPr>
            <w:tcW w:w="240" w:type="dxa"/>
            <w:vAlign w:val="bottom"/>
            <w:tcBorders>
              <w:top w:val="single" w:sz="8" w:color="auto"/>
            </w:tcBorders>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2320" w:type="dxa"/>
            <w:vAlign w:val="bottom"/>
            <w:tcBorders>
              <w:top w:val="single" w:sz="8" w:color="auto"/>
            </w:tcBorders>
            <w:gridSpan w:val="4"/>
          </w:tcPr>
          <w:p>
            <w:pPr>
              <w:jc w:val="right"/>
              <w:ind w:right="416"/>
              <w:spacing w:after="0" w:line="155" w:lineRule="exact"/>
              <w:rPr>
                <w:sz w:val="20"/>
                <w:szCs w:val="20"/>
                <w:color w:val="auto"/>
              </w:rPr>
            </w:pPr>
            <w:r>
              <w:rPr>
                <w:rFonts w:ascii="Arial" w:cs="Arial" w:eastAsia="Arial" w:hAnsi="Arial"/>
                <w:sz w:val="14"/>
                <w:szCs w:val="14"/>
                <w:b w:val="1"/>
                <w:bCs w:val="1"/>
                <w:color w:val="auto"/>
              </w:rPr>
              <w:t>(Amounts in Thousands)</w:t>
            </w:r>
          </w:p>
        </w:tc>
        <w:tc>
          <w:tcPr>
            <w:tcW w:w="240" w:type="dxa"/>
            <w:vAlign w:val="bottom"/>
            <w:tcBorders>
              <w:top w:val="single" w:sz="8" w:color="auto"/>
            </w:tcBorders>
          </w:tcPr>
          <w:p>
            <w:pPr>
              <w:spacing w:after="0"/>
              <w:rPr>
                <w:sz w:val="13"/>
                <w:szCs w:val="13"/>
                <w:color w:val="auto"/>
              </w:rPr>
            </w:pPr>
          </w:p>
        </w:tc>
        <w:tc>
          <w:tcPr>
            <w:tcW w:w="260" w:type="dxa"/>
            <w:vAlign w:val="bottom"/>
            <w:tcBorders>
              <w:top w:val="single" w:sz="8" w:color="auto"/>
            </w:tcBorders>
          </w:tcPr>
          <w:p>
            <w:pPr>
              <w:spacing w:after="0"/>
              <w:rPr>
                <w:sz w:val="13"/>
                <w:szCs w:val="13"/>
                <w:color w:val="auto"/>
              </w:rPr>
            </w:pPr>
          </w:p>
        </w:tc>
        <w:tc>
          <w:tcPr>
            <w:tcW w:w="90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0"/>
        </w:trPr>
        <w:tc>
          <w:tcPr>
            <w:tcW w:w="4400" w:type="dxa"/>
            <w:vAlign w:val="bottom"/>
            <w:shd w:val="clear" w:color="auto" w:fill="CFF0FC"/>
          </w:tcPr>
          <w:p>
            <w:pPr>
              <w:spacing w:after="0"/>
              <w:rPr>
                <w:sz w:val="20"/>
                <w:szCs w:val="20"/>
                <w:color w:val="auto"/>
              </w:rPr>
            </w:pPr>
            <w:r>
              <w:rPr>
                <w:rFonts w:ascii="Arial" w:cs="Arial" w:eastAsia="Arial" w:hAnsi="Arial"/>
                <w:sz w:val="18"/>
                <w:szCs w:val="18"/>
                <w:color w:val="auto"/>
              </w:rPr>
              <w:t>Goodwill as of December 31, 2019</w:t>
            </w:r>
          </w:p>
        </w:tc>
        <w:tc>
          <w:tcPr>
            <w:tcW w:w="1640" w:type="dxa"/>
            <w:vAlign w:val="bottom"/>
            <w:gridSpan w:val="2"/>
            <w:shd w:val="clear" w:color="auto" w:fill="CFF0FC"/>
          </w:tcPr>
          <w:p>
            <w:pPr>
              <w:jc w:val="right"/>
              <w:ind w:right="10"/>
              <w:spacing w:after="0"/>
              <w:rPr>
                <w:sz w:val="20"/>
                <w:szCs w:val="20"/>
                <w:color w:val="auto"/>
              </w:rPr>
            </w:pPr>
            <w:r>
              <w:rPr>
                <w:rFonts w:ascii="Arial" w:cs="Arial" w:eastAsia="Arial" w:hAnsi="Arial"/>
                <w:sz w:val="18"/>
                <w:szCs w:val="18"/>
                <w:color w:val="auto"/>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126,577</w:t>
            </w:r>
          </w:p>
        </w:tc>
        <w:tc>
          <w:tcPr>
            <w:tcW w:w="240" w:type="dxa"/>
            <w:vAlign w:val="bottom"/>
            <w:shd w:val="clear" w:color="auto" w:fill="CFF0FC"/>
          </w:tcPr>
          <w:p>
            <w:pPr>
              <w:spacing w:after="0"/>
              <w:rPr>
                <w:sz w:val="19"/>
                <w:szCs w:val="19"/>
                <w:color w:val="auto"/>
              </w:rPr>
            </w:pPr>
          </w:p>
        </w:tc>
        <w:tc>
          <w:tcPr>
            <w:tcW w:w="200" w:type="dxa"/>
            <w:vAlign w:val="bottom"/>
            <w:shd w:val="clear" w:color="auto" w:fill="CFF0FC"/>
          </w:tcPr>
          <w:p>
            <w:pPr>
              <w:jc w:val="right"/>
              <w:ind w:right="47"/>
              <w:spacing w:after="0"/>
              <w:rPr>
                <w:sz w:val="20"/>
                <w:szCs w:val="20"/>
                <w:color w:val="auto"/>
              </w:rPr>
            </w:pPr>
            <w:r>
              <w:rPr>
                <w:rFonts w:ascii="Arial" w:cs="Arial" w:eastAsia="Arial" w:hAnsi="Arial"/>
                <w:sz w:val="15"/>
                <w:szCs w:val="15"/>
                <w:color w:val="auto"/>
                <w:w w:val="71"/>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146,983</w:t>
            </w:r>
          </w:p>
        </w:tc>
        <w:tc>
          <w:tcPr>
            <w:tcW w:w="240" w:type="dxa"/>
            <w:vAlign w:val="bottom"/>
            <w:shd w:val="clear" w:color="auto" w:fill="CFF0FC"/>
          </w:tcPr>
          <w:p>
            <w:pPr>
              <w:spacing w:after="0"/>
              <w:rPr>
                <w:sz w:val="19"/>
                <w:szCs w:val="19"/>
                <w:color w:val="auto"/>
              </w:rPr>
            </w:pPr>
          </w:p>
        </w:tc>
        <w:tc>
          <w:tcPr>
            <w:tcW w:w="260" w:type="dxa"/>
            <w:vAlign w:val="bottom"/>
            <w:shd w:val="clear" w:color="auto" w:fill="CFF0FC"/>
          </w:tcPr>
          <w:p>
            <w:pPr>
              <w:jc w:val="right"/>
              <w:ind w:right="107"/>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1,808</w:t>
            </w:r>
          </w:p>
        </w:tc>
        <w:tc>
          <w:tcPr>
            <w:tcW w:w="500" w:type="dxa"/>
            <w:vAlign w:val="bottom"/>
            <w:gridSpan w:val="2"/>
            <w:shd w:val="clear" w:color="auto" w:fill="CFF0FC"/>
          </w:tcPr>
          <w:p>
            <w:pPr>
              <w:jc w:val="right"/>
              <w:ind w:right="70"/>
              <w:spacing w:after="0"/>
              <w:rPr>
                <w:sz w:val="20"/>
                <w:szCs w:val="20"/>
                <w:color w:val="auto"/>
              </w:rPr>
            </w:pPr>
            <w:r>
              <w:rPr>
                <w:rFonts w:ascii="Arial" w:cs="Arial" w:eastAsia="Arial" w:hAnsi="Arial"/>
                <w:sz w:val="18"/>
                <w:szCs w:val="18"/>
                <w:color w:val="auto"/>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275,368</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400" w:type="dxa"/>
            <w:vAlign w:val="bottom"/>
          </w:tcPr>
          <w:p>
            <w:pPr>
              <w:spacing w:after="0"/>
              <w:rPr>
                <w:sz w:val="20"/>
                <w:szCs w:val="20"/>
                <w:color w:val="auto"/>
              </w:rPr>
            </w:pPr>
            <w:r>
              <w:rPr>
                <w:rFonts w:ascii="Arial" w:cs="Arial" w:eastAsia="Arial" w:hAnsi="Arial"/>
                <w:sz w:val="18"/>
                <w:szCs w:val="18"/>
                <w:color w:val="auto"/>
              </w:rPr>
              <w:t>Divestiture</w:t>
            </w:r>
          </w:p>
        </w:tc>
        <w:tc>
          <w:tcPr>
            <w:tcW w:w="14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180" w:type="dxa"/>
            <w:vAlign w:val="bottom"/>
            <w:gridSpan w:val="2"/>
          </w:tcPr>
          <w:p>
            <w:pPr>
              <w:jc w:val="right"/>
              <w:ind w:right="180"/>
              <w:spacing w:after="0"/>
              <w:rPr>
                <w:sz w:val="20"/>
                <w:szCs w:val="20"/>
                <w:color w:val="auto"/>
              </w:rPr>
            </w:pPr>
            <w:r>
              <w:rPr>
                <w:rFonts w:ascii="Arial" w:cs="Arial" w:eastAsia="Arial" w:hAnsi="Arial"/>
                <w:sz w:val="18"/>
                <w:szCs w:val="18"/>
                <w:color w:val="auto"/>
              </w:rPr>
              <w:t>(1,167)</w:t>
            </w: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(1,167)</w:t>
            </w:r>
          </w:p>
        </w:tc>
        <w:tc>
          <w:tcPr>
            <w:tcW w:w="0" w:type="dxa"/>
            <w:vAlign w:val="bottom"/>
          </w:tcPr>
          <w:p>
            <w:pPr>
              <w:spacing w:after="0"/>
              <w:rPr>
                <w:sz w:val="1"/>
                <w:szCs w:val="1"/>
                <w:color w:val="auto"/>
              </w:rPr>
            </w:pPr>
          </w:p>
        </w:tc>
      </w:tr>
      <w:tr>
        <w:trPr>
          <w:trHeight w:val="230"/>
        </w:trPr>
        <w:tc>
          <w:tcPr>
            <w:tcW w:w="4400" w:type="dxa"/>
            <w:vAlign w:val="bottom"/>
            <w:shd w:val="clear" w:color="auto" w:fill="CFF0FC"/>
          </w:tcPr>
          <w:p>
            <w:pPr>
              <w:spacing w:after="0"/>
              <w:rPr>
                <w:sz w:val="20"/>
                <w:szCs w:val="20"/>
                <w:color w:val="auto"/>
              </w:rPr>
            </w:pPr>
            <w:r>
              <w:rPr>
                <w:rFonts w:ascii="Arial" w:cs="Arial" w:eastAsia="Arial" w:hAnsi="Arial"/>
                <w:sz w:val="18"/>
                <w:szCs w:val="18"/>
                <w:color w:val="auto"/>
              </w:rPr>
              <w:t>Adjustments to previously recorded goodwill</w:t>
            </w:r>
          </w:p>
        </w:tc>
        <w:tc>
          <w:tcPr>
            <w:tcW w:w="14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1,438</w:t>
            </w:r>
          </w:p>
        </w:tc>
        <w:tc>
          <w:tcPr>
            <w:tcW w:w="2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18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(243)</w:t>
            </w:r>
          </w:p>
        </w:tc>
        <w:tc>
          <w:tcPr>
            <w:tcW w:w="26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37</w:t>
            </w:r>
          </w:p>
        </w:tc>
        <w:tc>
          <w:tcPr>
            <w:tcW w:w="2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1,232</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400" w:type="dxa"/>
            <w:vAlign w:val="bottom"/>
          </w:tcPr>
          <w:p>
            <w:pPr>
              <w:spacing w:after="0"/>
              <w:rPr>
                <w:sz w:val="20"/>
                <w:szCs w:val="20"/>
                <w:color w:val="auto"/>
              </w:rPr>
            </w:pPr>
            <w:r>
              <w:rPr>
                <w:rFonts w:ascii="Arial" w:cs="Arial" w:eastAsia="Arial" w:hAnsi="Arial"/>
                <w:sz w:val="18"/>
                <w:szCs w:val="18"/>
                <w:color w:val="auto"/>
              </w:rPr>
              <w:t>Goodwill as of June 30, 2020</w:t>
            </w:r>
          </w:p>
        </w:tc>
        <w:tc>
          <w:tcPr>
            <w:tcW w:w="144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128,015</w:t>
            </w:r>
          </w:p>
        </w:tc>
        <w:tc>
          <w:tcPr>
            <w:tcW w:w="24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ind w:right="47"/>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145,573</w:t>
            </w:r>
          </w:p>
        </w:tc>
        <w:tc>
          <w:tcPr>
            <w:tcW w:w="240" w:type="dxa"/>
            <w:vAlign w:val="bottom"/>
          </w:tcPr>
          <w:p>
            <w:pPr>
              <w:spacing w:after="0"/>
              <w:rPr>
                <w:sz w:val="19"/>
                <w:szCs w:val="19"/>
                <w:color w:val="auto"/>
              </w:rPr>
            </w:pPr>
          </w:p>
        </w:tc>
        <w:tc>
          <w:tcPr>
            <w:tcW w:w="260" w:type="dxa"/>
            <w:vAlign w:val="bottom"/>
            <w:tcBorders>
              <w:top w:val="single" w:sz="8" w:color="auto"/>
              <w:bottom w:val="single" w:sz="8" w:color="auto"/>
            </w:tcBorders>
          </w:tcPr>
          <w:p>
            <w:pPr>
              <w:jc w:val="right"/>
              <w:ind w:right="107"/>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1,845</w:t>
            </w:r>
          </w:p>
        </w:tc>
        <w:tc>
          <w:tcPr>
            <w:tcW w:w="240" w:type="dxa"/>
            <w:vAlign w:val="bottom"/>
          </w:tcPr>
          <w:p>
            <w:pPr>
              <w:spacing w:after="0"/>
              <w:rPr>
                <w:sz w:val="19"/>
                <w:szCs w:val="19"/>
                <w:color w:val="auto"/>
              </w:rPr>
            </w:pP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275,433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400" w:type="dxa"/>
            <w:vAlign w:val="bottom"/>
          </w:tcPr>
          <w:p>
            <w:pPr>
              <w:spacing w:after="0" w:line="20" w:lineRule="exact"/>
              <w:rPr>
                <w:sz w:val="1"/>
                <w:szCs w:val="1"/>
                <w:color w:val="auto"/>
              </w:rPr>
            </w:pPr>
          </w:p>
        </w:tc>
        <w:tc>
          <w:tcPr>
            <w:tcW w:w="1440" w:type="dxa"/>
            <w:vAlign w:val="bottom"/>
            <w:vMerge w:val="restart"/>
          </w:tcPr>
          <w:p>
            <w:pPr>
              <w:jc w:val="right"/>
              <w:ind w:right="55"/>
              <w:spacing w:after="0"/>
              <w:rPr>
                <w:sz w:val="20"/>
                <w:szCs w:val="20"/>
                <w:color w:val="auto"/>
              </w:rPr>
            </w:pPr>
            <w:r>
              <w:rPr>
                <w:rFonts w:ascii="Arial" w:cs="Arial" w:eastAsia="Arial" w:hAnsi="Arial"/>
                <w:sz w:val="16"/>
                <w:szCs w:val="16"/>
                <w:color w:val="auto"/>
              </w:rPr>
              <w:t>13</w:t>
            </w:r>
          </w:p>
        </w:tc>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95"/>
        </w:trPr>
        <w:tc>
          <w:tcPr>
            <w:tcW w:w="4400" w:type="dxa"/>
            <w:vAlign w:val="bottom"/>
          </w:tcPr>
          <w:p>
            <w:pPr>
              <w:spacing w:after="0"/>
              <w:rPr>
                <w:sz w:val="24"/>
                <w:szCs w:val="24"/>
                <w:color w:val="auto"/>
              </w:rPr>
            </w:pPr>
          </w:p>
        </w:tc>
        <w:tc>
          <w:tcPr>
            <w:tcW w:w="1440" w:type="dxa"/>
            <w:vAlign w:val="bottom"/>
            <w:vMerge w:val="continue"/>
          </w:tcPr>
          <w:p>
            <w:pPr>
              <w:spacing w:after="0"/>
              <w:rPr>
                <w:sz w:val="24"/>
                <w:szCs w:val="24"/>
                <w:color w:val="auto"/>
              </w:rPr>
            </w:pPr>
          </w:p>
        </w:tc>
        <w:tc>
          <w:tcPr>
            <w:tcW w:w="2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7"/>
        </w:trPr>
        <w:tc>
          <w:tcPr>
            <w:tcW w:w="4400" w:type="dxa"/>
            <w:vAlign w:val="bottom"/>
            <w:tcBorders>
              <w:bottom w:val="single" w:sz="8" w:color="9A9A9A"/>
            </w:tcBorders>
          </w:tcPr>
          <w:p>
            <w:pPr>
              <w:spacing w:after="0"/>
              <w:rPr>
                <w:sz w:val="24"/>
                <w:szCs w:val="24"/>
                <w:color w:val="auto"/>
              </w:rPr>
            </w:pPr>
          </w:p>
        </w:tc>
        <w:tc>
          <w:tcPr>
            <w:tcW w:w="144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94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94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88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90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-8255</wp:posOffset>
            </wp:positionV>
            <wp:extent cx="8255"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29" w:lineRule="exact"/>
        <w:rPr>
          <w:sz w:val="20"/>
          <w:szCs w:val="20"/>
          <w:color w:val="auto"/>
        </w:rPr>
      </w:pPr>
    </w:p>
    <w:p>
      <w:pPr>
        <w:ind w:right="320" w:firstLine="476"/>
        <w:spacing w:after="0" w:line="279" w:lineRule="auto"/>
        <w:rPr>
          <w:sz w:val="20"/>
          <w:szCs w:val="20"/>
          <w:color w:val="auto"/>
        </w:rPr>
      </w:pPr>
      <w:r>
        <w:rPr>
          <w:rFonts w:ascii="Arial" w:cs="Arial" w:eastAsia="Arial" w:hAnsi="Arial"/>
          <w:sz w:val="17"/>
          <w:szCs w:val="17"/>
          <w:color w:val="auto"/>
        </w:rPr>
        <w:t>The Company’s identifiable intangible assets consist of customer and referral relationships, trade names, trademarks and non-competition agreements. Amortization is computed using straight-line and accelerated methods based upon the estimated useful lives of the respective assets, which range from three to twenty-five years. Customer and referral relationships are amortized systematically over the periods of expected economic benefit, which range from five to ten years. Goodwill and certain state licenses are not amortized pursuant to ASC Topic 350.</w:t>
      </w:r>
    </w:p>
    <w:p>
      <w:pPr>
        <w:spacing w:after="0" w:line="117" w:lineRule="exact"/>
        <w:rPr>
          <w:sz w:val="20"/>
          <w:szCs w:val="20"/>
          <w:color w:val="auto"/>
        </w:rPr>
      </w:pPr>
    </w:p>
    <w:p>
      <w:pPr>
        <w:ind w:right="80" w:firstLine="476"/>
        <w:spacing w:after="0" w:line="259" w:lineRule="auto"/>
        <w:rPr>
          <w:sz w:val="20"/>
          <w:szCs w:val="20"/>
          <w:color w:val="auto"/>
        </w:rPr>
      </w:pPr>
      <w:r>
        <w:rPr>
          <w:rFonts w:ascii="Arial" w:cs="Arial" w:eastAsia="Arial" w:hAnsi="Arial"/>
          <w:sz w:val="18"/>
          <w:szCs w:val="18"/>
          <w:color w:val="auto"/>
        </w:rPr>
        <w:t>For the three and six months ended June 30, 2020, adjustments to the previously recorded goodwill are primarily adjustments to accounts receivable based on the final valuations. During the three months ended June 30, 2020, the Company divested certain branches and their related net assets including $1.2 million of related goodwill. The Company recognized a $0.4 million loss on the disposition, reflected as a reduction in general and administrative expense for the three and six months ended June 30, 2020.</w:t>
      </w:r>
    </w:p>
    <w:p>
      <w:pPr>
        <w:spacing w:after="0" w:line="133" w:lineRule="exact"/>
        <w:rPr>
          <w:sz w:val="20"/>
          <w:szCs w:val="20"/>
          <w:color w:val="auto"/>
        </w:rPr>
      </w:pPr>
    </w:p>
    <w:p>
      <w:pPr>
        <w:ind w:left="480"/>
        <w:spacing w:after="0"/>
        <w:rPr>
          <w:sz w:val="20"/>
          <w:szCs w:val="20"/>
          <w:color w:val="auto"/>
        </w:rPr>
      </w:pPr>
      <w:r>
        <w:rPr>
          <w:rFonts w:ascii="Arial" w:cs="Arial" w:eastAsia="Arial" w:hAnsi="Arial"/>
          <w:sz w:val="16"/>
          <w:szCs w:val="16"/>
          <w:color w:val="auto"/>
        </w:rPr>
        <w:t>The carrying amount and accumulated amortization of each identifiable intangible asset category consisted of the following as of June 30, 2020:</w:t>
      </w: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2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1"/>
              </w:rPr>
              <w:t>Customer</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0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4"/>
              </w:rPr>
              <w:t>Trade</w:t>
            </w:r>
          </w:p>
        </w:tc>
        <w:tc>
          <w:tcPr>
            <w:tcW w:w="120" w:type="dxa"/>
            <w:vAlign w:val="bottom"/>
          </w:tcPr>
          <w:p>
            <w:pPr>
              <w:spacing w:after="0"/>
              <w:rPr>
                <w:sz w:val="14"/>
                <w:szCs w:val="14"/>
                <w:color w:val="auto"/>
              </w:rPr>
            </w:pPr>
          </w:p>
        </w:tc>
        <w:tc>
          <w:tcPr>
            <w:tcW w:w="10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3"/>
              </w:rPr>
              <w:t>Non-</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60" w:type="dxa"/>
            <w:vAlign w:val="bottom"/>
            <w:gridSpan w:val="2"/>
            <w:vMerge w:val="restart"/>
          </w:tcPr>
          <w:p>
            <w:pPr>
              <w:jc w:val="right"/>
              <w:ind w:right="560"/>
              <w:spacing w:after="0"/>
              <w:rPr>
                <w:sz w:val="20"/>
                <w:szCs w:val="20"/>
                <w:color w:val="auto"/>
              </w:rPr>
            </w:pPr>
            <w:r>
              <w:rPr>
                <w:rFonts w:ascii="Arial" w:cs="Arial" w:eastAsia="Arial" w:hAnsi="Arial"/>
                <w:sz w:val="14"/>
                <w:szCs w:val="14"/>
                <w:b w:val="1"/>
                <w:bCs w:val="1"/>
                <w:color w:val="auto"/>
              </w:rPr>
              <w:t>State</w:t>
            </w:r>
          </w:p>
        </w:tc>
        <w:tc>
          <w:tcPr>
            <w:tcW w:w="2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420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8"/>
              </w:rPr>
              <w:t>and referral</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0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87"/>
              </w:rPr>
              <w:t>names and</w:t>
            </w:r>
          </w:p>
        </w:tc>
        <w:tc>
          <w:tcPr>
            <w:tcW w:w="120" w:type="dxa"/>
            <w:vAlign w:val="bottom"/>
          </w:tcPr>
          <w:p>
            <w:pPr>
              <w:spacing w:after="0"/>
              <w:rPr>
                <w:sz w:val="12"/>
                <w:szCs w:val="12"/>
                <w:color w:val="auto"/>
              </w:rPr>
            </w:pPr>
          </w:p>
        </w:tc>
        <w:tc>
          <w:tcPr>
            <w:tcW w:w="104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3"/>
              </w:rPr>
              <w:t>competition</w:t>
            </w: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60" w:type="dxa"/>
            <w:vAlign w:val="bottom"/>
            <w:gridSpan w:val="2"/>
            <w:vMerge w:val="continue"/>
          </w:tcPr>
          <w:p>
            <w:pPr>
              <w:spacing w:after="0"/>
              <w:rPr>
                <w:sz w:val="12"/>
                <w:szCs w:val="12"/>
                <w:color w:val="auto"/>
              </w:rPr>
            </w:pPr>
          </w:p>
        </w:tc>
        <w:tc>
          <w:tcPr>
            <w:tcW w:w="220" w:type="dxa"/>
            <w:vAlign w:val="bottom"/>
          </w:tcPr>
          <w:p>
            <w:pPr>
              <w:spacing w:after="0"/>
              <w:rPr>
                <w:sz w:val="12"/>
                <w:szCs w:val="12"/>
                <w:color w:val="auto"/>
              </w:rPr>
            </w:pPr>
          </w:p>
        </w:tc>
        <w:tc>
          <w:tcPr>
            <w:tcW w:w="920" w:type="dxa"/>
            <w:vAlign w:val="bottom"/>
            <w:gridSpan w:val="2"/>
            <w:vMerge w:val="restart"/>
          </w:tcPr>
          <w:p>
            <w:pPr>
              <w:jc w:val="right"/>
              <w:ind w:right="48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1"/>
        </w:trPr>
        <w:tc>
          <w:tcPr>
            <w:tcW w:w="42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1"/>
              </w:rPr>
              <w:t>relationships</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0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5"/>
              </w:rPr>
              <w:t>trademarks</w:t>
            </w:r>
          </w:p>
        </w:tc>
        <w:tc>
          <w:tcPr>
            <w:tcW w:w="120" w:type="dxa"/>
            <w:vAlign w:val="bottom"/>
          </w:tcPr>
          <w:p>
            <w:pPr>
              <w:spacing w:after="0"/>
              <w:rPr>
                <w:sz w:val="14"/>
                <w:szCs w:val="14"/>
                <w:color w:val="auto"/>
              </w:rPr>
            </w:pPr>
          </w:p>
        </w:tc>
        <w:tc>
          <w:tcPr>
            <w:tcW w:w="10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9"/>
              </w:rPr>
              <w:t>agreements</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60" w:type="dxa"/>
            <w:vAlign w:val="bottom"/>
            <w:gridSpan w:val="2"/>
          </w:tcPr>
          <w:p>
            <w:pPr>
              <w:jc w:val="right"/>
              <w:ind w:right="460"/>
              <w:spacing w:after="0"/>
              <w:rPr>
                <w:sz w:val="20"/>
                <w:szCs w:val="20"/>
                <w:color w:val="auto"/>
              </w:rPr>
            </w:pPr>
            <w:r>
              <w:rPr>
                <w:rFonts w:ascii="Arial" w:cs="Arial" w:eastAsia="Arial" w:hAnsi="Arial"/>
                <w:sz w:val="14"/>
                <w:szCs w:val="14"/>
                <w:b w:val="1"/>
                <w:bCs w:val="1"/>
                <w:color w:val="auto"/>
                <w:w w:val="96"/>
              </w:rPr>
              <w:t>Licenses</w:t>
            </w:r>
          </w:p>
        </w:tc>
        <w:tc>
          <w:tcPr>
            <w:tcW w:w="220" w:type="dxa"/>
            <w:vAlign w:val="bottom"/>
          </w:tcPr>
          <w:p>
            <w:pPr>
              <w:spacing w:after="0"/>
              <w:rPr>
                <w:sz w:val="14"/>
                <w:szCs w:val="14"/>
                <w:color w:val="auto"/>
              </w:rPr>
            </w:pPr>
          </w:p>
        </w:tc>
        <w:tc>
          <w:tcPr>
            <w:tcW w:w="92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4200" w:type="dxa"/>
            <w:vAlign w:val="bottom"/>
            <w:tcBorders>
              <w:bottom w:val="single" w:sz="8" w:color="CFF0FC"/>
            </w:tcBorders>
          </w:tcPr>
          <w:p>
            <w:pPr>
              <w:spacing w:after="0"/>
              <w:rPr>
                <w:sz w:val="13"/>
                <w:szCs w:val="13"/>
                <w:color w:val="auto"/>
              </w:rPr>
            </w:pPr>
          </w:p>
        </w:tc>
        <w:tc>
          <w:tcPr>
            <w:tcW w:w="1000" w:type="dxa"/>
            <w:vAlign w:val="bottom"/>
            <w:tcBorders>
              <w:bottom w:val="single" w:sz="8" w:color="CFF0FC"/>
            </w:tcBorders>
          </w:tcPr>
          <w:p>
            <w:pPr>
              <w:spacing w:after="0"/>
              <w:rPr>
                <w:sz w:val="13"/>
                <w:szCs w:val="13"/>
                <w:color w:val="auto"/>
              </w:rPr>
            </w:pPr>
          </w:p>
        </w:tc>
        <w:tc>
          <w:tcPr>
            <w:tcW w:w="100" w:type="dxa"/>
            <w:vAlign w:val="bottom"/>
            <w:tcBorders>
              <w:top w:val="single" w:sz="8" w:color="auto"/>
              <w:bottom w:val="single" w:sz="8" w:color="auto"/>
            </w:tcBorders>
          </w:tcPr>
          <w:p>
            <w:pPr>
              <w:spacing w:after="0"/>
              <w:rPr>
                <w:sz w:val="13"/>
                <w:szCs w:val="13"/>
                <w:color w:val="auto"/>
              </w:rPr>
            </w:pPr>
          </w:p>
        </w:tc>
        <w:tc>
          <w:tcPr>
            <w:tcW w:w="900" w:type="dxa"/>
            <w:vAlign w:val="bottom"/>
            <w:tcBorders>
              <w:top w:val="single" w:sz="8" w:color="auto"/>
              <w:bottom w:val="single" w:sz="8" w:color="auto"/>
            </w:tcBorders>
          </w:tcPr>
          <w:p>
            <w:pPr>
              <w:spacing w:after="0"/>
              <w:rPr>
                <w:sz w:val="13"/>
                <w:szCs w:val="13"/>
                <w:color w:val="auto"/>
              </w:rPr>
            </w:pPr>
          </w:p>
        </w:tc>
        <w:tc>
          <w:tcPr>
            <w:tcW w:w="140" w:type="dxa"/>
            <w:vAlign w:val="bottom"/>
            <w:tcBorders>
              <w:top w:val="single" w:sz="8" w:color="auto"/>
              <w:bottom w:val="single" w:sz="8" w:color="auto"/>
            </w:tcBorders>
          </w:tcPr>
          <w:p>
            <w:pPr>
              <w:spacing w:after="0"/>
              <w:rPr>
                <w:sz w:val="13"/>
                <w:szCs w:val="13"/>
                <w:color w:val="auto"/>
              </w:rPr>
            </w:pPr>
          </w:p>
        </w:tc>
        <w:tc>
          <w:tcPr>
            <w:tcW w:w="80" w:type="dxa"/>
            <w:vAlign w:val="bottom"/>
            <w:tcBorders>
              <w:top w:val="single" w:sz="8" w:color="auto"/>
              <w:bottom w:val="single" w:sz="8" w:color="auto"/>
            </w:tcBorders>
          </w:tcPr>
          <w:p>
            <w:pPr>
              <w:spacing w:after="0"/>
              <w:rPr>
                <w:sz w:val="13"/>
                <w:szCs w:val="13"/>
                <w:color w:val="auto"/>
              </w:rPr>
            </w:pPr>
          </w:p>
        </w:tc>
        <w:tc>
          <w:tcPr>
            <w:tcW w:w="120" w:type="dxa"/>
            <w:vAlign w:val="bottom"/>
            <w:tcBorders>
              <w:top w:val="single" w:sz="8" w:color="auto"/>
              <w:bottom w:val="single" w:sz="8" w:color="auto"/>
            </w:tcBorders>
          </w:tcPr>
          <w:p>
            <w:pPr>
              <w:spacing w:after="0"/>
              <w:rPr>
                <w:sz w:val="13"/>
                <w:szCs w:val="13"/>
                <w:color w:val="auto"/>
              </w:rPr>
            </w:pPr>
          </w:p>
        </w:tc>
        <w:tc>
          <w:tcPr>
            <w:tcW w:w="2500" w:type="dxa"/>
            <w:vAlign w:val="bottom"/>
            <w:tcBorders>
              <w:top w:val="single" w:sz="8" w:color="auto"/>
              <w:bottom w:val="single" w:sz="8" w:color="auto"/>
            </w:tcBorders>
            <w:gridSpan w:val="7"/>
          </w:tcPr>
          <w:p>
            <w:pPr>
              <w:jc w:val="center"/>
              <w:ind w:left="658"/>
              <w:spacing w:after="0" w:line="155" w:lineRule="exact"/>
              <w:rPr>
                <w:sz w:val="20"/>
                <w:szCs w:val="20"/>
                <w:color w:val="auto"/>
              </w:rPr>
            </w:pPr>
            <w:r>
              <w:rPr>
                <w:rFonts w:ascii="Arial" w:cs="Arial" w:eastAsia="Arial" w:hAnsi="Arial"/>
                <w:sz w:val="14"/>
                <w:szCs w:val="14"/>
                <w:b w:val="1"/>
                <w:bCs w:val="1"/>
                <w:color w:val="auto"/>
                <w:w w:val="92"/>
              </w:rPr>
              <w:t>(Amounts in Thousands)</w:t>
            </w:r>
          </w:p>
        </w:tc>
        <w:tc>
          <w:tcPr>
            <w:tcW w:w="840" w:type="dxa"/>
            <w:vAlign w:val="bottom"/>
            <w:tcBorders>
              <w:top w:val="single" w:sz="8" w:color="auto"/>
              <w:bottom w:val="single" w:sz="8" w:color="auto"/>
            </w:tcBorders>
          </w:tcPr>
          <w:p>
            <w:pPr>
              <w:spacing w:after="0"/>
              <w:rPr>
                <w:sz w:val="13"/>
                <w:szCs w:val="13"/>
                <w:color w:val="auto"/>
              </w:rPr>
            </w:pPr>
          </w:p>
        </w:tc>
        <w:tc>
          <w:tcPr>
            <w:tcW w:w="220" w:type="dxa"/>
            <w:vAlign w:val="bottom"/>
            <w:tcBorders>
              <w:top w:val="single" w:sz="8" w:color="auto"/>
              <w:bottom w:val="single" w:sz="8" w:color="auto"/>
            </w:tcBorders>
          </w:tcPr>
          <w:p>
            <w:pPr>
              <w:spacing w:after="0"/>
              <w:rPr>
                <w:sz w:val="13"/>
                <w:szCs w:val="13"/>
                <w:color w:val="auto"/>
              </w:rPr>
            </w:pPr>
          </w:p>
        </w:tc>
        <w:tc>
          <w:tcPr>
            <w:tcW w:w="220" w:type="dxa"/>
            <w:vAlign w:val="bottom"/>
            <w:tcBorders>
              <w:top w:val="single" w:sz="8" w:color="auto"/>
              <w:bottom w:val="single" w:sz="8" w:color="auto"/>
            </w:tcBorders>
          </w:tcPr>
          <w:p>
            <w:pPr>
              <w:spacing w:after="0"/>
              <w:rPr>
                <w:sz w:val="13"/>
                <w:szCs w:val="13"/>
                <w:color w:val="auto"/>
              </w:rPr>
            </w:pPr>
          </w:p>
        </w:tc>
        <w:tc>
          <w:tcPr>
            <w:tcW w:w="820" w:type="dxa"/>
            <w:vAlign w:val="bottom"/>
            <w:tcBorders>
              <w:top w:val="single" w:sz="8" w:color="auto"/>
              <w:bottom w:val="single" w:sz="8" w:color="auto"/>
            </w:tcBorders>
          </w:tcPr>
          <w:p>
            <w:pPr>
              <w:spacing w:after="0"/>
              <w:rPr>
                <w:sz w:val="13"/>
                <w:szCs w:val="13"/>
                <w:color w:val="auto"/>
              </w:rPr>
            </w:pPr>
          </w:p>
        </w:tc>
        <w:tc>
          <w:tcPr>
            <w:tcW w:w="10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4200" w:type="dxa"/>
            <w:vAlign w:val="bottom"/>
            <w:shd w:val="clear" w:color="auto" w:fill="CFF0FC"/>
          </w:tcPr>
          <w:p>
            <w:pPr>
              <w:spacing w:after="0"/>
              <w:rPr>
                <w:sz w:val="20"/>
                <w:szCs w:val="20"/>
                <w:color w:val="auto"/>
              </w:rPr>
            </w:pPr>
            <w:r>
              <w:rPr>
                <w:rFonts w:ascii="Arial" w:cs="Arial" w:eastAsia="Arial" w:hAnsi="Arial"/>
                <w:sz w:val="18"/>
                <w:szCs w:val="18"/>
                <w:color w:val="auto"/>
              </w:rPr>
              <w:t>Intangible assets with indefinite lives</w:t>
            </w:r>
          </w:p>
        </w:tc>
        <w:tc>
          <w:tcPr>
            <w:tcW w:w="10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4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10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c>
          <w:tcPr>
            <w:tcW w:w="104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13,296</w:t>
            </w:r>
          </w:p>
        </w:tc>
        <w:tc>
          <w:tcPr>
            <w:tcW w:w="2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13,296</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200" w:type="dxa"/>
            <w:vAlign w:val="bottom"/>
          </w:tcPr>
          <w:p>
            <w:pPr>
              <w:spacing w:after="0"/>
              <w:rPr>
                <w:sz w:val="20"/>
                <w:szCs w:val="20"/>
                <w:color w:val="auto"/>
              </w:rPr>
            </w:pPr>
            <w:r>
              <w:rPr>
                <w:rFonts w:ascii="Arial" w:cs="Arial" w:eastAsia="Arial" w:hAnsi="Arial"/>
                <w:sz w:val="18"/>
                <w:szCs w:val="18"/>
                <w:color w:val="auto"/>
              </w:rPr>
              <w:t>Intangible assets subject to amortization:</w:t>
            </w:r>
          </w:p>
        </w:tc>
        <w:tc>
          <w:tcPr>
            <w:tcW w:w="10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900" w:type="dxa"/>
            <w:vAlign w:val="bottom"/>
            <w:tcBorders>
              <w:top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900" w:type="dxa"/>
            <w:vAlign w:val="bottom"/>
            <w:tcBorders>
              <w:top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900" w:type="dxa"/>
            <w:vAlign w:val="bottom"/>
            <w:tcBorders>
              <w:top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840" w:type="dxa"/>
            <w:vAlign w:val="bottom"/>
            <w:tcBorders>
              <w:top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200" w:type="dxa"/>
            <w:vAlign w:val="bottom"/>
            <w:shd w:val="clear" w:color="auto" w:fill="CFF0FC"/>
          </w:tcPr>
          <w:p>
            <w:pPr>
              <w:spacing w:after="0"/>
              <w:rPr>
                <w:sz w:val="20"/>
                <w:szCs w:val="20"/>
                <w:color w:val="auto"/>
              </w:rPr>
            </w:pPr>
            <w:r>
              <w:rPr>
                <w:rFonts w:ascii="Arial" w:cs="Arial" w:eastAsia="Arial" w:hAnsi="Arial"/>
                <w:sz w:val="18"/>
                <w:szCs w:val="18"/>
                <w:color w:val="auto"/>
              </w:rPr>
              <w:t>Gross carrying amount</w:t>
            </w:r>
          </w:p>
        </w:tc>
        <w:tc>
          <w:tcPr>
            <w:tcW w:w="10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48,028</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30,566</w:t>
            </w:r>
          </w:p>
        </w:tc>
        <w:tc>
          <w:tcPr>
            <w:tcW w:w="2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4,655</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12,020</w:t>
            </w:r>
          </w:p>
        </w:tc>
        <w:tc>
          <w:tcPr>
            <w:tcW w:w="2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95,269</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200" w:type="dxa"/>
            <w:vAlign w:val="bottom"/>
          </w:tcPr>
          <w:p>
            <w:pPr>
              <w:spacing w:after="0"/>
              <w:rPr>
                <w:sz w:val="20"/>
                <w:szCs w:val="20"/>
                <w:color w:val="auto"/>
              </w:rPr>
            </w:pPr>
            <w:r>
              <w:rPr>
                <w:rFonts w:ascii="Arial" w:cs="Arial" w:eastAsia="Arial" w:hAnsi="Arial"/>
                <w:sz w:val="18"/>
                <w:szCs w:val="18"/>
                <w:color w:val="auto"/>
              </w:rPr>
              <w:t>Accumulated amortization</w:t>
            </w: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8"/>
                <w:szCs w:val="18"/>
                <w:color w:val="auto"/>
              </w:rPr>
              <w:t>(36,730)</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(14,109)</w:t>
            </w:r>
          </w:p>
        </w:tc>
        <w:tc>
          <w:tcPr>
            <w:tcW w:w="120" w:type="dxa"/>
            <w:vAlign w:val="bottom"/>
          </w:tcPr>
          <w:p>
            <w:pPr>
              <w:spacing w:after="0"/>
              <w:rPr>
                <w:sz w:val="19"/>
                <w:szCs w:val="19"/>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8"/>
                <w:szCs w:val="18"/>
                <w:color w:val="auto"/>
              </w:rPr>
              <w:t>(2,570)</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8"/>
                <w:szCs w:val="18"/>
                <w:color w:val="auto"/>
              </w:rPr>
              <w:t>(2,083)</w:t>
            </w:r>
          </w:p>
        </w:tc>
        <w:tc>
          <w:tcPr>
            <w:tcW w:w="220" w:type="dxa"/>
            <w:vAlign w:val="bottom"/>
          </w:tcPr>
          <w:p>
            <w:pPr>
              <w:spacing w:after="0"/>
              <w:rPr>
                <w:sz w:val="19"/>
                <w:szCs w:val="19"/>
                <w:color w:val="auto"/>
              </w:rPr>
            </w:pPr>
          </w:p>
        </w:tc>
        <w:tc>
          <w:tcPr>
            <w:tcW w:w="920" w:type="dxa"/>
            <w:vAlign w:val="bottom"/>
            <w:gridSpan w:val="2"/>
          </w:tcPr>
          <w:p>
            <w:pPr>
              <w:jc w:val="right"/>
              <w:ind w:right="40"/>
              <w:spacing w:after="0"/>
              <w:rPr>
                <w:sz w:val="20"/>
                <w:szCs w:val="20"/>
                <w:color w:val="auto"/>
              </w:rPr>
            </w:pPr>
            <w:r>
              <w:rPr>
                <w:rFonts w:ascii="Arial" w:cs="Arial" w:eastAsia="Arial" w:hAnsi="Arial"/>
                <w:sz w:val="18"/>
                <w:szCs w:val="18"/>
                <w:color w:val="auto"/>
              </w:rPr>
              <w:t>(55,492)</w:t>
            </w:r>
          </w:p>
        </w:tc>
        <w:tc>
          <w:tcPr>
            <w:tcW w:w="0" w:type="dxa"/>
            <w:vAlign w:val="bottom"/>
          </w:tcPr>
          <w:p>
            <w:pPr>
              <w:spacing w:after="0"/>
              <w:rPr>
                <w:sz w:val="1"/>
                <w:szCs w:val="1"/>
                <w:color w:val="auto"/>
              </w:rPr>
            </w:pPr>
          </w:p>
        </w:tc>
      </w:tr>
      <w:tr>
        <w:trPr>
          <w:trHeight w:val="223"/>
        </w:trPr>
        <w:tc>
          <w:tcPr>
            <w:tcW w:w="42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Intangible assets subject to amortization, net</w:t>
            </w:r>
          </w:p>
        </w:tc>
        <w:tc>
          <w:tcPr>
            <w:tcW w:w="100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bottom w:val="single" w:sz="8" w:color="auto"/>
            </w:tcBorders>
            <w:shd w:val="clear" w:color="auto" w:fill="CFF0FC"/>
          </w:tcPr>
          <w:p>
            <w:pPr>
              <w:spacing w:after="0"/>
              <w:rPr>
                <w:sz w:val="19"/>
                <w:szCs w:val="19"/>
                <w:color w:val="auto"/>
              </w:rPr>
            </w:pPr>
          </w:p>
        </w:tc>
        <w:tc>
          <w:tcPr>
            <w:tcW w:w="9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11,298</w:t>
            </w:r>
          </w:p>
        </w:tc>
        <w:tc>
          <w:tcPr>
            <w:tcW w:w="14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bottom w:val="single" w:sz="8" w:color="auto"/>
            </w:tcBorders>
            <w:shd w:val="clear" w:color="auto" w:fill="CFF0FC"/>
          </w:tcPr>
          <w:p>
            <w:pPr>
              <w:spacing w:after="0"/>
              <w:rPr>
                <w:sz w:val="19"/>
                <w:szCs w:val="19"/>
                <w:color w:val="auto"/>
              </w:rPr>
            </w:pPr>
          </w:p>
        </w:tc>
        <w:tc>
          <w:tcPr>
            <w:tcW w:w="9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16,457</w:t>
            </w:r>
          </w:p>
        </w:tc>
        <w:tc>
          <w:tcPr>
            <w:tcW w:w="20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bottom w:val="single" w:sz="8" w:color="auto"/>
            </w:tcBorders>
            <w:shd w:val="clear" w:color="auto" w:fill="CFF0FC"/>
          </w:tcPr>
          <w:p>
            <w:pPr>
              <w:spacing w:after="0"/>
              <w:rPr>
                <w:sz w:val="19"/>
                <w:szCs w:val="19"/>
                <w:color w:val="auto"/>
              </w:rPr>
            </w:pPr>
          </w:p>
        </w:tc>
        <w:tc>
          <w:tcPr>
            <w:tcW w:w="9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2,085</w:t>
            </w:r>
          </w:p>
        </w:tc>
        <w:tc>
          <w:tcPr>
            <w:tcW w:w="14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bottom w:val="single" w:sz="8" w:color="auto"/>
            </w:tcBorders>
            <w:shd w:val="clear" w:color="auto" w:fill="CFF0FC"/>
          </w:tcPr>
          <w:p>
            <w:pPr>
              <w:spacing w:after="0"/>
              <w:rPr>
                <w:sz w:val="19"/>
                <w:szCs w:val="19"/>
                <w:color w:val="auto"/>
              </w:rPr>
            </w:pPr>
          </w:p>
        </w:tc>
        <w:tc>
          <w:tcPr>
            <w:tcW w:w="8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9,937</w:t>
            </w:r>
          </w:p>
        </w:tc>
        <w:tc>
          <w:tcPr>
            <w:tcW w:w="22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bottom w:val="single" w:sz="8" w:color="auto"/>
            </w:tcBorders>
            <w:shd w:val="clear" w:color="auto" w:fill="CFF0FC"/>
          </w:tcPr>
          <w:p>
            <w:pPr>
              <w:spacing w:after="0"/>
              <w:rPr>
                <w:sz w:val="19"/>
                <w:szCs w:val="19"/>
                <w:color w:val="auto"/>
              </w:rPr>
            </w:pPr>
          </w:p>
        </w:tc>
        <w:tc>
          <w:tcPr>
            <w:tcW w:w="8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39,777</w:t>
            </w: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200" w:type="dxa"/>
            <w:vAlign w:val="bottom"/>
          </w:tcPr>
          <w:p>
            <w:pPr>
              <w:spacing w:after="0"/>
              <w:rPr>
                <w:sz w:val="20"/>
                <w:szCs w:val="20"/>
                <w:color w:val="auto"/>
              </w:rPr>
            </w:pPr>
            <w:r>
              <w:rPr>
                <w:rFonts w:ascii="Arial" w:cs="Arial" w:eastAsia="Arial" w:hAnsi="Arial"/>
                <w:sz w:val="18"/>
                <w:szCs w:val="18"/>
                <w:color w:val="auto"/>
              </w:rPr>
              <w:t>Total intangible assets at June 30, 2020</w:t>
            </w:r>
          </w:p>
        </w:tc>
        <w:tc>
          <w:tcPr>
            <w:tcW w:w="1000" w:type="dxa"/>
            <w:vAlign w:val="bottom"/>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11,298</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16,457</w:t>
            </w:r>
          </w:p>
        </w:tc>
        <w:tc>
          <w:tcPr>
            <w:tcW w:w="20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2,085</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Borders>
              <w:bottom w:val="single" w:sz="8" w:color="auto"/>
            </w:tcBorders>
          </w:tcPr>
          <w:p>
            <w:pPr>
              <w:jc w:val="right"/>
              <w:ind w:right="7"/>
              <w:spacing w:after="0"/>
              <w:rPr>
                <w:sz w:val="20"/>
                <w:szCs w:val="20"/>
                <w:color w:val="auto"/>
              </w:rPr>
            </w:pPr>
            <w:r>
              <w:rPr>
                <w:rFonts w:ascii="Arial" w:cs="Arial" w:eastAsia="Arial" w:hAnsi="Arial"/>
                <w:sz w:val="15"/>
                <w:szCs w:val="15"/>
                <w:color w:val="auto"/>
                <w:w w:val="71"/>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23,233</w:t>
            </w:r>
          </w:p>
        </w:tc>
        <w:tc>
          <w:tcPr>
            <w:tcW w:w="220" w:type="dxa"/>
            <w:vAlign w:val="bottom"/>
          </w:tcPr>
          <w:p>
            <w:pPr>
              <w:spacing w:after="0"/>
              <w:rPr>
                <w:sz w:val="19"/>
                <w:szCs w:val="19"/>
                <w:color w:val="auto"/>
              </w:rPr>
            </w:pP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53,073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2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8" w:lineRule="exact"/>
        <w:rPr>
          <w:sz w:val="20"/>
          <w:szCs w:val="20"/>
          <w:color w:val="auto"/>
        </w:rPr>
      </w:pPr>
    </w:p>
    <w:p>
      <w:pPr>
        <w:ind w:right="460" w:firstLine="476"/>
        <w:spacing w:after="0" w:line="271" w:lineRule="auto"/>
        <w:rPr>
          <w:sz w:val="20"/>
          <w:szCs w:val="20"/>
          <w:color w:val="auto"/>
        </w:rPr>
      </w:pPr>
      <w:r>
        <w:rPr>
          <w:rFonts w:ascii="Arial" w:cs="Arial" w:eastAsia="Arial" w:hAnsi="Arial"/>
          <w:sz w:val="18"/>
          <w:szCs w:val="18"/>
          <w:color w:val="auto"/>
        </w:rPr>
        <w:t>Amortization expense related to the identifiable intangible assets amounted to $1.8 million and $3.5 million for the three and six months ended June 30, 2020, respectively, and $1.4 million and $2.7 million for the three and six months ended June 30, 2019, respectively. The weighted average remaining lives of identifiable intangible assets as of June 30, 2020 is 8.6 years.</w:t>
      </w:r>
    </w:p>
    <w:p>
      <w:pPr>
        <w:spacing w:after="0" w:line="2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Details of Certain Balance Sheet Accounts</w:t>
      </w:r>
    </w:p>
    <w:p>
      <w:pPr>
        <w:spacing w:after="0" w:line="94" w:lineRule="exact"/>
        <w:rPr>
          <w:sz w:val="20"/>
          <w:szCs w:val="20"/>
          <w:color w:val="auto"/>
        </w:rPr>
      </w:pPr>
    </w:p>
    <w:p>
      <w:pPr>
        <w:ind w:left="480"/>
        <w:spacing w:after="0"/>
        <w:rPr>
          <w:sz w:val="20"/>
          <w:szCs w:val="20"/>
          <w:color w:val="auto"/>
        </w:rPr>
      </w:pPr>
      <w:r>
        <w:rPr>
          <w:rFonts w:ascii="Arial" w:cs="Arial" w:eastAsia="Arial" w:hAnsi="Arial"/>
          <w:sz w:val="18"/>
          <w:szCs w:val="18"/>
          <w:color w:val="auto"/>
        </w:rPr>
        <w:t>Prepaid expenses and other current assets consisted of the following:</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40" w:type="dxa"/>
            <w:vAlign w:val="bottom"/>
          </w:tcPr>
          <w:p>
            <w:pPr>
              <w:spacing w:after="0"/>
              <w:rPr>
                <w:sz w:val="14"/>
                <w:szCs w:val="14"/>
                <w:color w:val="auto"/>
              </w:rPr>
            </w:pPr>
          </w:p>
        </w:tc>
        <w:tc>
          <w:tcPr>
            <w:tcW w:w="2380" w:type="dxa"/>
            <w:vAlign w:val="bottom"/>
          </w:tcPr>
          <w:p>
            <w:pPr>
              <w:spacing w:after="0"/>
              <w:rPr>
                <w:sz w:val="14"/>
                <w:szCs w:val="14"/>
                <w:color w:val="auto"/>
              </w:rPr>
            </w:pPr>
          </w:p>
        </w:tc>
        <w:tc>
          <w:tcPr>
            <w:tcW w:w="26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40" w:type="dxa"/>
            <w:vAlign w:val="bottom"/>
          </w:tcPr>
          <w:p>
            <w:pPr>
              <w:jc w:val="center"/>
              <w:ind w:right="176"/>
              <w:spacing w:after="0"/>
              <w:rPr>
                <w:sz w:val="20"/>
                <w:szCs w:val="20"/>
                <w:color w:val="auto"/>
              </w:rPr>
            </w:pPr>
            <w:r>
              <w:rPr>
                <w:rFonts w:ascii="Arial" w:cs="Arial" w:eastAsia="Arial" w:hAnsi="Arial"/>
                <w:sz w:val="14"/>
                <w:szCs w:val="14"/>
                <w:b w:val="1"/>
                <w:bCs w:val="1"/>
                <w:color w:val="auto"/>
                <w:w w:val="89"/>
              </w:rPr>
              <w:t>June 30,</w:t>
            </w:r>
          </w:p>
        </w:tc>
        <w:tc>
          <w:tcPr>
            <w:tcW w:w="2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2"/>
              </w:rPr>
              <w:t>December 31,</w:t>
            </w:r>
          </w:p>
        </w:tc>
        <w:tc>
          <w:tcPr>
            <w:tcW w:w="0" w:type="dxa"/>
            <w:vAlign w:val="bottom"/>
          </w:tcPr>
          <w:p>
            <w:pPr>
              <w:spacing w:after="0"/>
              <w:rPr>
                <w:sz w:val="1"/>
                <w:szCs w:val="1"/>
                <w:color w:val="auto"/>
              </w:rPr>
            </w:pPr>
          </w:p>
        </w:tc>
      </w:tr>
      <w:tr>
        <w:trPr>
          <w:trHeight w:val="171"/>
        </w:trPr>
        <w:tc>
          <w:tcPr>
            <w:tcW w:w="1140" w:type="dxa"/>
            <w:vAlign w:val="bottom"/>
          </w:tcPr>
          <w:p>
            <w:pPr>
              <w:spacing w:after="0"/>
              <w:rPr>
                <w:sz w:val="14"/>
                <w:szCs w:val="14"/>
                <w:color w:val="auto"/>
              </w:rPr>
            </w:pPr>
          </w:p>
        </w:tc>
        <w:tc>
          <w:tcPr>
            <w:tcW w:w="2380" w:type="dxa"/>
            <w:vAlign w:val="bottom"/>
          </w:tcPr>
          <w:p>
            <w:pPr>
              <w:spacing w:after="0"/>
              <w:rPr>
                <w:sz w:val="14"/>
                <w:szCs w:val="14"/>
                <w:color w:val="auto"/>
              </w:rPr>
            </w:pPr>
          </w:p>
        </w:tc>
        <w:tc>
          <w:tcPr>
            <w:tcW w:w="26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center"/>
              <w:ind w:right="176"/>
              <w:spacing w:after="0"/>
              <w:rPr>
                <w:sz w:val="20"/>
                <w:szCs w:val="20"/>
                <w:color w:val="auto"/>
              </w:rPr>
            </w:pPr>
            <w:r>
              <w:rPr>
                <w:rFonts w:ascii="Arial" w:cs="Arial" w:eastAsia="Arial" w:hAnsi="Arial"/>
                <w:sz w:val="14"/>
                <w:szCs w:val="14"/>
                <w:b w:val="1"/>
                <w:bCs w:val="1"/>
                <w:color w:val="auto"/>
                <w:w w:val="96"/>
              </w:rPr>
              <w:t>2020</w:t>
            </w:r>
          </w:p>
        </w:tc>
        <w:tc>
          <w:tcPr>
            <w:tcW w:w="20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jc w:val="center"/>
              <w:ind w:right="75"/>
              <w:spacing w:after="0"/>
              <w:rPr>
                <w:sz w:val="20"/>
                <w:szCs w:val="20"/>
                <w:color w:val="auto"/>
              </w:rPr>
            </w:pPr>
            <w:r>
              <w:rPr>
                <w:rFonts w:ascii="Arial" w:cs="Arial" w:eastAsia="Arial" w:hAnsi="Arial"/>
                <w:sz w:val="14"/>
                <w:szCs w:val="14"/>
                <w:b w:val="1"/>
                <w:bCs w:val="1"/>
                <w:color w:val="auto"/>
                <w:w w:val="89"/>
              </w:rPr>
              <w:t>2019</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1140" w:type="dxa"/>
            <w:vAlign w:val="bottom"/>
          </w:tcPr>
          <w:p>
            <w:pPr>
              <w:spacing w:after="0"/>
              <w:rPr>
                <w:sz w:val="13"/>
                <w:szCs w:val="13"/>
                <w:color w:val="auto"/>
              </w:rPr>
            </w:pPr>
          </w:p>
        </w:tc>
        <w:tc>
          <w:tcPr>
            <w:tcW w:w="2380" w:type="dxa"/>
            <w:vAlign w:val="bottom"/>
          </w:tcPr>
          <w:p>
            <w:pPr>
              <w:spacing w:after="0"/>
              <w:rPr>
                <w:sz w:val="13"/>
                <w:szCs w:val="13"/>
                <w:color w:val="auto"/>
              </w:rPr>
            </w:pPr>
          </w:p>
        </w:tc>
        <w:tc>
          <w:tcPr>
            <w:tcW w:w="266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500" w:type="dxa"/>
            <w:vAlign w:val="bottom"/>
            <w:gridSpan w:val="5"/>
          </w:tcPr>
          <w:p>
            <w:pPr>
              <w:jc w:val="right"/>
              <w:ind w:right="535"/>
              <w:spacing w:after="0" w:line="155" w:lineRule="exact"/>
              <w:rPr>
                <w:sz w:val="20"/>
                <w:szCs w:val="20"/>
                <w:color w:val="auto"/>
              </w:rPr>
            </w:pPr>
            <w:r>
              <w:rPr>
                <w:rFonts w:ascii="Arial" w:cs="Arial" w:eastAsia="Arial" w:hAnsi="Arial"/>
                <w:sz w:val="14"/>
                <w:szCs w:val="14"/>
                <w:b w:val="1"/>
                <w:bCs w:val="1"/>
                <w:color w:val="auto"/>
              </w:rPr>
              <w:t>(Amounts in Thousands)</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0"/>
        </w:trPr>
        <w:tc>
          <w:tcPr>
            <w:tcW w:w="1140" w:type="dxa"/>
            <w:vAlign w:val="bottom"/>
          </w:tcPr>
          <w:p>
            <w:pPr>
              <w:spacing w:after="0"/>
              <w:rPr>
                <w:sz w:val="19"/>
                <w:szCs w:val="19"/>
                <w:color w:val="auto"/>
              </w:rPr>
            </w:pPr>
          </w:p>
        </w:tc>
        <w:tc>
          <w:tcPr>
            <w:tcW w:w="504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Income tax receivable</w:t>
            </w:r>
          </w:p>
        </w:tc>
        <w:tc>
          <w:tcPr>
            <w:tcW w:w="1340" w:type="dxa"/>
            <w:vAlign w:val="bottom"/>
            <w:gridSpan w:val="2"/>
            <w:shd w:val="clear" w:color="auto" w:fill="CFF0FC"/>
          </w:tcPr>
          <w:p>
            <w:pPr>
              <w:jc w:val="right"/>
              <w:ind w:right="67"/>
              <w:spacing w:after="0"/>
              <w:rPr>
                <w:sz w:val="20"/>
                <w:szCs w:val="20"/>
                <w:color w:val="auto"/>
              </w:rPr>
            </w:pPr>
            <w:r>
              <w:rPr>
                <w:rFonts w:ascii="Arial" w:cs="Arial" w:eastAsia="Arial" w:hAnsi="Arial"/>
                <w:sz w:val="18"/>
                <w:szCs w:val="18"/>
                <w:color w:val="auto"/>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2,764</w:t>
            </w:r>
          </w:p>
        </w:tc>
        <w:tc>
          <w:tcPr>
            <w:tcW w:w="340" w:type="dxa"/>
            <w:vAlign w:val="bottom"/>
            <w:gridSpan w:val="3"/>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1140" w:type="dxa"/>
            <w:vAlign w:val="bottom"/>
          </w:tcPr>
          <w:p>
            <w:pPr>
              <w:spacing w:after="0"/>
              <w:rPr>
                <w:sz w:val="19"/>
                <w:szCs w:val="19"/>
                <w:color w:val="auto"/>
              </w:rPr>
            </w:pPr>
          </w:p>
        </w:tc>
        <w:tc>
          <w:tcPr>
            <w:tcW w:w="5040" w:type="dxa"/>
            <w:vAlign w:val="bottom"/>
            <w:gridSpan w:val="2"/>
          </w:tcPr>
          <w:p>
            <w:pPr>
              <w:spacing w:after="0"/>
              <w:rPr>
                <w:sz w:val="20"/>
                <w:szCs w:val="20"/>
                <w:color w:val="auto"/>
              </w:rPr>
            </w:pPr>
            <w:r>
              <w:rPr>
                <w:rFonts w:ascii="Arial" w:cs="Arial" w:eastAsia="Arial" w:hAnsi="Arial"/>
                <w:sz w:val="18"/>
                <w:szCs w:val="18"/>
                <w:color w:val="auto"/>
              </w:rPr>
              <w:t>Prepaid workers’ compensation and liability insurance</w:t>
            </w:r>
          </w:p>
        </w:tc>
        <w:tc>
          <w:tcPr>
            <w:tcW w:w="1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2,042</w:t>
            </w: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2,040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1140" w:type="dxa"/>
            <w:vAlign w:val="bottom"/>
          </w:tcPr>
          <w:p>
            <w:pPr>
              <w:spacing w:after="0"/>
              <w:rPr>
                <w:sz w:val="19"/>
                <w:szCs w:val="19"/>
                <w:color w:val="auto"/>
              </w:rPr>
            </w:pPr>
          </w:p>
        </w:tc>
        <w:tc>
          <w:tcPr>
            <w:tcW w:w="504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Workers’ compensation insurance receivable</w:t>
            </w:r>
          </w:p>
        </w:tc>
        <w:tc>
          <w:tcPr>
            <w:tcW w:w="11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1,890</w:t>
            </w:r>
          </w:p>
        </w:tc>
        <w:tc>
          <w:tcPr>
            <w:tcW w:w="2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1,989</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140" w:type="dxa"/>
            <w:vAlign w:val="bottom"/>
          </w:tcPr>
          <w:p>
            <w:pPr>
              <w:spacing w:after="0"/>
              <w:rPr>
                <w:sz w:val="19"/>
                <w:szCs w:val="19"/>
                <w:color w:val="auto"/>
              </w:rPr>
            </w:pPr>
          </w:p>
        </w:tc>
        <w:tc>
          <w:tcPr>
            <w:tcW w:w="5040" w:type="dxa"/>
            <w:vAlign w:val="bottom"/>
            <w:gridSpan w:val="2"/>
          </w:tcPr>
          <w:p>
            <w:pPr>
              <w:spacing w:after="0"/>
              <w:rPr>
                <w:sz w:val="20"/>
                <w:szCs w:val="20"/>
                <w:color w:val="auto"/>
              </w:rPr>
            </w:pPr>
            <w:r>
              <w:rPr>
                <w:rFonts w:ascii="Arial" w:cs="Arial" w:eastAsia="Arial" w:hAnsi="Arial"/>
                <w:sz w:val="18"/>
                <w:szCs w:val="18"/>
                <w:color w:val="auto"/>
              </w:rPr>
              <w:t>Health insurance receivable</w:t>
            </w:r>
          </w:p>
        </w:tc>
        <w:tc>
          <w:tcPr>
            <w:tcW w:w="1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1,049</w:t>
            </w: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1,567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140" w:type="dxa"/>
            <w:vAlign w:val="bottom"/>
          </w:tcPr>
          <w:p>
            <w:pPr>
              <w:spacing w:after="0"/>
              <w:rPr>
                <w:sz w:val="19"/>
                <w:szCs w:val="19"/>
                <w:color w:val="auto"/>
              </w:rPr>
            </w:pPr>
          </w:p>
        </w:tc>
        <w:tc>
          <w:tcPr>
            <w:tcW w:w="504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Other</w:t>
            </w:r>
          </w:p>
        </w:tc>
        <w:tc>
          <w:tcPr>
            <w:tcW w:w="112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3,653</w:t>
            </w:r>
          </w:p>
        </w:tc>
        <w:tc>
          <w:tcPr>
            <w:tcW w:w="2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2,397</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180" w:type="dxa"/>
            <w:vAlign w:val="bottom"/>
            <w:gridSpan w:val="3"/>
          </w:tcPr>
          <w:p>
            <w:pPr>
              <w:ind w:left="1140"/>
              <w:spacing w:after="0"/>
              <w:rPr>
                <w:sz w:val="20"/>
                <w:szCs w:val="20"/>
                <w:color w:val="auto"/>
              </w:rPr>
            </w:pPr>
            <w:r>
              <w:rPr>
                <w:rFonts w:ascii="Arial" w:cs="Arial" w:eastAsia="Arial" w:hAnsi="Arial"/>
                <w:sz w:val="18"/>
                <w:szCs w:val="18"/>
                <w:color w:val="auto"/>
              </w:rPr>
              <w:t>Total prepaid expenses and other current assets</w:t>
            </w:r>
          </w:p>
        </w:tc>
        <w:tc>
          <w:tcPr>
            <w:tcW w:w="1120" w:type="dxa"/>
            <w:vAlign w:val="bottom"/>
          </w:tcPr>
          <w:p>
            <w:pPr>
              <w:spacing w:after="0"/>
              <w:rPr>
                <w:sz w:val="19"/>
                <w:szCs w:val="19"/>
                <w:color w:val="auto"/>
              </w:rPr>
            </w:pPr>
          </w:p>
        </w:tc>
        <w:tc>
          <w:tcPr>
            <w:tcW w:w="220" w:type="dxa"/>
            <w:vAlign w:val="bottom"/>
            <w:tcBorders>
              <w:bottom w:val="single" w:sz="8" w:color="auto"/>
            </w:tcBorders>
          </w:tcPr>
          <w:p>
            <w:pPr>
              <w:jc w:val="right"/>
              <w:ind w:right="67"/>
              <w:spacing w:after="0"/>
              <w:rPr>
                <w:sz w:val="20"/>
                <w:szCs w:val="20"/>
                <w:color w:val="auto"/>
              </w:rPr>
            </w:pPr>
            <w:r>
              <w:rPr>
                <w:rFonts w:ascii="Arial" w:cs="Arial" w:eastAsia="Arial" w:hAnsi="Arial"/>
                <w:sz w:val="15"/>
                <w:szCs w:val="15"/>
                <w:color w:val="auto"/>
                <w:w w:val="71"/>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11,398</w:t>
            </w: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7,993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180" w:type="dxa"/>
            <w:vAlign w:val="bottom"/>
            <w:gridSpan w:val="3"/>
            <w:vMerge w:val="restart"/>
          </w:tcPr>
          <w:p>
            <w:pPr>
              <w:ind w:left="480"/>
              <w:spacing w:after="0"/>
              <w:rPr>
                <w:sz w:val="20"/>
                <w:szCs w:val="20"/>
                <w:color w:val="auto"/>
              </w:rPr>
            </w:pPr>
            <w:r>
              <w:rPr>
                <w:rFonts w:ascii="Arial" w:cs="Arial" w:eastAsia="Arial" w:hAnsi="Arial"/>
                <w:sz w:val="18"/>
                <w:szCs w:val="18"/>
                <w:color w:val="auto"/>
              </w:rPr>
              <w:t>Accrued expenses consisted of the following:</w:t>
            </w:r>
          </w:p>
        </w:tc>
        <w:tc>
          <w:tcPr>
            <w:tcW w:w="1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9"/>
        </w:trPr>
        <w:tc>
          <w:tcPr>
            <w:tcW w:w="6180" w:type="dxa"/>
            <w:vAlign w:val="bottom"/>
            <w:gridSpan w:val="3"/>
            <w:vMerge w:val="continue"/>
          </w:tcPr>
          <w:p>
            <w:pPr>
              <w:spacing w:after="0"/>
              <w:rPr>
                <w:sz w:val="24"/>
                <w:szCs w:val="24"/>
                <w:color w:val="auto"/>
              </w:rPr>
            </w:pPr>
          </w:p>
        </w:tc>
        <w:tc>
          <w:tcPr>
            <w:tcW w:w="1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2"/>
        </w:trPr>
        <w:tc>
          <w:tcPr>
            <w:tcW w:w="1140" w:type="dxa"/>
            <w:vAlign w:val="bottom"/>
          </w:tcPr>
          <w:p>
            <w:pPr>
              <w:spacing w:after="0"/>
              <w:rPr>
                <w:sz w:val="24"/>
                <w:szCs w:val="24"/>
                <w:color w:val="auto"/>
              </w:rPr>
            </w:pPr>
          </w:p>
        </w:tc>
        <w:tc>
          <w:tcPr>
            <w:tcW w:w="2380" w:type="dxa"/>
            <w:vAlign w:val="bottom"/>
          </w:tcPr>
          <w:p>
            <w:pPr>
              <w:spacing w:after="0"/>
              <w:rPr>
                <w:sz w:val="24"/>
                <w:szCs w:val="24"/>
                <w:color w:val="auto"/>
              </w:rPr>
            </w:pPr>
          </w:p>
        </w:tc>
        <w:tc>
          <w:tcPr>
            <w:tcW w:w="26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40" w:type="dxa"/>
            <w:vAlign w:val="bottom"/>
          </w:tcPr>
          <w:p>
            <w:pPr>
              <w:jc w:val="center"/>
              <w:ind w:right="176"/>
              <w:spacing w:after="0"/>
              <w:rPr>
                <w:sz w:val="20"/>
                <w:szCs w:val="20"/>
                <w:color w:val="auto"/>
              </w:rPr>
            </w:pPr>
            <w:r>
              <w:rPr>
                <w:rFonts w:ascii="Arial" w:cs="Arial" w:eastAsia="Arial" w:hAnsi="Arial"/>
                <w:sz w:val="14"/>
                <w:szCs w:val="14"/>
                <w:b w:val="1"/>
                <w:bCs w:val="1"/>
                <w:color w:val="auto"/>
                <w:w w:val="89"/>
              </w:rPr>
              <w:t>June 30,</w:t>
            </w: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2"/>
              </w:rPr>
              <w:t>December 31,</w:t>
            </w:r>
          </w:p>
        </w:tc>
        <w:tc>
          <w:tcPr>
            <w:tcW w:w="0" w:type="dxa"/>
            <w:vAlign w:val="bottom"/>
          </w:tcPr>
          <w:p>
            <w:pPr>
              <w:spacing w:after="0"/>
              <w:rPr>
                <w:sz w:val="1"/>
                <w:szCs w:val="1"/>
                <w:color w:val="auto"/>
              </w:rPr>
            </w:pPr>
          </w:p>
        </w:tc>
      </w:tr>
      <w:tr>
        <w:trPr>
          <w:trHeight w:val="171"/>
        </w:trPr>
        <w:tc>
          <w:tcPr>
            <w:tcW w:w="1140" w:type="dxa"/>
            <w:vAlign w:val="bottom"/>
          </w:tcPr>
          <w:p>
            <w:pPr>
              <w:spacing w:after="0"/>
              <w:rPr>
                <w:sz w:val="14"/>
                <w:szCs w:val="14"/>
                <w:color w:val="auto"/>
              </w:rPr>
            </w:pPr>
          </w:p>
        </w:tc>
        <w:tc>
          <w:tcPr>
            <w:tcW w:w="2380" w:type="dxa"/>
            <w:vAlign w:val="bottom"/>
          </w:tcPr>
          <w:p>
            <w:pPr>
              <w:spacing w:after="0"/>
              <w:rPr>
                <w:sz w:val="14"/>
                <w:szCs w:val="14"/>
                <w:color w:val="auto"/>
              </w:rPr>
            </w:pPr>
          </w:p>
        </w:tc>
        <w:tc>
          <w:tcPr>
            <w:tcW w:w="26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center"/>
              <w:ind w:right="176"/>
              <w:spacing w:after="0"/>
              <w:rPr>
                <w:sz w:val="20"/>
                <w:szCs w:val="20"/>
                <w:color w:val="auto"/>
              </w:rPr>
            </w:pPr>
            <w:r>
              <w:rPr>
                <w:rFonts w:ascii="Arial" w:cs="Arial" w:eastAsia="Arial" w:hAnsi="Arial"/>
                <w:sz w:val="14"/>
                <w:szCs w:val="14"/>
                <w:b w:val="1"/>
                <w:bCs w:val="1"/>
                <w:color w:val="auto"/>
                <w:w w:val="96"/>
              </w:rPr>
              <w:t>2020</w:t>
            </w:r>
          </w:p>
        </w:tc>
        <w:tc>
          <w:tcPr>
            <w:tcW w:w="20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jc w:val="center"/>
              <w:ind w:right="75"/>
              <w:spacing w:after="0"/>
              <w:rPr>
                <w:sz w:val="20"/>
                <w:szCs w:val="20"/>
                <w:color w:val="auto"/>
              </w:rPr>
            </w:pPr>
            <w:r>
              <w:rPr>
                <w:rFonts w:ascii="Arial" w:cs="Arial" w:eastAsia="Arial" w:hAnsi="Arial"/>
                <w:sz w:val="14"/>
                <w:szCs w:val="14"/>
                <w:b w:val="1"/>
                <w:bCs w:val="1"/>
                <w:color w:val="auto"/>
                <w:w w:val="89"/>
              </w:rPr>
              <w:t>2019</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1140" w:type="dxa"/>
            <w:vAlign w:val="bottom"/>
          </w:tcPr>
          <w:p>
            <w:pPr>
              <w:spacing w:after="0"/>
              <w:rPr>
                <w:sz w:val="13"/>
                <w:szCs w:val="13"/>
                <w:color w:val="auto"/>
              </w:rPr>
            </w:pPr>
          </w:p>
        </w:tc>
        <w:tc>
          <w:tcPr>
            <w:tcW w:w="2380" w:type="dxa"/>
            <w:vAlign w:val="bottom"/>
          </w:tcPr>
          <w:p>
            <w:pPr>
              <w:spacing w:after="0"/>
              <w:rPr>
                <w:sz w:val="13"/>
                <w:szCs w:val="13"/>
                <w:color w:val="auto"/>
              </w:rPr>
            </w:pPr>
          </w:p>
        </w:tc>
        <w:tc>
          <w:tcPr>
            <w:tcW w:w="266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500" w:type="dxa"/>
            <w:vAlign w:val="bottom"/>
            <w:gridSpan w:val="5"/>
          </w:tcPr>
          <w:p>
            <w:pPr>
              <w:jc w:val="right"/>
              <w:ind w:right="535"/>
              <w:spacing w:after="0" w:line="155" w:lineRule="exact"/>
              <w:rPr>
                <w:sz w:val="20"/>
                <w:szCs w:val="20"/>
                <w:color w:val="auto"/>
              </w:rPr>
            </w:pPr>
            <w:r>
              <w:rPr>
                <w:rFonts w:ascii="Arial" w:cs="Arial" w:eastAsia="Arial" w:hAnsi="Arial"/>
                <w:sz w:val="14"/>
                <w:szCs w:val="14"/>
                <w:b w:val="1"/>
                <w:bCs w:val="1"/>
                <w:color w:val="auto"/>
              </w:rPr>
              <w:t>(Amounts in Thousands)</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0"/>
        </w:trPr>
        <w:tc>
          <w:tcPr>
            <w:tcW w:w="1140" w:type="dxa"/>
            <w:vAlign w:val="bottom"/>
          </w:tcPr>
          <w:p>
            <w:pPr>
              <w:spacing w:after="0"/>
              <w:rPr>
                <w:sz w:val="19"/>
                <w:szCs w:val="19"/>
                <w:color w:val="auto"/>
              </w:rPr>
            </w:pPr>
          </w:p>
        </w:tc>
        <w:tc>
          <w:tcPr>
            <w:tcW w:w="504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 xml:space="preserve">Accrued payroll taxes </w:t>
            </w:r>
            <w:r>
              <w:rPr>
                <w:rFonts w:ascii="Arial" w:cs="Arial" w:eastAsia="Arial" w:hAnsi="Arial"/>
                <w:sz w:val="15"/>
                <w:szCs w:val="15"/>
                <w:color w:val="auto"/>
              </w:rPr>
              <w:t>(1)</w:t>
            </w:r>
          </w:p>
        </w:tc>
        <w:tc>
          <w:tcPr>
            <w:tcW w:w="1340" w:type="dxa"/>
            <w:vAlign w:val="bottom"/>
            <w:gridSpan w:val="2"/>
            <w:shd w:val="clear" w:color="auto" w:fill="CFF0FC"/>
          </w:tcPr>
          <w:p>
            <w:pPr>
              <w:jc w:val="right"/>
              <w:ind w:right="67"/>
              <w:spacing w:after="0"/>
              <w:rPr>
                <w:sz w:val="20"/>
                <w:szCs w:val="20"/>
                <w:color w:val="auto"/>
              </w:rPr>
            </w:pPr>
            <w:r>
              <w:rPr>
                <w:rFonts w:ascii="Arial" w:cs="Arial" w:eastAsia="Arial" w:hAnsi="Arial"/>
                <w:sz w:val="18"/>
                <w:szCs w:val="18"/>
                <w:color w:val="auto"/>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8,345</w:t>
            </w:r>
          </w:p>
        </w:tc>
        <w:tc>
          <w:tcPr>
            <w:tcW w:w="340" w:type="dxa"/>
            <w:vAlign w:val="bottom"/>
            <w:gridSpan w:val="3"/>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1,843</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1140" w:type="dxa"/>
            <w:vAlign w:val="bottom"/>
          </w:tcPr>
          <w:p>
            <w:pPr>
              <w:spacing w:after="0"/>
              <w:rPr>
                <w:sz w:val="19"/>
                <w:szCs w:val="19"/>
                <w:color w:val="auto"/>
              </w:rPr>
            </w:pPr>
          </w:p>
        </w:tc>
        <w:tc>
          <w:tcPr>
            <w:tcW w:w="5040" w:type="dxa"/>
            <w:vAlign w:val="bottom"/>
            <w:gridSpan w:val="2"/>
          </w:tcPr>
          <w:p>
            <w:pPr>
              <w:spacing w:after="0"/>
              <w:rPr>
                <w:sz w:val="20"/>
                <w:szCs w:val="20"/>
                <w:color w:val="auto"/>
              </w:rPr>
            </w:pPr>
            <w:r>
              <w:rPr>
                <w:rFonts w:ascii="Arial" w:cs="Arial" w:eastAsia="Arial" w:hAnsi="Arial"/>
                <w:sz w:val="18"/>
                <w:szCs w:val="18"/>
                <w:color w:val="auto"/>
              </w:rPr>
              <w:t>Current portion of operating lease liabilities</w:t>
            </w:r>
          </w:p>
        </w:tc>
        <w:tc>
          <w:tcPr>
            <w:tcW w:w="1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7,402</w:t>
            </w: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7,234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140" w:type="dxa"/>
            <w:vAlign w:val="bottom"/>
          </w:tcPr>
          <w:p>
            <w:pPr>
              <w:spacing w:after="0"/>
              <w:rPr>
                <w:sz w:val="19"/>
                <w:szCs w:val="19"/>
                <w:color w:val="auto"/>
              </w:rPr>
            </w:pPr>
          </w:p>
        </w:tc>
        <w:tc>
          <w:tcPr>
            <w:tcW w:w="504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Accrued health insurance</w:t>
            </w:r>
          </w:p>
        </w:tc>
        <w:tc>
          <w:tcPr>
            <w:tcW w:w="11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5,007</w:t>
            </w:r>
          </w:p>
        </w:tc>
        <w:tc>
          <w:tcPr>
            <w:tcW w:w="2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4,140</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140" w:type="dxa"/>
            <w:vAlign w:val="bottom"/>
          </w:tcPr>
          <w:p>
            <w:pPr>
              <w:spacing w:after="0"/>
              <w:rPr>
                <w:sz w:val="19"/>
                <w:szCs w:val="19"/>
                <w:color w:val="auto"/>
              </w:rPr>
            </w:pPr>
          </w:p>
        </w:tc>
        <w:tc>
          <w:tcPr>
            <w:tcW w:w="5040" w:type="dxa"/>
            <w:vAlign w:val="bottom"/>
            <w:gridSpan w:val="2"/>
          </w:tcPr>
          <w:p>
            <w:pPr>
              <w:spacing w:after="0"/>
              <w:rPr>
                <w:sz w:val="20"/>
                <w:szCs w:val="20"/>
                <w:color w:val="auto"/>
              </w:rPr>
            </w:pPr>
            <w:r>
              <w:rPr>
                <w:rFonts w:ascii="Arial" w:cs="Arial" w:eastAsia="Arial" w:hAnsi="Arial"/>
                <w:sz w:val="18"/>
                <w:szCs w:val="18"/>
                <w:color w:val="auto"/>
              </w:rPr>
              <w:t>Accrued professional fees</w:t>
            </w:r>
          </w:p>
        </w:tc>
        <w:tc>
          <w:tcPr>
            <w:tcW w:w="1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3,773</w:t>
            </w: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2,517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140" w:type="dxa"/>
            <w:vAlign w:val="bottom"/>
          </w:tcPr>
          <w:p>
            <w:pPr>
              <w:spacing w:after="0"/>
              <w:rPr>
                <w:sz w:val="19"/>
                <w:szCs w:val="19"/>
                <w:color w:val="auto"/>
              </w:rPr>
            </w:pPr>
          </w:p>
        </w:tc>
        <w:tc>
          <w:tcPr>
            <w:tcW w:w="504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Other</w:t>
            </w:r>
          </w:p>
        </w:tc>
        <w:tc>
          <w:tcPr>
            <w:tcW w:w="112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8,147</w:t>
            </w:r>
          </w:p>
        </w:tc>
        <w:tc>
          <w:tcPr>
            <w:tcW w:w="2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6,695</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180" w:type="dxa"/>
            <w:vAlign w:val="bottom"/>
            <w:gridSpan w:val="3"/>
          </w:tcPr>
          <w:p>
            <w:pPr>
              <w:ind w:left="1140"/>
              <w:spacing w:after="0"/>
              <w:rPr>
                <w:sz w:val="20"/>
                <w:szCs w:val="20"/>
                <w:color w:val="auto"/>
              </w:rPr>
            </w:pPr>
            <w:r>
              <w:rPr>
                <w:rFonts w:ascii="Arial" w:cs="Arial" w:eastAsia="Arial" w:hAnsi="Arial"/>
                <w:sz w:val="18"/>
                <w:szCs w:val="18"/>
                <w:color w:val="auto"/>
              </w:rPr>
              <w:t>Total accrued expenses</w:t>
            </w:r>
          </w:p>
        </w:tc>
        <w:tc>
          <w:tcPr>
            <w:tcW w:w="1120" w:type="dxa"/>
            <w:vAlign w:val="bottom"/>
          </w:tcPr>
          <w:p>
            <w:pPr>
              <w:spacing w:after="0"/>
              <w:rPr>
                <w:sz w:val="19"/>
                <w:szCs w:val="19"/>
                <w:color w:val="auto"/>
              </w:rPr>
            </w:pPr>
          </w:p>
        </w:tc>
        <w:tc>
          <w:tcPr>
            <w:tcW w:w="220" w:type="dxa"/>
            <w:vAlign w:val="bottom"/>
          </w:tcPr>
          <w:p>
            <w:pPr>
              <w:jc w:val="right"/>
              <w:ind w:right="67"/>
              <w:spacing w:after="0"/>
              <w:rPr>
                <w:sz w:val="20"/>
                <w:szCs w:val="20"/>
                <w:color w:val="auto"/>
              </w:rPr>
            </w:pPr>
            <w:r>
              <w:rPr>
                <w:rFonts w:ascii="Arial" w:cs="Arial" w:eastAsia="Arial" w:hAnsi="Arial"/>
                <w:sz w:val="15"/>
                <w:szCs w:val="15"/>
                <w:color w:val="auto"/>
                <w:w w:val="71"/>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32,674</w:t>
            </w:r>
          </w:p>
        </w:tc>
        <w:tc>
          <w:tcPr>
            <w:tcW w:w="220" w:type="dxa"/>
            <w:vAlign w:val="bottom"/>
            <w:gridSpan w:val="2"/>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22,429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2380" w:type="dxa"/>
            <w:vAlign w:val="bottom"/>
          </w:tcPr>
          <w:p>
            <w:pPr>
              <w:spacing w:after="0" w:line="20" w:lineRule="exact"/>
              <w:rPr>
                <w:sz w:val="1"/>
                <w:szCs w:val="1"/>
                <w:color w:val="auto"/>
              </w:rPr>
            </w:pPr>
          </w:p>
        </w:tc>
        <w:tc>
          <w:tcPr>
            <w:tcW w:w="26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5"/>
        </w:trPr>
        <w:tc>
          <w:tcPr>
            <w:tcW w:w="1140" w:type="dxa"/>
            <w:vAlign w:val="bottom"/>
            <w:tcBorders>
              <w:bottom w:val="single" w:sz="8" w:color="auto"/>
            </w:tcBorders>
          </w:tcPr>
          <w:p>
            <w:pPr>
              <w:spacing w:after="0"/>
              <w:rPr>
                <w:sz w:val="10"/>
                <w:szCs w:val="10"/>
                <w:color w:val="auto"/>
              </w:rPr>
            </w:pPr>
          </w:p>
        </w:tc>
        <w:tc>
          <w:tcPr>
            <w:tcW w:w="2380" w:type="dxa"/>
            <w:vAlign w:val="bottom"/>
            <w:tcBorders>
              <w:bottom w:val="single" w:sz="8" w:color="auto"/>
            </w:tcBorders>
          </w:tcPr>
          <w:p>
            <w:pPr>
              <w:spacing w:after="0"/>
              <w:rPr>
                <w:sz w:val="10"/>
                <w:szCs w:val="10"/>
                <w:color w:val="auto"/>
              </w:rPr>
            </w:pPr>
          </w:p>
        </w:tc>
        <w:tc>
          <w:tcPr>
            <w:tcW w:w="266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31" w:lineRule="exact"/>
        <w:rPr>
          <w:sz w:val="20"/>
          <w:szCs w:val="20"/>
          <w:color w:val="auto"/>
        </w:rPr>
      </w:pPr>
    </w:p>
    <w:p>
      <w:pPr>
        <w:ind w:left="480" w:right="360" w:hanging="472"/>
        <w:spacing w:after="0" w:line="293" w:lineRule="auto"/>
        <w:tabs>
          <w:tab w:leader="none" w:pos="480" w:val="left"/>
        </w:tabs>
        <w:numPr>
          <w:ilvl w:val="0"/>
          <w:numId w:val="4"/>
        </w:numPr>
        <w:rPr>
          <w:rFonts w:ascii="Arial" w:cs="Arial" w:eastAsia="Arial" w:hAnsi="Arial"/>
          <w:sz w:val="16"/>
          <w:szCs w:val="16"/>
          <w:color w:val="auto"/>
        </w:rPr>
      </w:pPr>
      <w:r>
        <w:rPr>
          <w:rFonts w:ascii="Arial" w:cs="Arial" w:eastAsia="Arial" w:hAnsi="Arial"/>
          <w:sz w:val="16"/>
          <w:szCs w:val="16"/>
          <w:color w:val="auto"/>
        </w:rPr>
        <w:t>The Company deferred $7.1 million of payroll taxes in connection to a provision included in the Coronavirus Aid, Relief, and Economic Security Act (“CARES Act”), see Note 10 to the Notes to Consolidated Financial Statements for additional information.</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223520</wp:posOffset>
            </wp:positionV>
            <wp:extent cx="713232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5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Long-Term Debt</w:t>
      </w:r>
    </w:p>
    <w:p>
      <w:pPr>
        <w:spacing w:after="0" w:line="94" w:lineRule="exact"/>
        <w:rPr>
          <w:sz w:val="20"/>
          <w:szCs w:val="20"/>
          <w:color w:val="auto"/>
        </w:rPr>
      </w:pPr>
    </w:p>
    <w:p>
      <w:pPr>
        <w:ind w:left="480"/>
        <w:spacing w:after="0"/>
        <w:rPr>
          <w:sz w:val="20"/>
          <w:szCs w:val="20"/>
          <w:color w:val="auto"/>
        </w:rPr>
      </w:pPr>
      <w:r>
        <w:rPr>
          <w:rFonts w:ascii="Arial" w:cs="Arial" w:eastAsia="Arial" w:hAnsi="Arial"/>
          <w:sz w:val="18"/>
          <w:szCs w:val="18"/>
          <w:color w:val="auto"/>
        </w:rPr>
        <w:t>Long-term debt consisted of the following:</w:t>
      </w:r>
    </w:p>
    <w:p>
      <w:pPr>
        <w:spacing w:after="0" w:line="204"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448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60" w:type="dxa"/>
            <w:vAlign w:val="bottom"/>
            <w:gridSpan w:val="2"/>
          </w:tcPr>
          <w:p>
            <w:pPr>
              <w:jc w:val="right"/>
              <w:ind w:right="520"/>
              <w:spacing w:after="0"/>
              <w:rPr>
                <w:sz w:val="20"/>
                <w:szCs w:val="20"/>
                <w:color w:val="auto"/>
              </w:rPr>
            </w:pPr>
            <w:r>
              <w:rPr>
                <w:rFonts w:ascii="Arial" w:cs="Arial" w:eastAsia="Arial" w:hAnsi="Arial"/>
                <w:sz w:val="14"/>
                <w:szCs w:val="14"/>
                <w:b w:val="1"/>
                <w:bCs w:val="1"/>
                <w:color w:val="auto"/>
              </w:rPr>
              <w:t>June 30,</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2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w w:val="96"/>
              </w:rPr>
              <w:t>December 31,</w:t>
            </w:r>
          </w:p>
        </w:tc>
      </w:tr>
      <w:tr>
        <w:trPr>
          <w:trHeight w:val="171"/>
        </w:trPr>
        <w:tc>
          <w:tcPr>
            <w:tcW w:w="448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right"/>
              <w:ind w:right="415"/>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jc w:val="right"/>
              <w:ind w:right="414"/>
              <w:spacing w:after="0"/>
              <w:rPr>
                <w:sz w:val="20"/>
                <w:szCs w:val="20"/>
                <w:color w:val="auto"/>
              </w:rPr>
            </w:pPr>
            <w:r>
              <w:rPr>
                <w:rFonts w:ascii="Arial" w:cs="Arial" w:eastAsia="Arial" w:hAnsi="Arial"/>
                <w:sz w:val="14"/>
                <w:szCs w:val="14"/>
                <w:b w:val="1"/>
                <w:bCs w:val="1"/>
                <w:color w:val="auto"/>
              </w:rPr>
              <w:t>2019</w:t>
            </w:r>
          </w:p>
        </w:tc>
        <w:tc>
          <w:tcPr>
            <w:tcW w:w="100" w:type="dxa"/>
            <w:vAlign w:val="bottom"/>
          </w:tcPr>
          <w:p>
            <w:pPr>
              <w:spacing w:after="0"/>
              <w:rPr>
                <w:sz w:val="14"/>
                <w:szCs w:val="14"/>
                <w:color w:val="auto"/>
              </w:rPr>
            </w:pPr>
          </w:p>
        </w:tc>
      </w:tr>
      <w:tr>
        <w:trPr>
          <w:trHeight w:val="156"/>
        </w:trPr>
        <w:tc>
          <w:tcPr>
            <w:tcW w:w="4480" w:type="dxa"/>
            <w:vAlign w:val="bottom"/>
          </w:tcPr>
          <w:p>
            <w:pPr>
              <w:spacing w:after="0"/>
              <w:rPr>
                <w:sz w:val="13"/>
                <w:szCs w:val="13"/>
                <w:color w:val="auto"/>
              </w:rPr>
            </w:pPr>
          </w:p>
        </w:tc>
        <w:tc>
          <w:tcPr>
            <w:tcW w:w="16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500" w:type="dxa"/>
            <w:vAlign w:val="bottom"/>
            <w:gridSpan w:val="5"/>
          </w:tcPr>
          <w:p>
            <w:pPr>
              <w:jc w:val="right"/>
              <w:ind w:right="534"/>
              <w:spacing w:after="0" w:line="155" w:lineRule="exact"/>
              <w:rPr>
                <w:sz w:val="20"/>
                <w:szCs w:val="20"/>
                <w:color w:val="auto"/>
              </w:rPr>
            </w:pPr>
            <w:r>
              <w:rPr>
                <w:rFonts w:ascii="Arial" w:cs="Arial" w:eastAsia="Arial" w:hAnsi="Arial"/>
                <w:sz w:val="14"/>
                <w:szCs w:val="14"/>
                <w:b w:val="1"/>
                <w:bCs w:val="1"/>
                <w:color w:val="auto"/>
              </w:rPr>
              <w:t>(Amounts in Thousands)</w:t>
            </w:r>
          </w:p>
        </w:tc>
        <w:tc>
          <w:tcPr>
            <w:tcW w:w="100" w:type="dxa"/>
            <w:vAlign w:val="bottom"/>
          </w:tcPr>
          <w:p>
            <w:pPr>
              <w:spacing w:after="0"/>
              <w:rPr>
                <w:sz w:val="13"/>
                <w:szCs w:val="13"/>
                <w:color w:val="auto"/>
              </w:rPr>
            </w:pPr>
          </w:p>
        </w:tc>
      </w:tr>
      <w:tr>
        <w:trPr>
          <w:trHeight w:val="229"/>
        </w:trPr>
        <w:tc>
          <w:tcPr>
            <w:tcW w:w="4480" w:type="dxa"/>
            <w:vAlign w:val="bottom"/>
            <w:shd w:val="clear" w:color="auto" w:fill="CFF0FC"/>
          </w:tcPr>
          <w:p>
            <w:pPr>
              <w:spacing w:after="0"/>
              <w:rPr>
                <w:sz w:val="20"/>
                <w:szCs w:val="20"/>
                <w:color w:val="auto"/>
              </w:rPr>
            </w:pPr>
            <w:r>
              <w:rPr>
                <w:rFonts w:ascii="Arial" w:cs="Arial" w:eastAsia="Arial" w:hAnsi="Arial"/>
                <w:sz w:val="18"/>
                <w:szCs w:val="18"/>
                <w:color w:val="auto"/>
              </w:rPr>
              <w:t>Revolving loan under the credit facility</w:t>
            </w:r>
          </w:p>
        </w:tc>
        <w:tc>
          <w:tcPr>
            <w:tcW w:w="1900" w:type="dxa"/>
            <w:vAlign w:val="bottom"/>
            <w:gridSpan w:val="2"/>
            <w:shd w:val="clear" w:color="auto" w:fill="CFF0FC"/>
          </w:tcPr>
          <w:p>
            <w:pPr>
              <w:jc w:val="right"/>
              <w:ind w:right="67"/>
              <w:spacing w:after="0"/>
              <w:rPr>
                <w:sz w:val="20"/>
                <w:szCs w:val="20"/>
                <w:color w:val="auto"/>
              </w:rPr>
            </w:pPr>
            <w:r>
              <w:rPr>
                <w:rFonts w:ascii="Arial" w:cs="Arial" w:eastAsia="Arial" w:hAnsi="Arial"/>
                <w:sz w:val="18"/>
                <w:szCs w:val="18"/>
                <w:color w:val="auto"/>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43,458</w:t>
            </w:r>
          </w:p>
        </w:tc>
        <w:tc>
          <w:tcPr>
            <w:tcW w:w="120" w:type="dxa"/>
            <w:vAlign w:val="bottom"/>
            <w:shd w:val="clear" w:color="auto" w:fill="CFF0FC"/>
          </w:tcPr>
          <w:p>
            <w:pPr>
              <w:spacing w:after="0"/>
              <w:rPr>
                <w:sz w:val="19"/>
                <w:szCs w:val="19"/>
                <w:color w:val="auto"/>
              </w:rPr>
            </w:pPr>
          </w:p>
        </w:tc>
        <w:tc>
          <w:tcPr>
            <w:tcW w:w="2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43,458</w:t>
            </w:r>
          </w:p>
        </w:tc>
        <w:tc>
          <w:tcPr>
            <w:tcW w:w="100" w:type="dxa"/>
            <w:vAlign w:val="bottom"/>
            <w:shd w:val="clear" w:color="auto" w:fill="CFF0FC"/>
          </w:tcPr>
          <w:p>
            <w:pPr>
              <w:spacing w:after="0"/>
              <w:rPr>
                <w:sz w:val="19"/>
                <w:szCs w:val="19"/>
                <w:color w:val="auto"/>
              </w:rPr>
            </w:pPr>
          </w:p>
        </w:tc>
      </w:tr>
      <w:tr>
        <w:trPr>
          <w:trHeight w:val="230"/>
        </w:trPr>
        <w:tc>
          <w:tcPr>
            <w:tcW w:w="4480" w:type="dxa"/>
            <w:vAlign w:val="bottom"/>
          </w:tcPr>
          <w:p>
            <w:pPr>
              <w:spacing w:after="0"/>
              <w:rPr>
                <w:sz w:val="20"/>
                <w:szCs w:val="20"/>
                <w:color w:val="auto"/>
              </w:rPr>
            </w:pPr>
            <w:r>
              <w:rPr>
                <w:rFonts w:ascii="Arial" w:cs="Arial" w:eastAsia="Arial" w:hAnsi="Arial"/>
                <w:sz w:val="18"/>
                <w:szCs w:val="18"/>
                <w:color w:val="auto"/>
              </w:rPr>
              <w:t>Term loan under the credit facility</w:t>
            </w:r>
          </w:p>
        </w:tc>
        <w:tc>
          <w:tcPr>
            <w:tcW w:w="16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18,620</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18,865</w:t>
            </w:r>
          </w:p>
        </w:tc>
        <w:tc>
          <w:tcPr>
            <w:tcW w:w="100" w:type="dxa"/>
            <w:vAlign w:val="bottom"/>
          </w:tcPr>
          <w:p>
            <w:pPr>
              <w:spacing w:after="0"/>
              <w:rPr>
                <w:sz w:val="19"/>
                <w:szCs w:val="19"/>
                <w:color w:val="auto"/>
              </w:rPr>
            </w:pPr>
          </w:p>
        </w:tc>
      </w:tr>
      <w:tr>
        <w:trPr>
          <w:trHeight w:val="229"/>
        </w:trPr>
        <w:tc>
          <w:tcPr>
            <w:tcW w:w="4480" w:type="dxa"/>
            <w:vAlign w:val="bottom"/>
            <w:shd w:val="clear" w:color="auto" w:fill="CFF0FC"/>
          </w:tcPr>
          <w:p>
            <w:pPr>
              <w:spacing w:after="0"/>
              <w:rPr>
                <w:sz w:val="20"/>
                <w:szCs w:val="20"/>
                <w:color w:val="auto"/>
              </w:rPr>
            </w:pPr>
            <w:r>
              <w:rPr>
                <w:rFonts w:ascii="Arial" w:cs="Arial" w:eastAsia="Arial" w:hAnsi="Arial"/>
                <w:sz w:val="18"/>
                <w:szCs w:val="18"/>
                <w:color w:val="auto"/>
              </w:rPr>
              <w:t>Financing leases</w:t>
            </w:r>
          </w:p>
        </w:tc>
        <w:tc>
          <w:tcPr>
            <w:tcW w:w="16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w:t>
            </w: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w:t>
            </w:r>
          </w:p>
        </w:tc>
        <w:tc>
          <w:tcPr>
            <w:tcW w:w="100" w:type="dxa"/>
            <w:vAlign w:val="bottom"/>
            <w:shd w:val="clear" w:color="auto" w:fill="CFF0FC"/>
          </w:tcPr>
          <w:p>
            <w:pPr>
              <w:spacing w:after="0"/>
              <w:rPr>
                <w:sz w:val="19"/>
                <w:szCs w:val="19"/>
                <w:color w:val="auto"/>
              </w:rPr>
            </w:pPr>
          </w:p>
        </w:tc>
      </w:tr>
      <w:tr>
        <w:trPr>
          <w:trHeight w:val="229"/>
        </w:trPr>
        <w:tc>
          <w:tcPr>
            <w:tcW w:w="4480" w:type="dxa"/>
            <w:vAlign w:val="bottom"/>
          </w:tcPr>
          <w:p>
            <w:pPr>
              <w:spacing w:after="0"/>
              <w:rPr>
                <w:sz w:val="20"/>
                <w:szCs w:val="20"/>
                <w:color w:val="auto"/>
              </w:rPr>
            </w:pPr>
            <w:r>
              <w:rPr>
                <w:rFonts w:ascii="Arial" w:cs="Arial" w:eastAsia="Arial" w:hAnsi="Arial"/>
                <w:sz w:val="18"/>
                <w:szCs w:val="18"/>
                <w:color w:val="auto"/>
              </w:rPr>
              <w:t>Less unamortized issuance costs</w:t>
            </w:r>
          </w:p>
        </w:tc>
        <w:tc>
          <w:tcPr>
            <w:tcW w:w="16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60" w:type="dxa"/>
            <w:vAlign w:val="bottom"/>
            <w:gridSpan w:val="2"/>
          </w:tcPr>
          <w:p>
            <w:pPr>
              <w:jc w:val="right"/>
              <w:ind w:right="80"/>
              <w:spacing w:after="0"/>
              <w:rPr>
                <w:sz w:val="20"/>
                <w:szCs w:val="20"/>
                <w:color w:val="auto"/>
              </w:rPr>
            </w:pPr>
            <w:r>
              <w:rPr>
                <w:rFonts w:ascii="Arial" w:cs="Arial" w:eastAsia="Arial" w:hAnsi="Arial"/>
                <w:sz w:val="18"/>
                <w:szCs w:val="18"/>
                <w:color w:val="auto"/>
              </w:rPr>
              <w:t>(2,083)</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20" w:type="dxa"/>
            <w:vAlign w:val="bottom"/>
            <w:gridSpan w:val="2"/>
          </w:tcPr>
          <w:p>
            <w:pPr>
              <w:jc w:val="right"/>
              <w:ind w:right="40"/>
              <w:spacing w:after="0"/>
              <w:rPr>
                <w:sz w:val="20"/>
                <w:szCs w:val="20"/>
                <w:color w:val="auto"/>
              </w:rPr>
            </w:pPr>
            <w:r>
              <w:rPr>
                <w:rFonts w:ascii="Arial" w:cs="Arial" w:eastAsia="Arial" w:hAnsi="Arial"/>
                <w:sz w:val="18"/>
                <w:szCs w:val="18"/>
                <w:color w:val="auto"/>
              </w:rPr>
              <w:t>(2,452)</w:t>
            </w:r>
          </w:p>
        </w:tc>
      </w:tr>
      <w:tr>
        <w:trPr>
          <w:trHeight w:val="223"/>
        </w:trPr>
        <w:tc>
          <w:tcPr>
            <w:tcW w:w="44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w:t>
            </w:r>
          </w:p>
        </w:tc>
        <w:tc>
          <w:tcPr>
            <w:tcW w:w="168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jc w:val="right"/>
              <w:ind w:right="67"/>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59,996</w:t>
            </w:r>
          </w:p>
        </w:tc>
        <w:tc>
          <w:tcPr>
            <w:tcW w:w="12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59,892</w:t>
            </w:r>
          </w:p>
        </w:tc>
        <w:tc>
          <w:tcPr>
            <w:tcW w:w="100" w:type="dxa"/>
            <w:vAlign w:val="bottom"/>
            <w:tcBorders>
              <w:top w:val="single" w:sz="8" w:color="CFF0FC"/>
            </w:tcBorders>
            <w:shd w:val="clear" w:color="auto" w:fill="CFF0FC"/>
          </w:tcPr>
          <w:p>
            <w:pPr>
              <w:spacing w:after="0"/>
              <w:rPr>
                <w:sz w:val="19"/>
                <w:szCs w:val="19"/>
                <w:color w:val="auto"/>
              </w:rPr>
            </w:pPr>
          </w:p>
        </w:tc>
      </w:tr>
      <w:tr>
        <w:trPr>
          <w:trHeight w:val="229"/>
        </w:trPr>
        <w:tc>
          <w:tcPr>
            <w:tcW w:w="4480" w:type="dxa"/>
            <w:vAlign w:val="bottom"/>
          </w:tcPr>
          <w:p>
            <w:pPr>
              <w:spacing w:after="0"/>
              <w:rPr>
                <w:sz w:val="20"/>
                <w:szCs w:val="20"/>
                <w:color w:val="auto"/>
              </w:rPr>
            </w:pPr>
            <w:r>
              <w:rPr>
                <w:rFonts w:ascii="Arial" w:cs="Arial" w:eastAsia="Arial" w:hAnsi="Arial"/>
                <w:sz w:val="18"/>
                <w:szCs w:val="18"/>
                <w:color w:val="auto"/>
              </w:rPr>
              <w:t>Less current maturities</w:t>
            </w:r>
          </w:p>
        </w:tc>
        <w:tc>
          <w:tcPr>
            <w:tcW w:w="16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60" w:type="dxa"/>
            <w:vAlign w:val="bottom"/>
            <w:gridSpan w:val="2"/>
          </w:tcPr>
          <w:p>
            <w:pPr>
              <w:jc w:val="right"/>
              <w:ind w:right="80"/>
              <w:spacing w:after="0"/>
              <w:rPr>
                <w:sz w:val="20"/>
                <w:szCs w:val="20"/>
                <w:color w:val="auto"/>
              </w:rPr>
            </w:pPr>
            <w:r>
              <w:rPr>
                <w:rFonts w:ascii="Arial" w:cs="Arial" w:eastAsia="Arial" w:hAnsi="Arial"/>
                <w:sz w:val="18"/>
                <w:szCs w:val="18"/>
                <w:color w:val="auto"/>
              </w:rPr>
              <w:t>(948)</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20" w:type="dxa"/>
            <w:vAlign w:val="bottom"/>
            <w:gridSpan w:val="2"/>
          </w:tcPr>
          <w:p>
            <w:pPr>
              <w:jc w:val="right"/>
              <w:ind w:right="40"/>
              <w:spacing w:after="0"/>
              <w:rPr>
                <w:sz w:val="20"/>
                <w:szCs w:val="20"/>
                <w:color w:val="auto"/>
              </w:rPr>
            </w:pPr>
            <w:r>
              <w:rPr>
                <w:rFonts w:ascii="Arial" w:cs="Arial" w:eastAsia="Arial" w:hAnsi="Arial"/>
                <w:sz w:val="18"/>
                <w:szCs w:val="18"/>
                <w:color w:val="auto"/>
              </w:rPr>
              <w:t>(728)</w:t>
            </w:r>
          </w:p>
        </w:tc>
      </w:tr>
      <w:tr>
        <w:trPr>
          <w:trHeight w:val="223"/>
        </w:trPr>
        <w:tc>
          <w:tcPr>
            <w:tcW w:w="448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Long-term debt</w:t>
            </w:r>
          </w:p>
        </w:tc>
        <w:tc>
          <w:tcPr>
            <w:tcW w:w="1680" w:type="dxa"/>
            <w:vAlign w:val="bottom"/>
            <w:tcBorders>
              <w:top w:val="single" w:sz="8" w:color="CFF0FC"/>
              <w:bottom w:val="single" w:sz="8" w:color="CFF0FC"/>
            </w:tcBorders>
            <w:shd w:val="clear" w:color="auto" w:fill="CFF0FC"/>
          </w:tcPr>
          <w:p>
            <w:pPr>
              <w:spacing w:after="0"/>
              <w:rPr>
                <w:sz w:val="19"/>
                <w:szCs w:val="19"/>
                <w:color w:val="auto"/>
              </w:rPr>
            </w:pPr>
          </w:p>
        </w:tc>
        <w:tc>
          <w:tcPr>
            <w:tcW w:w="220" w:type="dxa"/>
            <w:vAlign w:val="bottom"/>
            <w:tcBorders>
              <w:top w:val="single" w:sz="8" w:color="auto"/>
              <w:bottom w:val="single" w:sz="8" w:color="auto"/>
            </w:tcBorders>
            <w:shd w:val="clear" w:color="auto" w:fill="CFF0FC"/>
          </w:tcPr>
          <w:p>
            <w:pPr>
              <w:jc w:val="right"/>
              <w:ind w:right="67"/>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59,048</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59,164</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r>
      <w:tr>
        <w:trPr>
          <w:trHeight w:val="20"/>
        </w:trPr>
        <w:tc>
          <w:tcPr>
            <w:tcW w:w="448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Amended and Restated Senior Secured Credit Facility</w:t>
      </w:r>
    </w:p>
    <w:p>
      <w:pPr>
        <w:spacing w:after="0" w:line="77" w:lineRule="exact"/>
        <w:rPr>
          <w:sz w:val="20"/>
          <w:szCs w:val="20"/>
          <w:color w:val="auto"/>
        </w:rPr>
      </w:pPr>
    </w:p>
    <w:p>
      <w:pPr>
        <w:ind w:right="260" w:firstLine="476"/>
        <w:spacing w:after="0" w:line="287" w:lineRule="auto"/>
        <w:rPr>
          <w:sz w:val="20"/>
          <w:szCs w:val="20"/>
          <w:color w:val="auto"/>
        </w:rPr>
      </w:pPr>
      <w:r>
        <w:rPr>
          <w:rFonts w:ascii="Arial" w:cs="Arial" w:eastAsia="Arial" w:hAnsi="Arial"/>
          <w:sz w:val="16"/>
          <w:szCs w:val="16"/>
          <w:color w:val="auto"/>
        </w:rPr>
        <w:t>On October 31, 2018, the Company entered into the Amended and Restated Credit Agreement, dated as of October 31, 2018, with certain lenders and Capital One, National Association, as a lender and as agent for all lenders (as amended by the Amendment (as hereinafter defined), the “Credit Agreement”), which amended and restated the Company’s existing credit agreement. This credit facility totaled $269.6 million, inclusive of a</w:t>
      </w:r>
    </w:p>
    <w:p>
      <w:pPr>
        <w:spacing w:after="0" w:line="2" w:lineRule="exact"/>
        <w:rPr>
          <w:sz w:val="20"/>
          <w:szCs w:val="20"/>
          <w:color w:val="auto"/>
        </w:rPr>
      </w:pPr>
    </w:p>
    <w:p>
      <w:pPr>
        <w:ind w:right="20"/>
        <w:spacing w:after="0" w:line="281" w:lineRule="auto"/>
        <w:rPr>
          <w:sz w:val="20"/>
          <w:szCs w:val="20"/>
          <w:color w:val="auto"/>
        </w:rPr>
      </w:pPr>
      <w:r>
        <w:rPr>
          <w:rFonts w:ascii="Arial" w:cs="Arial" w:eastAsia="Arial" w:hAnsi="Arial"/>
          <w:sz w:val="16"/>
          <w:szCs w:val="16"/>
          <w:color w:val="auto"/>
        </w:rPr>
        <w:t>$250.0 million revolving loan and a $19.6 million delayed draw term loan, and is evidenced by the Credit Agreement. This credit facility amended and restated the Company’s existing senior secured credit facility totaling $250.0 million. As used throughout this Quarterly Report on Form 10-Q, “credit facility” shall mean the credit facility evidenced by the Credit Agreement. The maturity of this credit facility is May 8, 2023. Interest on the Company’s credit facility may be payable at (x) the sum of (i) an applicable margin ranging from 0.75% to 1.50% based on the applicable senior net leverage ratio plus</w:t>
      </w:r>
    </w:p>
    <w:p>
      <w:pPr>
        <w:spacing w:after="0" w:line="2" w:lineRule="exact"/>
        <w:rPr>
          <w:sz w:val="20"/>
          <w:szCs w:val="20"/>
          <w:color w:val="auto"/>
        </w:rPr>
      </w:pPr>
    </w:p>
    <w:p>
      <w:pPr>
        <w:ind w:right="40" w:firstLine="8"/>
        <w:spacing w:after="0" w:line="286" w:lineRule="auto"/>
        <w:tabs>
          <w:tab w:leader="none" w:pos="265" w:val="left"/>
        </w:tabs>
        <w:numPr>
          <w:ilvl w:val="0"/>
          <w:numId w:val="5"/>
        </w:numPr>
        <w:rPr>
          <w:rFonts w:ascii="Arial" w:cs="Arial" w:eastAsia="Arial" w:hAnsi="Arial"/>
          <w:sz w:val="16"/>
          <w:szCs w:val="16"/>
          <w:color w:val="auto"/>
        </w:rPr>
      </w:pPr>
      <w:r>
        <w:rPr>
          <w:rFonts w:ascii="Arial" w:cs="Arial" w:eastAsia="Arial" w:hAnsi="Arial"/>
          <w:sz w:val="16"/>
          <w:szCs w:val="16"/>
          <w:color w:val="auto"/>
        </w:rPr>
        <w:t>a base rate equal to the greatest of (a) the rate of interest last quoted by The Wall Street Journal as the “prime rate,” (b) the sum of the federal funds rate plus a margin of 0.50% and (c) the sum of the adjusted LIBOR that would be applicable to a loan with an interest period of one month advanced on the applicable day (not to be less than 0.00%) plus a margin of 1.00% or (y) the sum of (i) an applicable margin ranging from 1.75% to 2.50% based on the applicable senior net leverage ratio plus (ii) the offered rate per annum for similar dollar deposits for the applicable interest period that appears on Reuters Screen LIBOR01 Page (not to be less than zero). Swing loans may not be LIBOR loans. The availability of additional draws under this credit facility is conditioned, among other things, upon (after giving effect to such draws) the Total Net Leverage Ratio (as defined in the Credit Agreement) not exceeding 3.75:1.00. In certain circumstances, in connection with a Material Acquisition (as defined in the Credit Agreement), the Company can elect to increase its Total Net Leverage Ratio compliance covenant to 4.25:1.00 for the then current fiscal quarter and the three succeeding fiscal quarters. In connection with this amended and restated credit facility, the Company incurred approximately $0.9 million of debt issuance costs.</w:t>
      </w:r>
    </w:p>
    <w:p>
      <w:pPr>
        <w:spacing w:after="0" w:line="118" w:lineRule="exact"/>
        <w:rPr>
          <w:sz w:val="20"/>
          <w:szCs w:val="20"/>
          <w:color w:val="auto"/>
        </w:rPr>
      </w:pPr>
    </w:p>
    <w:p>
      <w:pPr>
        <w:ind w:firstLine="476"/>
        <w:spacing w:after="0" w:line="275" w:lineRule="auto"/>
        <w:rPr>
          <w:sz w:val="20"/>
          <w:szCs w:val="20"/>
          <w:color w:val="auto"/>
        </w:rPr>
      </w:pPr>
      <w:r>
        <w:rPr>
          <w:rFonts w:ascii="Arial" w:cs="Arial" w:eastAsia="Arial" w:hAnsi="Arial"/>
          <w:sz w:val="17"/>
          <w:szCs w:val="17"/>
          <w:color w:val="auto"/>
        </w:rPr>
        <w:t>Addus HealthCare, Inc. (“Addus HealthCare”) is the borrower, and its parent, Holdings, and substantially all of Holdings’ subsidiaries are guarantors under this amended and restated credit facility, and it is collateralized by a first priority security interest in all of the Company’s and the other credit parties’ current and future tangible and intangible assets, including the shares of stock of the borrower and subsidiaries. The Credit Agreement contains affirmative and negative covenants customary for credit facilities of this type, including limitations on the Company with respect to liens, indebtedness, guaranties, investments, distributions, mergers and acquisitions and dispositions of assets.</w:t>
      </w:r>
    </w:p>
    <w:p>
      <w:pPr>
        <w:spacing w:after="0" w:line="122" w:lineRule="exact"/>
        <w:rPr>
          <w:sz w:val="20"/>
          <w:szCs w:val="20"/>
          <w:color w:val="auto"/>
        </w:rPr>
      </w:pPr>
    </w:p>
    <w:p>
      <w:pPr>
        <w:ind w:right="120" w:firstLine="476"/>
        <w:spacing w:after="0" w:line="275" w:lineRule="auto"/>
        <w:rPr>
          <w:sz w:val="20"/>
          <w:szCs w:val="20"/>
          <w:color w:val="auto"/>
        </w:rPr>
      </w:pPr>
      <w:r>
        <w:rPr>
          <w:rFonts w:ascii="Arial" w:cs="Arial" w:eastAsia="Arial" w:hAnsi="Arial"/>
          <w:sz w:val="17"/>
          <w:szCs w:val="17"/>
          <w:color w:val="auto"/>
        </w:rPr>
        <w:t>On September 12, 2019, the Company entered into a First Amendment (the “Amendment”) to its Credit Agreement. The Amendment increased the Company’s credit facility by $50.0 million in incremental revolving loans, for an aggregate $300.0 million in revolving loans. The Amendment provides that future incremental loans may be for term loans or an increase to the revolving loan commitments. The Amendment further provides that the proceeds of the incremental revolving loan commitments may be used for, among other things, general corporate purposes. In connection with the modification of this Amendment, the Company incurred approximately $0.4 million of debt issuance costs.</w:t>
      </w:r>
    </w:p>
    <w:p>
      <w:pPr>
        <w:spacing w:after="0" w:line="122" w:lineRule="exact"/>
        <w:rPr>
          <w:sz w:val="20"/>
          <w:szCs w:val="20"/>
          <w:color w:val="auto"/>
        </w:rPr>
      </w:pPr>
    </w:p>
    <w:p>
      <w:pPr>
        <w:ind w:right="240" w:firstLine="476"/>
        <w:spacing w:after="0" w:line="277" w:lineRule="auto"/>
        <w:rPr>
          <w:sz w:val="20"/>
          <w:szCs w:val="20"/>
          <w:color w:val="auto"/>
        </w:rPr>
      </w:pPr>
      <w:r>
        <w:rPr>
          <w:rFonts w:ascii="Arial" w:cs="Arial" w:eastAsia="Arial" w:hAnsi="Arial"/>
          <w:sz w:val="18"/>
          <w:szCs w:val="18"/>
          <w:color w:val="auto"/>
        </w:rPr>
        <w:t>The Company pays a fee ranging from 0.20% to 0.35% based on the applicable senior net leverage ratio times the unused portion of the revolving loan portion of the amended and restated credit facility.</w:t>
      </w:r>
    </w:p>
    <w:p>
      <w:pPr>
        <w:spacing w:after="0" w:line="175"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223520</wp:posOffset>
            </wp:positionV>
            <wp:extent cx="713232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91" w:lineRule="exact"/>
        <w:rPr>
          <w:sz w:val="20"/>
          <w:szCs w:val="20"/>
          <w:color w:val="auto"/>
        </w:rPr>
      </w:pPr>
    </w:p>
    <w:p>
      <w:pPr>
        <w:ind w:right="60" w:firstLine="476"/>
        <w:spacing w:after="0" w:line="284" w:lineRule="auto"/>
        <w:rPr>
          <w:sz w:val="20"/>
          <w:szCs w:val="20"/>
          <w:color w:val="auto"/>
        </w:rPr>
      </w:pPr>
      <w:r>
        <w:rPr>
          <w:rFonts w:ascii="Arial" w:cs="Arial" w:eastAsia="Arial" w:hAnsi="Arial"/>
          <w:sz w:val="16"/>
          <w:szCs w:val="16"/>
          <w:color w:val="auto"/>
        </w:rPr>
        <w:t>The Credit Agreement contains customary affirmative covenants regarding, among other things, the maintenance of records, compliance with laws, maintenance of permits, maintenance of insurance and property and payment of taxes. The Credit Agreement also contains certain customary financial covenants and negative covenants that, among other things, include a requirement to maintain a minimum Interest Coverage Ratio (as defined in the Credit Agreement), a requirement to stay below a maximum Total Net Leverage Ratio (as defined in the Credit Agreement) and a requirement to stay below a maximum permitted amount of capital expenditures, as well as restrictions on guarantees, indebtedness, liens, investments and loans, subject to customary carve outs, a restriction on dividends (provided that Addus HealthCare may make distributions to the Company in an amount that does not exceed</w:t>
      </w:r>
    </w:p>
    <w:p>
      <w:pPr>
        <w:spacing w:after="0" w:line="4" w:lineRule="exact"/>
        <w:rPr>
          <w:sz w:val="20"/>
          <w:szCs w:val="20"/>
          <w:color w:val="auto"/>
        </w:rPr>
      </w:pPr>
    </w:p>
    <w:p>
      <w:pPr>
        <w:spacing w:after="0" w:line="251" w:lineRule="auto"/>
        <w:rPr>
          <w:sz w:val="20"/>
          <w:szCs w:val="20"/>
          <w:color w:val="auto"/>
        </w:rPr>
      </w:pPr>
      <w:r>
        <w:rPr>
          <w:rFonts w:ascii="Arial" w:cs="Arial" w:eastAsia="Arial" w:hAnsi="Arial"/>
          <w:sz w:val="18"/>
          <w:szCs w:val="18"/>
          <w:color w:val="auto"/>
        </w:rPr>
        <w:t>$7.5 million in any year absent of an event of default, plus limited exceptions for tax and administrative distributions), a restriction on the ability to consummate acquisitions (without the consent of the lenders) under its credit facility subject to compliance with the Total Net Leverage Ratio (as defined in the Credit Agreement thresholds), restrictions on mergers, dispositions of assets, and affiliate transactions, and restrictions on fundamental changes and lines of business. As of June 30, 2020, the Company was in compliance with all financial covenants under the Credit Agreement. However, the Company was unable to timely file its Annual Report on Form 10-K, which would have included its audited financial statements for the year ended December 31, 2019. The Company is required to deliver annual audited financial statements under the affirmative covenants of its Credit Agreement. The Company obtained consent from the Required Lenders (as defined in the Credit Agreement) to extend the timeline of the audited financials for the year ended December 31, 2019 to not later than October 31, 2020.</w:t>
      </w:r>
    </w:p>
    <w:p>
      <w:pPr>
        <w:spacing w:after="0" w:line="144" w:lineRule="exact"/>
        <w:rPr>
          <w:sz w:val="20"/>
          <w:szCs w:val="20"/>
          <w:color w:val="auto"/>
        </w:rPr>
      </w:pPr>
    </w:p>
    <w:p>
      <w:pPr>
        <w:ind w:left="480"/>
        <w:spacing w:after="0"/>
        <w:rPr>
          <w:sz w:val="20"/>
          <w:szCs w:val="20"/>
          <w:color w:val="auto"/>
        </w:rPr>
      </w:pPr>
      <w:r>
        <w:rPr>
          <w:rFonts w:ascii="Arial" w:cs="Arial" w:eastAsia="Arial" w:hAnsi="Arial"/>
          <w:sz w:val="18"/>
          <w:szCs w:val="18"/>
          <w:color w:val="auto"/>
        </w:rPr>
        <w:t>During the six months ended June 30, 2020, the Company had no draws under its credit facility.</w:t>
      </w:r>
    </w:p>
    <w:p>
      <w:pPr>
        <w:spacing w:after="0" w:line="171" w:lineRule="exact"/>
        <w:rPr>
          <w:sz w:val="20"/>
          <w:szCs w:val="20"/>
          <w:color w:val="auto"/>
        </w:rPr>
      </w:pPr>
    </w:p>
    <w:p>
      <w:pPr>
        <w:ind w:right="80" w:firstLine="476"/>
        <w:spacing w:after="0" w:line="259" w:lineRule="auto"/>
        <w:rPr>
          <w:sz w:val="20"/>
          <w:szCs w:val="20"/>
          <w:color w:val="auto"/>
        </w:rPr>
      </w:pPr>
      <w:r>
        <w:rPr>
          <w:rFonts w:ascii="Arial" w:cs="Arial" w:eastAsia="Arial" w:hAnsi="Arial"/>
          <w:sz w:val="18"/>
          <w:szCs w:val="18"/>
          <w:color w:val="auto"/>
        </w:rPr>
        <w:t>As of June 30, 2020, the Company had a total of $43.5 million of revolving loans, with an interest rate of 1.92% and $18.6 million of term loans, with an interest rate of 1.93%, outstanding on its credit facility. After giving effect to the amount drawn on its credit facility, approximately $9.6 million of outstanding letters of credit and borrowing limits based on an advance multiple of adjusted EBITDA (as defined in the Credit Agreement), the Company had $223.5 million available for borrowing under its credit facility.</w:t>
      </w:r>
    </w:p>
    <w:p>
      <w:pPr>
        <w:spacing w:after="0" w:line="133" w:lineRule="exact"/>
        <w:rPr>
          <w:sz w:val="20"/>
          <w:szCs w:val="20"/>
          <w:color w:val="auto"/>
        </w:rPr>
      </w:pPr>
    </w:p>
    <w:p>
      <w:pPr>
        <w:jc w:val="both"/>
        <w:ind w:right="220" w:firstLine="476"/>
        <w:spacing w:after="0" w:line="259" w:lineRule="auto"/>
        <w:rPr>
          <w:sz w:val="20"/>
          <w:szCs w:val="20"/>
          <w:color w:val="auto"/>
        </w:rPr>
      </w:pPr>
      <w:r>
        <w:rPr>
          <w:rFonts w:ascii="Arial" w:cs="Arial" w:eastAsia="Arial" w:hAnsi="Arial"/>
          <w:sz w:val="18"/>
          <w:szCs w:val="18"/>
          <w:color w:val="auto"/>
        </w:rPr>
        <w:t>As of December 31, 2019, the Company had a total of $43.4 million of revolving loans, with an interest rate of 3.44%, and $18.9 million of term loans, with an interest rate of 3.45%, outstanding on its credit facility. After giving effect to the amount drawn on its credit facility, approximately $10.0 million of outstanding letters of credit and borrowing limits based on an advance multiple of adjusted EBITDA (as defined in the Credit Agreement), the Company had $191.4 million available for borrowing under its credit facility.</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Income Taxes</w:t>
      </w:r>
    </w:p>
    <w:p>
      <w:pPr>
        <w:spacing w:after="0" w:line="94" w:lineRule="exact"/>
        <w:rPr>
          <w:sz w:val="20"/>
          <w:szCs w:val="20"/>
          <w:color w:val="auto"/>
        </w:rPr>
      </w:pPr>
    </w:p>
    <w:p>
      <w:pPr>
        <w:jc w:val="both"/>
        <w:ind w:right="200" w:firstLine="476"/>
        <w:spacing w:after="0" w:line="286" w:lineRule="auto"/>
        <w:rPr>
          <w:sz w:val="20"/>
          <w:szCs w:val="20"/>
          <w:color w:val="auto"/>
        </w:rPr>
      </w:pPr>
      <w:r>
        <w:rPr>
          <w:rFonts w:ascii="Arial" w:cs="Arial" w:eastAsia="Arial" w:hAnsi="Arial"/>
          <w:sz w:val="17"/>
          <w:szCs w:val="17"/>
          <w:color w:val="auto"/>
        </w:rPr>
        <w:t>The effective income tax rates are 23.6% and 22.2% for the three months ended June 30, 2020 and 2019, respectively. For the three months ended June 30, 2020 and 2019, the difference between our federal statutory and effective income tax rates was principally due to the inclusion of state taxes and non-deductible compensation, partially offset by an excess tax benefit and the use of federal employment tax credits.</w:t>
      </w:r>
    </w:p>
    <w:p>
      <w:pPr>
        <w:spacing w:after="0" w:line="111" w:lineRule="exact"/>
        <w:rPr>
          <w:sz w:val="20"/>
          <w:szCs w:val="20"/>
          <w:color w:val="auto"/>
        </w:rPr>
      </w:pPr>
    </w:p>
    <w:p>
      <w:pPr>
        <w:ind w:right="120" w:firstLine="476"/>
        <w:spacing w:after="0" w:line="293" w:lineRule="auto"/>
        <w:rPr>
          <w:sz w:val="20"/>
          <w:szCs w:val="20"/>
          <w:color w:val="auto"/>
        </w:rPr>
      </w:pPr>
      <w:r>
        <w:rPr>
          <w:rFonts w:ascii="Arial" w:cs="Arial" w:eastAsia="Arial" w:hAnsi="Arial"/>
          <w:sz w:val="16"/>
          <w:szCs w:val="16"/>
          <w:color w:val="auto"/>
        </w:rPr>
        <w:t>The effective income tax rates are 18.6% and 19.4% for the six months ended June 30, 2020 and 2019, respectively. For the six months ended June 30, 2020 and 2019, the difference between our federal statutory and effective income tax rates was principally due to the inclusion of an excess tax benefit and the use of federal employment tax credits partially offset by state taxes and non-deductible compensation. The effective tax rates are lower than the federal statutory rate primarily due to the inclusion of a 7.5% and 6.5% excess tax benefit for the six months ended June 30, 2020 and 2019, respectively. The excess tax benefit is a discrete item which requires the Company to recognize the benefit fully in the period. An excess tax benefit results if the Company’s income tax deduction exceeds the cumulative costs of the award recognized on the Unaudited Condensed Consolidated Statements of Income.</w:t>
      </w:r>
    </w:p>
    <w:p>
      <w:pPr>
        <w:spacing w:after="0" w:line="174" w:lineRule="exact"/>
        <w:rPr>
          <w:sz w:val="20"/>
          <w:szCs w:val="20"/>
          <w:color w:val="auto"/>
        </w:rPr>
      </w:pPr>
    </w:p>
    <w:p>
      <w:pPr>
        <w:ind w:right="8420" w:firstLine="8"/>
        <w:spacing w:after="0" w:line="358" w:lineRule="auto"/>
        <w:tabs>
          <w:tab w:leader="none" w:pos="270" w:val="left"/>
        </w:tabs>
        <w:numPr>
          <w:ilvl w:val="0"/>
          <w:numId w:val="6"/>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Commitments and Contingencies </w:t>
      </w:r>
      <w:r>
        <w:rPr>
          <w:rFonts w:ascii="Arial" w:cs="Arial" w:eastAsia="Arial" w:hAnsi="Arial"/>
          <w:sz w:val="17"/>
          <w:szCs w:val="17"/>
          <w:b w:val="1"/>
          <w:bCs w:val="1"/>
          <w:i w:val="1"/>
          <w:iCs w:val="1"/>
          <w:color w:val="auto"/>
        </w:rPr>
        <w:t>Legal Proceedings</w:t>
      </w:r>
    </w:p>
    <w:p>
      <w:pPr>
        <w:spacing w:after="0" w:line="1" w:lineRule="exact"/>
        <w:rPr>
          <w:sz w:val="20"/>
          <w:szCs w:val="20"/>
          <w:color w:val="auto"/>
        </w:rPr>
      </w:pPr>
    </w:p>
    <w:p>
      <w:pPr>
        <w:ind w:right="100" w:firstLine="476"/>
        <w:spacing w:after="0" w:line="263" w:lineRule="auto"/>
        <w:rPr>
          <w:sz w:val="20"/>
          <w:szCs w:val="20"/>
          <w:color w:val="auto"/>
        </w:rPr>
      </w:pPr>
      <w:r>
        <w:rPr>
          <w:rFonts w:ascii="Arial" w:cs="Arial" w:eastAsia="Arial" w:hAnsi="Arial"/>
          <w:sz w:val="18"/>
          <w:szCs w:val="18"/>
          <w:color w:val="auto"/>
        </w:rPr>
        <w:t>From time to time, the Company is subject to legal and/or administrative proceedings incidental to its business. It is the opinion of management that the outcome of pending legal and/or administrative proceedings will not have a material effect on the Company’s Unaudited Condensed Consolidated Balance Sheets and Unaudited Condensed Consolidated Statements of Income.</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Government Actions to Mitigate COVID-19’s Impact</w:t>
      </w:r>
    </w:p>
    <w:p>
      <w:pPr>
        <w:spacing w:after="0" w:line="77" w:lineRule="exact"/>
        <w:rPr>
          <w:sz w:val="20"/>
          <w:szCs w:val="20"/>
          <w:color w:val="auto"/>
        </w:rPr>
      </w:pPr>
    </w:p>
    <w:p>
      <w:pPr>
        <w:ind w:right="40" w:firstLine="476"/>
        <w:spacing w:after="0" w:line="259" w:lineRule="auto"/>
        <w:rPr>
          <w:sz w:val="20"/>
          <w:szCs w:val="20"/>
          <w:color w:val="auto"/>
        </w:rPr>
      </w:pPr>
      <w:r>
        <w:rPr>
          <w:rFonts w:ascii="Arial" w:cs="Arial" w:eastAsia="Arial" w:hAnsi="Arial"/>
          <w:sz w:val="18"/>
          <w:szCs w:val="18"/>
          <w:color w:val="auto"/>
        </w:rPr>
        <w:t>On January 31, 2020, the Secretary of the U.S. Department of Health and Human Services (“HHS”) declared a national public health emergency due to a novel coronavirus. In March 2020, the World Health Organization declared the outbreak of COVID-19, a disease caused by this novel coronavirus, a pandemic. This disease continues to spread throughout the United States and other parts of the world. It is impossible to predict the effect and ultimate impact of the COVID-19 pandemic as the situation is rapidly evolving.</w:t>
      </w:r>
    </w:p>
    <w:p>
      <w:pPr>
        <w:spacing w:after="0" w:line="133" w:lineRule="exact"/>
        <w:rPr>
          <w:sz w:val="20"/>
          <w:szCs w:val="20"/>
          <w:color w:val="auto"/>
        </w:rPr>
      </w:pPr>
    </w:p>
    <w:p>
      <w:pPr>
        <w:ind w:right="120" w:firstLine="476"/>
        <w:spacing w:after="0" w:line="273" w:lineRule="auto"/>
        <w:rPr>
          <w:sz w:val="20"/>
          <w:szCs w:val="20"/>
          <w:color w:val="auto"/>
        </w:rPr>
      </w:pPr>
      <w:r>
        <w:rPr>
          <w:rFonts w:ascii="Arial" w:cs="Arial" w:eastAsia="Arial" w:hAnsi="Arial"/>
          <w:sz w:val="17"/>
          <w:szCs w:val="17"/>
          <w:color w:val="auto"/>
        </w:rPr>
        <w:t>In recognition of the significant threat to the liquidity of financial markets posed by the COVID-19 pandemic, the Federal Reserve and Congress have taken dramatic actions to provide liquidity to businesses and the banking system in the United States. For example, on March 27, 2020, the President signed into law the CARES Act, a sweeping stimulus bill intended to bolster the U.S. economy. On April 24, 2020, the Paycheck Protection Program and Health Care Enhancement Act (“PPPHCE Act”) was enacted, an expansion of the CARES Act. Together, the CARES Act and the PPPHCE Act authorize $175 billion in funding to be distributed to health care providers through Relief Fund. This funding is intended to support healthcare providers by reimbursing them for healthcare-related expenses or lost revenues attributable to COVID-19. In</w:t>
      </w:r>
    </w:p>
    <w:p>
      <w:pPr>
        <w:spacing w:after="0" w:line="182"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223520</wp:posOffset>
            </wp:positionV>
            <wp:extent cx="713232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91" w:lineRule="exact"/>
        <w:rPr>
          <w:sz w:val="20"/>
          <w:szCs w:val="20"/>
          <w:color w:val="auto"/>
        </w:rPr>
      </w:pPr>
    </w:p>
    <w:p>
      <w:pPr>
        <w:ind w:right="640"/>
        <w:spacing w:after="0" w:line="277" w:lineRule="auto"/>
        <w:rPr>
          <w:sz w:val="20"/>
          <w:szCs w:val="20"/>
          <w:color w:val="auto"/>
        </w:rPr>
      </w:pPr>
      <w:r>
        <w:rPr>
          <w:rFonts w:ascii="Arial" w:cs="Arial" w:eastAsia="Arial" w:hAnsi="Arial"/>
          <w:sz w:val="18"/>
          <w:szCs w:val="18"/>
          <w:color w:val="auto"/>
        </w:rPr>
        <w:t>addition to relief funding, the CARES Act includes temporary changes to Medicare and Medicaid payment rules and relief from certain accounting provisions.</w:t>
      </w:r>
    </w:p>
    <w:p>
      <w:pPr>
        <w:spacing w:after="0" w:line="116" w:lineRule="exact"/>
        <w:rPr>
          <w:sz w:val="20"/>
          <w:szCs w:val="20"/>
          <w:color w:val="auto"/>
        </w:rPr>
      </w:pPr>
    </w:p>
    <w:p>
      <w:pPr>
        <w:ind w:right="20" w:firstLine="476"/>
        <w:spacing w:after="0" w:line="255" w:lineRule="auto"/>
        <w:rPr>
          <w:sz w:val="20"/>
          <w:szCs w:val="20"/>
          <w:color w:val="auto"/>
        </w:rPr>
      </w:pPr>
      <w:r>
        <w:rPr>
          <w:rFonts w:ascii="Arial" w:cs="Arial" w:eastAsia="Arial" w:hAnsi="Arial"/>
          <w:sz w:val="18"/>
          <w:szCs w:val="18"/>
          <w:color w:val="auto"/>
        </w:rPr>
        <w:t>In April 2020, the Company received grants in an aggregate principal amount of $6.9 million, for which it did not apply, from the Relief Fund as part of the automatic general distributions by HHS. The Company returned these funds in June 2020. The CARES Act includes provisions relating to refundable payroll tax credits, deferral of the employer portion of certain payroll taxes, net operating loss carrybacks, and other areas. The payroll tax deferral requires that the deferred payroll taxes be paid over two years, with half of the amount required to be paid by December 31, 2021 and the other half by December 31, 2022. The Company deferred $7.1 million of payroll taxes, which are included in accrued expenses in the Company’s Unaudited Condensed Consolidated Balance Sheets at June 30, 2020.</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Segment Information</w:t>
      </w:r>
    </w:p>
    <w:p>
      <w:pPr>
        <w:spacing w:after="0" w:line="94" w:lineRule="exact"/>
        <w:rPr>
          <w:sz w:val="20"/>
          <w:szCs w:val="20"/>
          <w:color w:val="auto"/>
        </w:rPr>
      </w:pPr>
    </w:p>
    <w:p>
      <w:pPr>
        <w:ind w:right="60" w:firstLine="476"/>
        <w:spacing w:after="0" w:line="259" w:lineRule="auto"/>
        <w:rPr>
          <w:sz w:val="20"/>
          <w:szCs w:val="20"/>
          <w:color w:val="auto"/>
        </w:rPr>
      </w:pPr>
      <w:r>
        <w:rPr>
          <w:rFonts w:ascii="Arial" w:cs="Arial" w:eastAsia="Arial" w:hAnsi="Arial"/>
          <w:sz w:val="18"/>
          <w:szCs w:val="18"/>
          <w:color w:val="auto"/>
        </w:rPr>
        <w:t>Operating segments are defined as components of a company that engage in business activities from which it may earn revenues and incur expenses, and for which separate financial information is available and is regularly reviewed by the Company’s chief operating decision makers, to assess the performance of the individual segments and make decisions about resources to be allocated to the segments. The Company operates as a multi-state provider of three distinct but related business segments providing in-home services.</w:t>
      </w:r>
    </w:p>
    <w:p>
      <w:pPr>
        <w:spacing w:after="0" w:line="133" w:lineRule="exact"/>
        <w:rPr>
          <w:sz w:val="20"/>
          <w:szCs w:val="20"/>
          <w:color w:val="auto"/>
        </w:rPr>
      </w:pPr>
    </w:p>
    <w:p>
      <w:pPr>
        <w:ind w:right="20" w:firstLine="476"/>
        <w:spacing w:after="0" w:line="257" w:lineRule="auto"/>
        <w:rPr>
          <w:sz w:val="20"/>
          <w:szCs w:val="20"/>
          <w:color w:val="auto"/>
        </w:rPr>
      </w:pPr>
      <w:r>
        <w:rPr>
          <w:rFonts w:ascii="Arial" w:cs="Arial" w:eastAsia="Arial" w:hAnsi="Arial"/>
          <w:sz w:val="18"/>
          <w:szCs w:val="18"/>
          <w:color w:val="auto"/>
        </w:rPr>
        <w:t>In its personal care segment, the Company provides non-medical assistance with activities of daily living, primarily to persons who are at increased risk of hospitalization or institutionalization, such as the elderly, chronically ill or disabled. In its hospice segment, the Company provides physical, emotional and spiritual care for people who are terminally ill as well as related services for their families. In its home health segment, the Company provides services that are primarily medical in nature to individuals who may require assistance during an illness or after hospitalization and include skilled nursing and physical, occupational and speech therapy.</w:t>
      </w:r>
    </w:p>
    <w:p>
      <w:pPr>
        <w:spacing w:after="0" w:line="134" w:lineRule="exact"/>
        <w:rPr>
          <w:sz w:val="20"/>
          <w:szCs w:val="20"/>
          <w:color w:val="auto"/>
        </w:rPr>
      </w:pPr>
    </w:p>
    <w:p>
      <w:pPr>
        <w:ind w:right="80" w:firstLine="476"/>
        <w:spacing w:after="0" w:line="286" w:lineRule="auto"/>
        <w:rPr>
          <w:sz w:val="20"/>
          <w:szCs w:val="20"/>
          <w:color w:val="auto"/>
        </w:rPr>
      </w:pPr>
      <w:r>
        <w:rPr>
          <w:rFonts w:ascii="Arial" w:cs="Arial" w:eastAsia="Arial" w:hAnsi="Arial"/>
          <w:sz w:val="17"/>
          <w:szCs w:val="17"/>
          <w:color w:val="auto"/>
        </w:rPr>
        <w:t>The tables below set forth information about the Company’s reportable segments for the three and six months ended June 30, 2020 and 2019 along with the items necessary to reconcile the segment information to the totals reported in the accompanying consolidated financial statements. Segment assets are not reviewed by the Company’s chief operating decision maker function and therefore are not disclosed below.</w:t>
      </w:r>
    </w:p>
    <w:p>
      <w:pPr>
        <w:spacing w:after="0" w:line="111" w:lineRule="exact"/>
        <w:rPr>
          <w:sz w:val="20"/>
          <w:szCs w:val="20"/>
          <w:color w:val="auto"/>
        </w:rPr>
      </w:pPr>
    </w:p>
    <w:p>
      <w:pPr>
        <w:ind w:right="320" w:firstLine="476"/>
        <w:spacing w:after="0" w:line="259" w:lineRule="auto"/>
        <w:rPr>
          <w:sz w:val="20"/>
          <w:szCs w:val="20"/>
          <w:color w:val="auto"/>
        </w:rPr>
      </w:pPr>
      <w:r>
        <w:rPr>
          <w:rFonts w:ascii="Arial" w:cs="Arial" w:eastAsia="Arial" w:hAnsi="Arial"/>
          <w:sz w:val="18"/>
          <w:szCs w:val="18"/>
          <w:color w:val="auto"/>
        </w:rPr>
        <w:t>Segment operating income consists of revenue generated by a segment, less the direct costs of service revenues and general and administrative expenses that are incurred directly by the segment. Unallocated general and administrative costs are those costs for functions performed in a centralized manner and therefore not attributable to a particular segment. These costs include accounting, finance, human resources, legal, information technology, corporate office support and facility costs and overall corporate management.</w:t>
      </w:r>
    </w:p>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30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spacing w:after="0"/>
              <w:rPr>
                <w:sz w:val="14"/>
                <w:szCs w:val="14"/>
                <w:color w:val="auto"/>
              </w:rPr>
            </w:pPr>
          </w:p>
        </w:tc>
        <w:tc>
          <w:tcPr>
            <w:tcW w:w="2920" w:type="dxa"/>
            <w:vAlign w:val="bottom"/>
            <w:tcBorders>
              <w:bottom w:val="single" w:sz="8" w:color="auto"/>
            </w:tcBorders>
            <w:gridSpan w:val="9"/>
          </w:tcPr>
          <w:p>
            <w:pPr>
              <w:ind w:left="140"/>
              <w:spacing w:after="0"/>
              <w:rPr>
                <w:sz w:val="20"/>
                <w:szCs w:val="20"/>
                <w:color w:val="auto"/>
              </w:rPr>
            </w:pPr>
            <w:r>
              <w:rPr>
                <w:rFonts w:ascii="Arial" w:cs="Arial" w:eastAsia="Arial" w:hAnsi="Arial"/>
                <w:sz w:val="14"/>
                <w:szCs w:val="14"/>
                <w:b w:val="1"/>
                <w:bCs w:val="1"/>
                <w:color w:val="auto"/>
                <w:w w:val="96"/>
              </w:rPr>
              <w:t>For the Three Months Ended June 30, 2020</w:t>
            </w:r>
          </w:p>
        </w:tc>
        <w:tc>
          <w:tcPr>
            <w:tcW w:w="8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4300" w:type="dxa"/>
            <w:vAlign w:val="bottom"/>
          </w:tcPr>
          <w:p>
            <w:pPr>
              <w:spacing w:after="0"/>
              <w:rPr>
                <w:sz w:val="13"/>
                <w:szCs w:val="13"/>
                <w:color w:val="auto"/>
              </w:rPr>
            </w:pPr>
          </w:p>
        </w:tc>
        <w:tc>
          <w:tcPr>
            <w:tcW w:w="154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1860" w:type="dxa"/>
            <w:vAlign w:val="bottom"/>
            <w:tcBorders>
              <w:bottom w:val="single" w:sz="8" w:color="auto"/>
            </w:tcBorders>
            <w:gridSpan w:val="4"/>
          </w:tcPr>
          <w:p>
            <w:pPr>
              <w:ind w:left="300"/>
              <w:spacing w:after="0" w:line="155" w:lineRule="exact"/>
              <w:rPr>
                <w:sz w:val="20"/>
                <w:szCs w:val="20"/>
                <w:color w:val="auto"/>
              </w:rPr>
            </w:pPr>
            <w:r>
              <w:rPr>
                <w:rFonts w:ascii="Arial" w:cs="Arial" w:eastAsia="Arial" w:hAnsi="Arial"/>
                <w:sz w:val="14"/>
                <w:szCs w:val="14"/>
                <w:b w:val="1"/>
                <w:bCs w:val="1"/>
                <w:color w:val="auto"/>
                <w:w w:val="93"/>
              </w:rPr>
              <w:t>(Amounts in Thousands)</w:t>
            </w:r>
          </w:p>
        </w:tc>
        <w:tc>
          <w:tcPr>
            <w:tcW w:w="28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94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4300" w:type="dxa"/>
            <w:vAlign w:val="bottom"/>
          </w:tcPr>
          <w:p>
            <w:pPr>
              <w:spacing w:after="0"/>
              <w:rPr>
                <w:sz w:val="13"/>
                <w:szCs w:val="13"/>
                <w:color w:val="auto"/>
              </w:rPr>
            </w:pPr>
          </w:p>
        </w:tc>
        <w:tc>
          <w:tcPr>
            <w:tcW w:w="15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40" w:type="dxa"/>
            <w:vAlign w:val="bottom"/>
          </w:tcPr>
          <w:p>
            <w:pPr>
              <w:jc w:val="right"/>
              <w:ind w:right="53"/>
              <w:spacing w:after="0" w:line="155" w:lineRule="exact"/>
              <w:rPr>
                <w:sz w:val="20"/>
                <w:szCs w:val="20"/>
                <w:color w:val="auto"/>
              </w:rPr>
            </w:pPr>
            <w:r>
              <w:rPr>
                <w:rFonts w:ascii="Arial" w:cs="Arial" w:eastAsia="Arial" w:hAnsi="Arial"/>
                <w:sz w:val="14"/>
                <w:szCs w:val="14"/>
                <w:b w:val="1"/>
                <w:bCs w:val="1"/>
                <w:color w:val="auto"/>
                <w:w w:val="93"/>
              </w:rPr>
              <w:t>Personal Care</w:t>
            </w:r>
          </w:p>
        </w:tc>
        <w:tc>
          <w:tcPr>
            <w:tcW w:w="2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40" w:type="dxa"/>
            <w:vAlign w:val="bottom"/>
            <w:gridSpan w:val="2"/>
          </w:tcPr>
          <w:p>
            <w:pPr>
              <w:jc w:val="right"/>
              <w:ind w:right="259"/>
              <w:spacing w:after="0" w:line="155" w:lineRule="exact"/>
              <w:rPr>
                <w:sz w:val="20"/>
                <w:szCs w:val="20"/>
                <w:color w:val="auto"/>
              </w:rPr>
            </w:pPr>
            <w:r>
              <w:rPr>
                <w:rFonts w:ascii="Arial" w:cs="Arial" w:eastAsia="Arial" w:hAnsi="Arial"/>
                <w:sz w:val="14"/>
                <w:szCs w:val="14"/>
                <w:b w:val="1"/>
                <w:bCs w:val="1"/>
                <w:color w:val="auto"/>
              </w:rPr>
              <w:t>Hospice</w:t>
            </w:r>
          </w:p>
        </w:tc>
        <w:tc>
          <w:tcPr>
            <w:tcW w:w="240" w:type="dxa"/>
            <w:vAlign w:val="bottom"/>
          </w:tcPr>
          <w:p>
            <w:pPr>
              <w:spacing w:after="0"/>
              <w:rPr>
                <w:sz w:val="13"/>
                <w:szCs w:val="13"/>
                <w:color w:val="auto"/>
              </w:rPr>
            </w:pPr>
          </w:p>
        </w:tc>
        <w:tc>
          <w:tcPr>
            <w:tcW w:w="1300" w:type="dxa"/>
            <w:vAlign w:val="bottom"/>
            <w:gridSpan w:val="4"/>
          </w:tcPr>
          <w:p>
            <w:pPr>
              <w:ind w:left="160"/>
              <w:spacing w:after="0" w:line="155" w:lineRule="exact"/>
              <w:rPr>
                <w:sz w:val="20"/>
                <w:szCs w:val="20"/>
                <w:color w:val="auto"/>
              </w:rPr>
            </w:pPr>
            <w:r>
              <w:rPr>
                <w:rFonts w:ascii="Arial" w:cs="Arial" w:eastAsia="Arial" w:hAnsi="Arial"/>
                <w:sz w:val="14"/>
                <w:szCs w:val="14"/>
                <w:b w:val="1"/>
                <w:bCs w:val="1"/>
                <w:color w:val="auto"/>
              </w:rPr>
              <w:t>Home Health</w:t>
            </w: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60" w:type="dxa"/>
            <w:vAlign w:val="bottom"/>
            <w:gridSpan w:val="2"/>
          </w:tcPr>
          <w:p>
            <w:pPr>
              <w:ind w:left="220"/>
              <w:spacing w:after="0" w:line="155" w:lineRule="exact"/>
              <w:rPr>
                <w:sz w:val="20"/>
                <w:szCs w:val="20"/>
                <w:color w:val="auto"/>
              </w:rPr>
            </w:pPr>
            <w:r>
              <w:rPr>
                <w:rFonts w:ascii="Arial" w:cs="Arial" w:eastAsia="Arial" w:hAnsi="Arial"/>
                <w:sz w:val="14"/>
                <w:szCs w:val="14"/>
                <w:b w:val="1"/>
                <w:bCs w:val="1"/>
                <w:color w:val="auto"/>
              </w:rPr>
              <w:t>Total</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43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Net service revenues</w:t>
            </w:r>
          </w:p>
        </w:tc>
        <w:tc>
          <w:tcPr>
            <w:tcW w:w="154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156,268</w:t>
            </w:r>
          </w:p>
        </w:tc>
        <w:tc>
          <w:tcPr>
            <w:tcW w:w="24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jc w:val="right"/>
              <w:ind w:right="47"/>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color w:val="auto"/>
              </w:rPr>
              <w:t>24,525</w:t>
            </w:r>
          </w:p>
        </w:tc>
        <w:tc>
          <w:tcPr>
            <w:tcW w:w="240" w:type="dxa"/>
            <w:vAlign w:val="bottom"/>
            <w:tcBorders>
              <w:top w:val="single" w:sz="8" w:color="CFF0FC"/>
            </w:tcBorders>
            <w:shd w:val="clear" w:color="auto" w:fill="CFF0FC"/>
          </w:tcPr>
          <w:p>
            <w:pPr>
              <w:spacing w:after="0"/>
              <w:rPr>
                <w:sz w:val="19"/>
                <w:szCs w:val="19"/>
                <w:color w:val="auto"/>
              </w:rPr>
            </w:pPr>
          </w:p>
        </w:tc>
        <w:tc>
          <w:tcPr>
            <w:tcW w:w="680" w:type="dxa"/>
            <w:vAlign w:val="bottom"/>
            <w:tcBorders>
              <w:top w:val="single" w:sz="8" w:color="auto"/>
            </w:tcBorders>
            <w:shd w:val="clear" w:color="auto" w:fill="CFF0FC"/>
          </w:tcPr>
          <w:p>
            <w:pPr>
              <w:jc w:val="right"/>
              <w:ind w:right="527"/>
              <w:spacing w:after="0"/>
              <w:rPr>
                <w:sz w:val="20"/>
                <w:szCs w:val="20"/>
                <w:color w:val="auto"/>
              </w:rPr>
            </w:pPr>
            <w:r>
              <w:rPr>
                <w:rFonts w:ascii="Arial" w:cs="Arial" w:eastAsia="Arial" w:hAnsi="Arial"/>
                <w:sz w:val="15"/>
                <w:szCs w:val="15"/>
                <w:color w:val="auto"/>
                <w:w w:val="71"/>
              </w:rPr>
              <w:t>$</w:t>
            </w:r>
          </w:p>
        </w:tc>
        <w:tc>
          <w:tcPr>
            <w:tcW w:w="460" w:type="dxa"/>
            <w:vAlign w:val="bottom"/>
            <w:tcBorders>
              <w:top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color w:val="auto"/>
                <w:w w:val="93"/>
              </w:rPr>
              <w:t>3,783</w:t>
            </w:r>
          </w:p>
        </w:tc>
        <w:tc>
          <w:tcPr>
            <w:tcW w:w="16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tcBorders>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184,576</w:t>
            </w: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30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Cost of services revenues</w:t>
            </w:r>
          </w:p>
        </w:tc>
        <w:tc>
          <w:tcPr>
            <w:tcW w:w="1540" w:type="dxa"/>
            <w:vAlign w:val="bottom"/>
            <w:tcBorders>
              <w:bottom w:val="single" w:sz="8" w:color="CFF0FC"/>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115,822</w:t>
            </w:r>
          </w:p>
        </w:tc>
        <w:tc>
          <w:tcPr>
            <w:tcW w:w="240" w:type="dxa"/>
            <w:vAlign w:val="bottom"/>
            <w:tcBorders>
              <w:bottom w:val="single" w:sz="8" w:color="CFF0FC"/>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10,924</w:t>
            </w:r>
          </w:p>
        </w:tc>
        <w:tc>
          <w:tcPr>
            <w:tcW w:w="240" w:type="dxa"/>
            <w:vAlign w:val="bottom"/>
            <w:tcBorders>
              <w:bottom w:val="single" w:sz="8" w:color="CFF0FC"/>
            </w:tcBorders>
          </w:tcPr>
          <w:p>
            <w:pPr>
              <w:spacing w:after="0"/>
              <w:rPr>
                <w:sz w:val="19"/>
                <w:szCs w:val="19"/>
                <w:color w:val="auto"/>
              </w:rPr>
            </w:pPr>
          </w:p>
        </w:tc>
        <w:tc>
          <w:tcPr>
            <w:tcW w:w="68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w w:val="93"/>
              </w:rPr>
              <w:t>2,833</w:t>
            </w:r>
          </w:p>
        </w:tc>
        <w:tc>
          <w:tcPr>
            <w:tcW w:w="16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129,579</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300" w:type="dxa"/>
            <w:vAlign w:val="bottom"/>
            <w:shd w:val="clear" w:color="auto" w:fill="CFF0FC"/>
          </w:tcPr>
          <w:p>
            <w:pPr>
              <w:spacing w:after="0"/>
              <w:rPr>
                <w:sz w:val="20"/>
                <w:szCs w:val="20"/>
                <w:color w:val="auto"/>
              </w:rPr>
            </w:pPr>
            <w:r>
              <w:rPr>
                <w:rFonts w:ascii="Arial" w:cs="Arial" w:eastAsia="Arial" w:hAnsi="Arial"/>
                <w:sz w:val="18"/>
                <w:szCs w:val="18"/>
                <w:color w:val="auto"/>
              </w:rPr>
              <w:t>Gross profit</w:t>
            </w:r>
          </w:p>
        </w:tc>
        <w:tc>
          <w:tcPr>
            <w:tcW w:w="15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40,446</w:t>
            </w:r>
          </w:p>
        </w:tc>
        <w:tc>
          <w:tcPr>
            <w:tcW w:w="2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13,601</w:t>
            </w:r>
          </w:p>
        </w:tc>
        <w:tc>
          <w:tcPr>
            <w:tcW w:w="240" w:type="dxa"/>
            <w:vAlign w:val="bottom"/>
            <w:shd w:val="clear" w:color="auto" w:fill="CFF0FC"/>
          </w:tcPr>
          <w:p>
            <w:pPr>
              <w:spacing w:after="0"/>
              <w:rPr>
                <w:sz w:val="19"/>
                <w:szCs w:val="19"/>
                <w:color w:val="auto"/>
              </w:rPr>
            </w:pPr>
          </w:p>
        </w:tc>
        <w:tc>
          <w:tcPr>
            <w:tcW w:w="680" w:type="dxa"/>
            <w:vAlign w:val="bottom"/>
            <w:shd w:val="clear" w:color="auto" w:fill="CFF0FC"/>
          </w:tcPr>
          <w:p>
            <w:pPr>
              <w:spacing w:after="0"/>
              <w:rPr>
                <w:sz w:val="19"/>
                <w:szCs w:val="19"/>
                <w:color w:val="auto"/>
              </w:rPr>
            </w:pPr>
          </w:p>
        </w:tc>
        <w:tc>
          <w:tcPr>
            <w:tcW w:w="4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950</w:t>
            </w: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6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54,997</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30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General and administrative expenses</w:t>
            </w:r>
          </w:p>
        </w:tc>
        <w:tc>
          <w:tcPr>
            <w:tcW w:w="1540" w:type="dxa"/>
            <w:vAlign w:val="bottom"/>
            <w:tcBorders>
              <w:bottom w:val="single" w:sz="8" w:color="CFF0FC"/>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14,603</w:t>
            </w:r>
          </w:p>
        </w:tc>
        <w:tc>
          <w:tcPr>
            <w:tcW w:w="240" w:type="dxa"/>
            <w:vAlign w:val="bottom"/>
            <w:tcBorders>
              <w:bottom w:val="single" w:sz="8" w:color="CFF0FC"/>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6,297</w:t>
            </w:r>
          </w:p>
        </w:tc>
        <w:tc>
          <w:tcPr>
            <w:tcW w:w="240" w:type="dxa"/>
            <w:vAlign w:val="bottom"/>
            <w:tcBorders>
              <w:bottom w:val="single" w:sz="8" w:color="CFF0FC"/>
            </w:tcBorders>
          </w:tcPr>
          <w:p>
            <w:pPr>
              <w:spacing w:after="0"/>
              <w:rPr>
                <w:sz w:val="19"/>
                <w:szCs w:val="19"/>
                <w:color w:val="auto"/>
              </w:rPr>
            </w:pPr>
          </w:p>
        </w:tc>
        <w:tc>
          <w:tcPr>
            <w:tcW w:w="68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883</w:t>
            </w:r>
          </w:p>
        </w:tc>
        <w:tc>
          <w:tcPr>
            <w:tcW w:w="16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21,783</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30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Segment operating income</w:t>
            </w:r>
          </w:p>
        </w:tc>
        <w:tc>
          <w:tcPr>
            <w:tcW w:w="154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25,843</w:t>
            </w:r>
          </w:p>
        </w:tc>
        <w:tc>
          <w:tcPr>
            <w:tcW w:w="240" w:type="dxa"/>
            <w:vAlign w:val="bottom"/>
            <w:tcBorders>
              <w:bottom w:val="single" w:sz="8" w:color="CFF0FC"/>
            </w:tcBorders>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jc w:val="right"/>
              <w:ind w:right="47"/>
              <w:spacing w:after="0"/>
              <w:rPr>
                <w:sz w:val="20"/>
                <w:szCs w:val="20"/>
                <w:color w:val="auto"/>
              </w:rPr>
            </w:pPr>
            <w:r>
              <w:rPr>
                <w:rFonts w:ascii="Arial" w:cs="Arial" w:eastAsia="Arial" w:hAnsi="Arial"/>
                <w:sz w:val="15"/>
                <w:szCs w:val="15"/>
                <w:color w:val="auto"/>
                <w:w w:val="71"/>
              </w:rPr>
              <w:t>$</w:t>
            </w:r>
          </w:p>
        </w:tc>
        <w:tc>
          <w:tcPr>
            <w:tcW w:w="940" w:type="dxa"/>
            <w:vAlign w:val="bottom"/>
            <w:tcBorders>
              <w:bottom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color w:val="auto"/>
              </w:rPr>
              <w:t>7,304</w:t>
            </w:r>
          </w:p>
        </w:tc>
        <w:tc>
          <w:tcPr>
            <w:tcW w:w="240" w:type="dxa"/>
            <w:vAlign w:val="bottom"/>
            <w:tcBorders>
              <w:bottom w:val="single" w:sz="8" w:color="CFF0FC"/>
            </w:tcBorders>
            <w:shd w:val="clear" w:color="auto" w:fill="CFF0FC"/>
          </w:tcPr>
          <w:p>
            <w:pPr>
              <w:spacing w:after="0"/>
              <w:rPr>
                <w:sz w:val="19"/>
                <w:szCs w:val="19"/>
                <w:color w:val="auto"/>
              </w:rPr>
            </w:pPr>
          </w:p>
        </w:tc>
        <w:tc>
          <w:tcPr>
            <w:tcW w:w="680" w:type="dxa"/>
            <w:vAlign w:val="bottom"/>
            <w:tcBorders>
              <w:bottom w:val="single" w:sz="8" w:color="auto"/>
            </w:tcBorders>
            <w:shd w:val="clear" w:color="auto" w:fill="CFF0FC"/>
          </w:tcPr>
          <w:p>
            <w:pPr>
              <w:jc w:val="right"/>
              <w:ind w:right="527"/>
              <w:spacing w:after="0"/>
              <w:rPr>
                <w:sz w:val="20"/>
                <w:szCs w:val="20"/>
                <w:color w:val="auto"/>
              </w:rPr>
            </w:pPr>
            <w:r>
              <w:rPr>
                <w:rFonts w:ascii="Arial" w:cs="Arial" w:eastAsia="Arial" w:hAnsi="Arial"/>
                <w:sz w:val="15"/>
                <w:szCs w:val="15"/>
                <w:color w:val="auto"/>
                <w:w w:val="71"/>
              </w:rPr>
              <w:t>$</w:t>
            </w:r>
          </w:p>
        </w:tc>
        <w:tc>
          <w:tcPr>
            <w:tcW w:w="460" w:type="dxa"/>
            <w:vAlign w:val="bottom"/>
            <w:tcBorders>
              <w:bottom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color w:val="auto"/>
              </w:rPr>
              <w:t>67</w:t>
            </w:r>
          </w:p>
        </w:tc>
        <w:tc>
          <w:tcPr>
            <w:tcW w:w="160" w:type="dxa"/>
            <w:vAlign w:val="bottom"/>
            <w:tcBorders>
              <w:bottom w:val="single" w:sz="8" w:color="CFF0FC"/>
            </w:tcBorders>
            <w:shd w:val="clear" w:color="auto" w:fill="CFF0FC"/>
          </w:tcPr>
          <w:p>
            <w:pPr>
              <w:spacing w:after="0"/>
              <w:rPr>
                <w:sz w:val="19"/>
                <w:szCs w:val="19"/>
                <w:color w:val="auto"/>
              </w:rPr>
            </w:pPr>
          </w:p>
        </w:tc>
        <w:tc>
          <w:tcPr>
            <w:tcW w:w="80" w:type="dxa"/>
            <w:vAlign w:val="bottom"/>
            <w:tcBorders>
              <w:bottom w:val="single" w:sz="8" w:color="CFF0FC"/>
            </w:tcBorders>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33,214</w:t>
            </w:r>
          </w:p>
        </w:tc>
        <w:tc>
          <w:tcPr>
            <w:tcW w:w="10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30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00" w:type="dxa"/>
            <w:vAlign w:val="bottom"/>
            <w:tcBorders>
              <w:bottom w:val="single" w:sz="8" w:color="auto"/>
            </w:tcBorders>
            <w:gridSpan w:val="2"/>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60" w:type="dxa"/>
            <w:vAlign w:val="bottom"/>
            <w:tcBorders>
              <w:bottom w:val="single" w:sz="8" w:color="auto"/>
            </w:tcBorders>
            <w:gridSpan w:val="2"/>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5"/>
        </w:trPr>
        <w:tc>
          <w:tcPr>
            <w:tcW w:w="430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2920" w:type="dxa"/>
            <w:vAlign w:val="bottom"/>
            <w:tcBorders>
              <w:bottom w:val="single" w:sz="8" w:color="auto"/>
            </w:tcBorders>
            <w:gridSpan w:val="9"/>
          </w:tcPr>
          <w:p>
            <w:pPr>
              <w:ind w:left="160"/>
              <w:spacing w:after="0"/>
              <w:rPr>
                <w:sz w:val="20"/>
                <w:szCs w:val="20"/>
                <w:color w:val="auto"/>
              </w:rPr>
            </w:pPr>
            <w:r>
              <w:rPr>
                <w:rFonts w:ascii="Arial" w:cs="Arial" w:eastAsia="Arial" w:hAnsi="Arial"/>
                <w:sz w:val="14"/>
                <w:szCs w:val="14"/>
                <w:b w:val="1"/>
                <w:bCs w:val="1"/>
                <w:color w:val="auto"/>
                <w:w w:val="96"/>
              </w:rPr>
              <w:t>For the Three Months Ended June 30, 2019</w:t>
            </w:r>
          </w:p>
        </w:tc>
        <w:tc>
          <w:tcPr>
            <w:tcW w:w="8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5"/>
        </w:trPr>
        <w:tc>
          <w:tcPr>
            <w:tcW w:w="4300" w:type="dxa"/>
            <w:vAlign w:val="bottom"/>
          </w:tcPr>
          <w:p>
            <w:pPr>
              <w:spacing w:after="0"/>
              <w:rPr>
                <w:sz w:val="13"/>
                <w:szCs w:val="13"/>
                <w:color w:val="auto"/>
              </w:rPr>
            </w:pPr>
          </w:p>
        </w:tc>
        <w:tc>
          <w:tcPr>
            <w:tcW w:w="154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1860" w:type="dxa"/>
            <w:vAlign w:val="bottom"/>
            <w:tcBorders>
              <w:bottom w:val="single" w:sz="8" w:color="auto"/>
            </w:tcBorders>
            <w:gridSpan w:val="4"/>
          </w:tcPr>
          <w:p>
            <w:pPr>
              <w:ind w:left="300"/>
              <w:spacing w:after="0" w:line="155" w:lineRule="exact"/>
              <w:rPr>
                <w:sz w:val="20"/>
                <w:szCs w:val="20"/>
                <w:color w:val="auto"/>
              </w:rPr>
            </w:pPr>
            <w:r>
              <w:rPr>
                <w:rFonts w:ascii="Arial" w:cs="Arial" w:eastAsia="Arial" w:hAnsi="Arial"/>
                <w:sz w:val="14"/>
                <w:szCs w:val="14"/>
                <w:b w:val="1"/>
                <w:bCs w:val="1"/>
                <w:color w:val="auto"/>
                <w:w w:val="93"/>
              </w:rPr>
              <w:t>(Amounts in Thousands)</w:t>
            </w:r>
          </w:p>
        </w:tc>
        <w:tc>
          <w:tcPr>
            <w:tcW w:w="28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94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4300" w:type="dxa"/>
            <w:vAlign w:val="bottom"/>
          </w:tcPr>
          <w:p>
            <w:pPr>
              <w:spacing w:after="0"/>
              <w:rPr>
                <w:sz w:val="13"/>
                <w:szCs w:val="13"/>
                <w:color w:val="auto"/>
              </w:rPr>
            </w:pPr>
          </w:p>
        </w:tc>
        <w:tc>
          <w:tcPr>
            <w:tcW w:w="15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40" w:type="dxa"/>
            <w:vAlign w:val="bottom"/>
          </w:tcPr>
          <w:p>
            <w:pPr>
              <w:jc w:val="right"/>
              <w:ind w:right="53"/>
              <w:spacing w:after="0" w:line="155" w:lineRule="exact"/>
              <w:rPr>
                <w:sz w:val="20"/>
                <w:szCs w:val="20"/>
                <w:color w:val="auto"/>
              </w:rPr>
            </w:pPr>
            <w:r>
              <w:rPr>
                <w:rFonts w:ascii="Arial" w:cs="Arial" w:eastAsia="Arial" w:hAnsi="Arial"/>
                <w:sz w:val="14"/>
                <w:szCs w:val="14"/>
                <w:b w:val="1"/>
                <w:bCs w:val="1"/>
                <w:color w:val="auto"/>
                <w:w w:val="93"/>
              </w:rPr>
              <w:t>Personal Care</w:t>
            </w:r>
          </w:p>
        </w:tc>
        <w:tc>
          <w:tcPr>
            <w:tcW w:w="2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40" w:type="dxa"/>
            <w:vAlign w:val="bottom"/>
            <w:gridSpan w:val="2"/>
          </w:tcPr>
          <w:p>
            <w:pPr>
              <w:jc w:val="right"/>
              <w:ind w:right="259"/>
              <w:spacing w:after="0" w:line="155" w:lineRule="exact"/>
              <w:rPr>
                <w:sz w:val="20"/>
                <w:szCs w:val="20"/>
                <w:color w:val="auto"/>
              </w:rPr>
            </w:pPr>
            <w:r>
              <w:rPr>
                <w:rFonts w:ascii="Arial" w:cs="Arial" w:eastAsia="Arial" w:hAnsi="Arial"/>
                <w:sz w:val="14"/>
                <w:szCs w:val="14"/>
                <w:b w:val="1"/>
                <w:bCs w:val="1"/>
                <w:color w:val="auto"/>
              </w:rPr>
              <w:t>Hospice</w:t>
            </w:r>
          </w:p>
        </w:tc>
        <w:tc>
          <w:tcPr>
            <w:tcW w:w="240" w:type="dxa"/>
            <w:vAlign w:val="bottom"/>
          </w:tcPr>
          <w:p>
            <w:pPr>
              <w:spacing w:after="0"/>
              <w:rPr>
                <w:sz w:val="13"/>
                <w:szCs w:val="13"/>
                <w:color w:val="auto"/>
              </w:rPr>
            </w:pPr>
          </w:p>
        </w:tc>
        <w:tc>
          <w:tcPr>
            <w:tcW w:w="1300" w:type="dxa"/>
            <w:vAlign w:val="bottom"/>
            <w:gridSpan w:val="4"/>
          </w:tcPr>
          <w:p>
            <w:pPr>
              <w:ind w:left="160"/>
              <w:spacing w:after="0" w:line="155" w:lineRule="exact"/>
              <w:rPr>
                <w:sz w:val="20"/>
                <w:szCs w:val="20"/>
                <w:color w:val="auto"/>
              </w:rPr>
            </w:pPr>
            <w:r>
              <w:rPr>
                <w:rFonts w:ascii="Arial" w:cs="Arial" w:eastAsia="Arial" w:hAnsi="Arial"/>
                <w:sz w:val="14"/>
                <w:szCs w:val="14"/>
                <w:b w:val="1"/>
                <w:bCs w:val="1"/>
                <w:color w:val="auto"/>
              </w:rPr>
              <w:t>Home Health</w:t>
            </w: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60" w:type="dxa"/>
            <w:vAlign w:val="bottom"/>
            <w:gridSpan w:val="2"/>
          </w:tcPr>
          <w:p>
            <w:pPr>
              <w:ind w:left="220"/>
              <w:spacing w:after="0" w:line="155" w:lineRule="exact"/>
              <w:rPr>
                <w:sz w:val="20"/>
                <w:szCs w:val="20"/>
                <w:color w:val="auto"/>
              </w:rPr>
            </w:pPr>
            <w:r>
              <w:rPr>
                <w:rFonts w:ascii="Arial" w:cs="Arial" w:eastAsia="Arial" w:hAnsi="Arial"/>
                <w:sz w:val="14"/>
                <w:szCs w:val="14"/>
                <w:b w:val="1"/>
                <w:bCs w:val="1"/>
                <w:color w:val="auto"/>
              </w:rPr>
              <w:t>Total</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43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Net service revenues</w:t>
            </w:r>
          </w:p>
        </w:tc>
        <w:tc>
          <w:tcPr>
            <w:tcW w:w="154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137,477</w:t>
            </w:r>
          </w:p>
        </w:tc>
        <w:tc>
          <w:tcPr>
            <w:tcW w:w="24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jc w:val="right"/>
              <w:ind w:right="47"/>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color w:val="auto"/>
              </w:rPr>
              <w:t>8,437</w:t>
            </w:r>
          </w:p>
        </w:tc>
        <w:tc>
          <w:tcPr>
            <w:tcW w:w="240" w:type="dxa"/>
            <w:vAlign w:val="bottom"/>
            <w:tcBorders>
              <w:top w:val="single" w:sz="8" w:color="CFF0FC"/>
            </w:tcBorders>
            <w:shd w:val="clear" w:color="auto" w:fill="CFF0FC"/>
          </w:tcPr>
          <w:p>
            <w:pPr>
              <w:spacing w:after="0"/>
              <w:rPr>
                <w:sz w:val="19"/>
                <w:szCs w:val="19"/>
                <w:color w:val="auto"/>
              </w:rPr>
            </w:pPr>
          </w:p>
        </w:tc>
        <w:tc>
          <w:tcPr>
            <w:tcW w:w="680" w:type="dxa"/>
            <w:vAlign w:val="bottom"/>
            <w:tcBorders>
              <w:top w:val="single" w:sz="8" w:color="auto"/>
            </w:tcBorders>
            <w:shd w:val="clear" w:color="auto" w:fill="CFF0FC"/>
          </w:tcPr>
          <w:p>
            <w:pPr>
              <w:jc w:val="right"/>
              <w:ind w:right="527"/>
              <w:spacing w:after="0"/>
              <w:rPr>
                <w:sz w:val="20"/>
                <w:szCs w:val="20"/>
                <w:color w:val="auto"/>
              </w:rPr>
            </w:pPr>
            <w:r>
              <w:rPr>
                <w:rFonts w:ascii="Arial" w:cs="Arial" w:eastAsia="Arial" w:hAnsi="Arial"/>
                <w:sz w:val="15"/>
                <w:szCs w:val="15"/>
                <w:color w:val="auto"/>
                <w:w w:val="71"/>
              </w:rPr>
              <w:t>$</w:t>
            </w:r>
          </w:p>
        </w:tc>
        <w:tc>
          <w:tcPr>
            <w:tcW w:w="460" w:type="dxa"/>
            <w:vAlign w:val="bottom"/>
            <w:tcBorders>
              <w:top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color w:val="auto"/>
                <w:w w:val="93"/>
              </w:rPr>
              <w:t>3,001</w:t>
            </w:r>
          </w:p>
        </w:tc>
        <w:tc>
          <w:tcPr>
            <w:tcW w:w="16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tcBorders>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148,915</w:t>
            </w: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30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Cost of services revenues</w:t>
            </w:r>
          </w:p>
        </w:tc>
        <w:tc>
          <w:tcPr>
            <w:tcW w:w="1540" w:type="dxa"/>
            <w:vAlign w:val="bottom"/>
            <w:tcBorders>
              <w:bottom w:val="single" w:sz="8" w:color="CFF0FC"/>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102,829</w:t>
            </w:r>
          </w:p>
        </w:tc>
        <w:tc>
          <w:tcPr>
            <w:tcW w:w="240" w:type="dxa"/>
            <w:vAlign w:val="bottom"/>
            <w:tcBorders>
              <w:bottom w:val="single" w:sz="8" w:color="CFF0FC"/>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4,322</w:t>
            </w:r>
          </w:p>
        </w:tc>
        <w:tc>
          <w:tcPr>
            <w:tcW w:w="240" w:type="dxa"/>
            <w:vAlign w:val="bottom"/>
            <w:tcBorders>
              <w:bottom w:val="single" w:sz="8" w:color="CFF0FC"/>
            </w:tcBorders>
          </w:tcPr>
          <w:p>
            <w:pPr>
              <w:spacing w:after="0"/>
              <w:rPr>
                <w:sz w:val="19"/>
                <w:szCs w:val="19"/>
                <w:color w:val="auto"/>
              </w:rPr>
            </w:pPr>
          </w:p>
        </w:tc>
        <w:tc>
          <w:tcPr>
            <w:tcW w:w="68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w w:val="93"/>
              </w:rPr>
              <w:t>2,071</w:t>
            </w:r>
          </w:p>
        </w:tc>
        <w:tc>
          <w:tcPr>
            <w:tcW w:w="16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109,222</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300" w:type="dxa"/>
            <w:vAlign w:val="bottom"/>
            <w:shd w:val="clear" w:color="auto" w:fill="CFF0FC"/>
          </w:tcPr>
          <w:p>
            <w:pPr>
              <w:spacing w:after="0"/>
              <w:rPr>
                <w:sz w:val="20"/>
                <w:szCs w:val="20"/>
                <w:color w:val="auto"/>
              </w:rPr>
            </w:pPr>
            <w:r>
              <w:rPr>
                <w:rFonts w:ascii="Arial" w:cs="Arial" w:eastAsia="Arial" w:hAnsi="Arial"/>
                <w:sz w:val="18"/>
                <w:szCs w:val="18"/>
                <w:color w:val="auto"/>
              </w:rPr>
              <w:t>Gross profit</w:t>
            </w:r>
          </w:p>
        </w:tc>
        <w:tc>
          <w:tcPr>
            <w:tcW w:w="15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34,648</w:t>
            </w:r>
          </w:p>
        </w:tc>
        <w:tc>
          <w:tcPr>
            <w:tcW w:w="2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4,115</w:t>
            </w:r>
          </w:p>
        </w:tc>
        <w:tc>
          <w:tcPr>
            <w:tcW w:w="240" w:type="dxa"/>
            <w:vAlign w:val="bottom"/>
            <w:shd w:val="clear" w:color="auto" w:fill="CFF0FC"/>
          </w:tcPr>
          <w:p>
            <w:pPr>
              <w:spacing w:after="0"/>
              <w:rPr>
                <w:sz w:val="19"/>
                <w:szCs w:val="19"/>
                <w:color w:val="auto"/>
              </w:rPr>
            </w:pPr>
          </w:p>
        </w:tc>
        <w:tc>
          <w:tcPr>
            <w:tcW w:w="680" w:type="dxa"/>
            <w:vAlign w:val="bottom"/>
            <w:shd w:val="clear" w:color="auto" w:fill="CFF0FC"/>
          </w:tcPr>
          <w:p>
            <w:pPr>
              <w:spacing w:after="0"/>
              <w:rPr>
                <w:sz w:val="19"/>
                <w:szCs w:val="19"/>
                <w:color w:val="auto"/>
              </w:rPr>
            </w:pPr>
          </w:p>
        </w:tc>
        <w:tc>
          <w:tcPr>
            <w:tcW w:w="4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930</w:t>
            </w: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6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39,693</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30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General and administrative expenses</w:t>
            </w:r>
          </w:p>
        </w:tc>
        <w:tc>
          <w:tcPr>
            <w:tcW w:w="1540" w:type="dxa"/>
            <w:vAlign w:val="bottom"/>
            <w:tcBorders>
              <w:bottom w:val="single" w:sz="8" w:color="CFF0FC"/>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12,777</w:t>
            </w:r>
          </w:p>
        </w:tc>
        <w:tc>
          <w:tcPr>
            <w:tcW w:w="240" w:type="dxa"/>
            <w:vAlign w:val="bottom"/>
            <w:tcBorders>
              <w:bottom w:val="single" w:sz="8" w:color="CFF0FC"/>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1,548</w:t>
            </w:r>
          </w:p>
        </w:tc>
        <w:tc>
          <w:tcPr>
            <w:tcW w:w="240" w:type="dxa"/>
            <w:vAlign w:val="bottom"/>
            <w:tcBorders>
              <w:bottom w:val="single" w:sz="8" w:color="CFF0FC"/>
            </w:tcBorders>
          </w:tcPr>
          <w:p>
            <w:pPr>
              <w:spacing w:after="0"/>
              <w:rPr>
                <w:sz w:val="19"/>
                <w:szCs w:val="19"/>
                <w:color w:val="auto"/>
              </w:rPr>
            </w:pPr>
          </w:p>
        </w:tc>
        <w:tc>
          <w:tcPr>
            <w:tcW w:w="68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656</w:t>
            </w:r>
          </w:p>
        </w:tc>
        <w:tc>
          <w:tcPr>
            <w:tcW w:w="16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14,981</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30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Segment operating income</w:t>
            </w:r>
          </w:p>
        </w:tc>
        <w:tc>
          <w:tcPr>
            <w:tcW w:w="154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21,871</w:t>
            </w:r>
          </w:p>
        </w:tc>
        <w:tc>
          <w:tcPr>
            <w:tcW w:w="240" w:type="dxa"/>
            <w:vAlign w:val="bottom"/>
            <w:tcBorders>
              <w:bottom w:val="single" w:sz="8" w:color="CFF0FC"/>
            </w:tcBorders>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jc w:val="right"/>
              <w:ind w:right="47"/>
              <w:spacing w:after="0"/>
              <w:rPr>
                <w:sz w:val="20"/>
                <w:szCs w:val="20"/>
                <w:color w:val="auto"/>
              </w:rPr>
            </w:pPr>
            <w:r>
              <w:rPr>
                <w:rFonts w:ascii="Arial" w:cs="Arial" w:eastAsia="Arial" w:hAnsi="Arial"/>
                <w:sz w:val="15"/>
                <w:szCs w:val="15"/>
                <w:color w:val="auto"/>
                <w:w w:val="71"/>
              </w:rPr>
              <w:t>$</w:t>
            </w:r>
          </w:p>
        </w:tc>
        <w:tc>
          <w:tcPr>
            <w:tcW w:w="940" w:type="dxa"/>
            <w:vAlign w:val="bottom"/>
            <w:tcBorders>
              <w:bottom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color w:val="auto"/>
              </w:rPr>
              <w:t>2,567</w:t>
            </w:r>
          </w:p>
        </w:tc>
        <w:tc>
          <w:tcPr>
            <w:tcW w:w="240" w:type="dxa"/>
            <w:vAlign w:val="bottom"/>
            <w:tcBorders>
              <w:bottom w:val="single" w:sz="8" w:color="CFF0FC"/>
            </w:tcBorders>
            <w:shd w:val="clear" w:color="auto" w:fill="CFF0FC"/>
          </w:tcPr>
          <w:p>
            <w:pPr>
              <w:spacing w:after="0"/>
              <w:rPr>
                <w:sz w:val="19"/>
                <w:szCs w:val="19"/>
                <w:color w:val="auto"/>
              </w:rPr>
            </w:pPr>
          </w:p>
        </w:tc>
        <w:tc>
          <w:tcPr>
            <w:tcW w:w="680" w:type="dxa"/>
            <w:vAlign w:val="bottom"/>
            <w:tcBorders>
              <w:bottom w:val="single" w:sz="8" w:color="auto"/>
            </w:tcBorders>
            <w:shd w:val="clear" w:color="auto" w:fill="CFF0FC"/>
          </w:tcPr>
          <w:p>
            <w:pPr>
              <w:jc w:val="right"/>
              <w:ind w:right="527"/>
              <w:spacing w:after="0"/>
              <w:rPr>
                <w:sz w:val="20"/>
                <w:szCs w:val="20"/>
                <w:color w:val="auto"/>
              </w:rPr>
            </w:pPr>
            <w:r>
              <w:rPr>
                <w:rFonts w:ascii="Arial" w:cs="Arial" w:eastAsia="Arial" w:hAnsi="Arial"/>
                <w:sz w:val="15"/>
                <w:szCs w:val="15"/>
                <w:color w:val="auto"/>
                <w:w w:val="71"/>
              </w:rPr>
              <w:t>$</w:t>
            </w:r>
          </w:p>
        </w:tc>
        <w:tc>
          <w:tcPr>
            <w:tcW w:w="460" w:type="dxa"/>
            <w:vAlign w:val="bottom"/>
            <w:tcBorders>
              <w:bottom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color w:val="auto"/>
              </w:rPr>
              <w:t>274</w:t>
            </w:r>
          </w:p>
        </w:tc>
        <w:tc>
          <w:tcPr>
            <w:tcW w:w="160" w:type="dxa"/>
            <w:vAlign w:val="bottom"/>
            <w:tcBorders>
              <w:bottom w:val="single" w:sz="8" w:color="CFF0FC"/>
            </w:tcBorders>
            <w:shd w:val="clear" w:color="auto" w:fill="CFF0FC"/>
          </w:tcPr>
          <w:p>
            <w:pPr>
              <w:spacing w:after="0"/>
              <w:rPr>
                <w:sz w:val="19"/>
                <w:szCs w:val="19"/>
                <w:color w:val="auto"/>
              </w:rPr>
            </w:pPr>
          </w:p>
        </w:tc>
        <w:tc>
          <w:tcPr>
            <w:tcW w:w="80" w:type="dxa"/>
            <w:vAlign w:val="bottom"/>
            <w:tcBorders>
              <w:bottom w:val="single" w:sz="8" w:color="CFF0FC"/>
            </w:tcBorders>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24,712</w:t>
            </w:r>
          </w:p>
        </w:tc>
        <w:tc>
          <w:tcPr>
            <w:tcW w:w="10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30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60" w:type="dxa"/>
            <w:vAlign w:val="bottom"/>
            <w:tcBorders>
              <w:bottom w:val="single" w:sz="8" w:color="auto"/>
            </w:tcBorders>
            <w:gridSpan w:val="2"/>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1140" w:type="dxa"/>
            <w:vAlign w:val="bottom"/>
            <w:tcBorders>
              <w:bottom w:val="single" w:sz="8" w:color="auto"/>
            </w:tcBorders>
            <w:gridSpan w:val="2"/>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5"/>
        </w:trPr>
        <w:tc>
          <w:tcPr>
            <w:tcW w:w="430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520" w:type="dxa"/>
            <w:vAlign w:val="bottom"/>
            <w:gridSpan w:val="11"/>
          </w:tcPr>
          <w:p>
            <w:pPr>
              <w:ind w:left="520"/>
              <w:spacing w:after="0"/>
              <w:rPr>
                <w:sz w:val="20"/>
                <w:szCs w:val="20"/>
                <w:color w:val="auto"/>
              </w:rPr>
            </w:pPr>
            <w:r>
              <w:rPr>
                <w:rFonts w:ascii="Arial" w:cs="Arial" w:eastAsia="Arial" w:hAnsi="Arial"/>
                <w:sz w:val="14"/>
                <w:szCs w:val="14"/>
                <w:b w:val="1"/>
                <w:bCs w:val="1"/>
                <w:color w:val="auto"/>
              </w:rPr>
              <w:t>For the Three Months Ended June 30,</w:t>
            </w:r>
          </w:p>
        </w:tc>
        <w:tc>
          <w:tcPr>
            <w:tcW w:w="0" w:type="dxa"/>
            <w:vAlign w:val="bottom"/>
          </w:tcPr>
          <w:p>
            <w:pPr>
              <w:spacing w:after="0"/>
              <w:rPr>
                <w:sz w:val="1"/>
                <w:szCs w:val="1"/>
                <w:color w:val="auto"/>
              </w:rPr>
            </w:pPr>
          </w:p>
        </w:tc>
      </w:tr>
      <w:tr>
        <w:trPr>
          <w:trHeight w:val="155"/>
        </w:trPr>
        <w:tc>
          <w:tcPr>
            <w:tcW w:w="4300" w:type="dxa"/>
            <w:vAlign w:val="bottom"/>
          </w:tcPr>
          <w:p>
            <w:pPr>
              <w:spacing w:after="0"/>
              <w:rPr>
                <w:sz w:val="13"/>
                <w:szCs w:val="13"/>
                <w:color w:val="auto"/>
              </w:rPr>
            </w:pPr>
          </w:p>
        </w:tc>
        <w:tc>
          <w:tcPr>
            <w:tcW w:w="15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40" w:type="dxa"/>
            <w:vAlign w:val="bottom"/>
            <w:tcBorders>
              <w:top w:val="single" w:sz="8" w:color="auto"/>
              <w:bottom w:val="single" w:sz="8" w:color="auto"/>
            </w:tcBorders>
          </w:tcPr>
          <w:p>
            <w:pPr>
              <w:spacing w:after="0"/>
              <w:rPr>
                <w:sz w:val="13"/>
                <w:szCs w:val="13"/>
                <w:color w:val="auto"/>
              </w:rPr>
            </w:pPr>
          </w:p>
        </w:tc>
        <w:tc>
          <w:tcPr>
            <w:tcW w:w="920" w:type="dxa"/>
            <w:vAlign w:val="bottom"/>
            <w:tcBorders>
              <w:top w:val="single" w:sz="8" w:color="auto"/>
              <w:bottom w:val="single" w:sz="8" w:color="auto"/>
            </w:tcBorders>
            <w:gridSpan w:val="2"/>
          </w:tcPr>
          <w:p>
            <w:pPr>
              <w:jc w:val="right"/>
              <w:ind w:right="567"/>
              <w:spacing w:after="0" w:line="155" w:lineRule="exact"/>
              <w:rPr>
                <w:sz w:val="20"/>
                <w:szCs w:val="20"/>
                <w:color w:val="auto"/>
              </w:rPr>
            </w:pPr>
            <w:r>
              <w:rPr>
                <w:rFonts w:ascii="Arial" w:cs="Arial" w:eastAsia="Arial" w:hAnsi="Arial"/>
                <w:sz w:val="14"/>
                <w:szCs w:val="14"/>
                <w:b w:val="1"/>
                <w:bCs w:val="1"/>
                <w:color w:val="auto"/>
                <w:w w:val="83"/>
              </w:rPr>
              <w:t>2020</w:t>
            </w:r>
          </w:p>
        </w:tc>
        <w:tc>
          <w:tcPr>
            <w:tcW w:w="280" w:type="dxa"/>
            <w:vAlign w:val="bottom"/>
            <w:tcBorders>
              <w:top w:val="single" w:sz="8" w:color="auto"/>
              <w:bottom w:val="single" w:sz="8" w:color="auto"/>
            </w:tcBorders>
          </w:tcPr>
          <w:p>
            <w:pPr>
              <w:spacing w:after="0"/>
              <w:rPr>
                <w:sz w:val="13"/>
                <w:szCs w:val="13"/>
                <w:color w:val="auto"/>
              </w:rPr>
            </w:pPr>
          </w:p>
        </w:tc>
        <w:tc>
          <w:tcPr>
            <w:tcW w:w="180" w:type="dxa"/>
            <w:vAlign w:val="bottom"/>
            <w:tcBorders>
              <w:top w:val="single" w:sz="8" w:color="auto"/>
              <w:bottom w:val="single" w:sz="8" w:color="auto"/>
            </w:tcBorders>
          </w:tcPr>
          <w:p>
            <w:pPr>
              <w:spacing w:after="0"/>
              <w:rPr>
                <w:sz w:val="13"/>
                <w:szCs w:val="13"/>
                <w:color w:val="auto"/>
              </w:rPr>
            </w:pPr>
          </w:p>
        </w:tc>
        <w:tc>
          <w:tcPr>
            <w:tcW w:w="160" w:type="dxa"/>
            <w:vAlign w:val="bottom"/>
            <w:tcBorders>
              <w:top w:val="single" w:sz="8" w:color="auto"/>
              <w:bottom w:val="single" w:sz="8" w:color="auto"/>
            </w:tcBorders>
          </w:tcPr>
          <w:p>
            <w:pPr>
              <w:spacing w:after="0"/>
              <w:rPr>
                <w:sz w:val="13"/>
                <w:szCs w:val="13"/>
                <w:color w:val="auto"/>
              </w:rPr>
            </w:pPr>
          </w:p>
        </w:tc>
        <w:tc>
          <w:tcPr>
            <w:tcW w:w="80" w:type="dxa"/>
            <w:vAlign w:val="bottom"/>
            <w:tcBorders>
              <w:top w:val="single" w:sz="8" w:color="auto"/>
              <w:bottom w:val="single" w:sz="8" w:color="auto"/>
            </w:tcBorders>
          </w:tcPr>
          <w:p>
            <w:pPr>
              <w:spacing w:after="0"/>
              <w:rPr>
                <w:sz w:val="13"/>
                <w:szCs w:val="13"/>
                <w:color w:val="auto"/>
              </w:rPr>
            </w:pPr>
          </w:p>
        </w:tc>
        <w:tc>
          <w:tcPr>
            <w:tcW w:w="200" w:type="dxa"/>
            <w:vAlign w:val="bottom"/>
            <w:tcBorders>
              <w:top w:val="single" w:sz="8" w:color="auto"/>
              <w:bottom w:val="single" w:sz="8" w:color="auto"/>
            </w:tcBorders>
          </w:tcPr>
          <w:p>
            <w:pPr>
              <w:spacing w:after="0"/>
              <w:rPr>
                <w:sz w:val="13"/>
                <w:szCs w:val="13"/>
                <w:color w:val="auto"/>
              </w:rPr>
            </w:pPr>
          </w:p>
        </w:tc>
        <w:tc>
          <w:tcPr>
            <w:tcW w:w="940" w:type="dxa"/>
            <w:vAlign w:val="bottom"/>
            <w:tcBorders>
              <w:top w:val="single" w:sz="8" w:color="auto"/>
              <w:bottom w:val="single" w:sz="8" w:color="auto"/>
            </w:tcBorders>
          </w:tcPr>
          <w:p>
            <w:pPr>
              <w:jc w:val="right"/>
              <w:ind w:right="553"/>
              <w:spacing w:after="0" w:line="155" w:lineRule="exact"/>
              <w:rPr>
                <w:sz w:val="20"/>
                <w:szCs w:val="20"/>
                <w:color w:val="auto"/>
              </w:rPr>
            </w:pPr>
            <w:r>
              <w:rPr>
                <w:rFonts w:ascii="Arial" w:cs="Arial" w:eastAsia="Arial" w:hAnsi="Arial"/>
                <w:sz w:val="14"/>
                <w:szCs w:val="14"/>
                <w:b w:val="1"/>
                <w:bCs w:val="1"/>
                <w:color w:val="auto"/>
                <w:w w:val="89"/>
              </w:rPr>
              <w:t>2019</w:t>
            </w: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4300" w:type="dxa"/>
            <w:vAlign w:val="bottom"/>
            <w:tcBorders>
              <w:bottom w:val="single" w:sz="8" w:color="CFF0FC"/>
            </w:tcBorders>
          </w:tcPr>
          <w:p>
            <w:pPr>
              <w:spacing w:after="0"/>
              <w:rPr>
                <w:sz w:val="13"/>
                <w:szCs w:val="13"/>
                <w:color w:val="auto"/>
              </w:rPr>
            </w:pPr>
          </w:p>
        </w:tc>
        <w:tc>
          <w:tcPr>
            <w:tcW w:w="1540" w:type="dxa"/>
            <w:vAlign w:val="bottom"/>
            <w:tcBorders>
              <w:bottom w:val="single" w:sz="8" w:color="CFF0FC"/>
            </w:tcBorders>
          </w:tcPr>
          <w:p>
            <w:pPr>
              <w:spacing w:after="0"/>
              <w:rPr>
                <w:sz w:val="13"/>
                <w:szCs w:val="13"/>
                <w:color w:val="auto"/>
              </w:rPr>
            </w:pPr>
          </w:p>
        </w:tc>
        <w:tc>
          <w:tcPr>
            <w:tcW w:w="100" w:type="dxa"/>
            <w:vAlign w:val="bottom"/>
            <w:tcBorders>
              <w:bottom w:val="single" w:sz="8" w:color="CFF0FC"/>
            </w:tcBorders>
          </w:tcPr>
          <w:p>
            <w:pPr>
              <w:spacing w:after="0"/>
              <w:rPr>
                <w:sz w:val="13"/>
                <w:szCs w:val="13"/>
                <w:color w:val="auto"/>
              </w:rPr>
            </w:pPr>
          </w:p>
        </w:tc>
        <w:tc>
          <w:tcPr>
            <w:tcW w:w="1040" w:type="dxa"/>
            <w:vAlign w:val="bottom"/>
            <w:tcBorders>
              <w:bottom w:val="single" w:sz="8" w:color="CFF0FC"/>
            </w:tcBorders>
          </w:tcPr>
          <w:p>
            <w:pPr>
              <w:spacing w:after="0"/>
              <w:rPr>
                <w:sz w:val="13"/>
                <w:szCs w:val="13"/>
                <w:color w:val="auto"/>
              </w:rPr>
            </w:pPr>
          </w:p>
        </w:tc>
        <w:tc>
          <w:tcPr>
            <w:tcW w:w="240" w:type="dxa"/>
            <w:vAlign w:val="bottom"/>
            <w:tcBorders>
              <w:bottom w:val="single" w:sz="8" w:color="CFF0FC"/>
            </w:tcBorders>
          </w:tcPr>
          <w:p>
            <w:pPr>
              <w:spacing w:after="0"/>
              <w:rPr>
                <w:sz w:val="13"/>
                <w:szCs w:val="13"/>
                <w:color w:val="auto"/>
              </w:rPr>
            </w:pPr>
          </w:p>
        </w:tc>
        <w:tc>
          <w:tcPr>
            <w:tcW w:w="200" w:type="dxa"/>
            <w:vAlign w:val="bottom"/>
            <w:tcBorders>
              <w:bottom w:val="single" w:sz="8" w:color="CFF0FC"/>
            </w:tcBorders>
          </w:tcPr>
          <w:p>
            <w:pPr>
              <w:spacing w:after="0"/>
              <w:rPr>
                <w:sz w:val="13"/>
                <w:szCs w:val="13"/>
                <w:color w:val="auto"/>
              </w:rPr>
            </w:pPr>
          </w:p>
        </w:tc>
        <w:tc>
          <w:tcPr>
            <w:tcW w:w="300" w:type="dxa"/>
            <w:vAlign w:val="bottom"/>
            <w:tcBorders>
              <w:bottom w:val="single" w:sz="8" w:color="CFF0FC"/>
            </w:tcBorders>
          </w:tcPr>
          <w:p>
            <w:pPr>
              <w:spacing w:after="0"/>
              <w:rPr>
                <w:sz w:val="13"/>
                <w:szCs w:val="13"/>
                <w:color w:val="auto"/>
              </w:rPr>
            </w:pPr>
          </w:p>
        </w:tc>
        <w:tc>
          <w:tcPr>
            <w:tcW w:w="640" w:type="dxa"/>
            <w:vAlign w:val="bottom"/>
            <w:tcBorders>
              <w:bottom w:val="single" w:sz="8" w:color="auto"/>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1580" w:type="dxa"/>
            <w:vAlign w:val="bottom"/>
            <w:tcBorders>
              <w:bottom w:val="single" w:sz="8" w:color="auto"/>
            </w:tcBorders>
            <w:gridSpan w:val="6"/>
          </w:tcPr>
          <w:p>
            <w:pPr>
              <w:jc w:val="right"/>
              <w:spacing w:after="0" w:line="155" w:lineRule="exact"/>
              <w:rPr>
                <w:sz w:val="20"/>
                <w:szCs w:val="20"/>
                <w:color w:val="auto"/>
              </w:rPr>
            </w:pPr>
            <w:r>
              <w:rPr>
                <w:rFonts w:ascii="Arial" w:cs="Arial" w:eastAsia="Arial" w:hAnsi="Arial"/>
                <w:sz w:val="14"/>
                <w:szCs w:val="14"/>
                <w:b w:val="1"/>
                <w:bCs w:val="1"/>
                <w:color w:val="auto"/>
                <w:w w:val="94"/>
              </w:rPr>
              <w:t>(Amounts in Thousands)</w:t>
            </w:r>
          </w:p>
        </w:tc>
        <w:tc>
          <w:tcPr>
            <w:tcW w:w="940" w:type="dxa"/>
            <w:vAlign w:val="bottom"/>
            <w:tcBorders>
              <w:bottom w:val="single" w:sz="8" w:color="auto"/>
            </w:tcBorders>
          </w:tcPr>
          <w:p>
            <w:pPr>
              <w:spacing w:after="0"/>
              <w:rPr>
                <w:sz w:val="13"/>
                <w:szCs w:val="13"/>
                <w:color w:val="auto"/>
              </w:rPr>
            </w:pPr>
          </w:p>
        </w:tc>
        <w:tc>
          <w:tcPr>
            <w:tcW w:w="20" w:type="dxa"/>
            <w:vAlign w:val="bottom"/>
            <w:tcBorders>
              <w:bottom w:val="single" w:sz="8" w:color="CFF0FC"/>
            </w:tcBorders>
          </w:tcPr>
          <w:p>
            <w:pPr>
              <w:spacing w:after="0"/>
              <w:rPr>
                <w:sz w:val="13"/>
                <w:szCs w:val="13"/>
                <w:color w:val="auto"/>
              </w:rPr>
            </w:pPr>
          </w:p>
        </w:tc>
        <w:tc>
          <w:tcPr>
            <w:tcW w:w="10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4300" w:type="dxa"/>
            <w:vAlign w:val="bottom"/>
            <w:shd w:val="clear" w:color="auto" w:fill="CFF0FC"/>
          </w:tcPr>
          <w:p>
            <w:pPr>
              <w:spacing w:after="0"/>
              <w:rPr>
                <w:sz w:val="20"/>
                <w:szCs w:val="20"/>
                <w:color w:val="auto"/>
              </w:rPr>
            </w:pPr>
            <w:r>
              <w:rPr>
                <w:rFonts w:ascii="Arial" w:cs="Arial" w:eastAsia="Arial" w:hAnsi="Arial"/>
                <w:sz w:val="18"/>
                <w:szCs w:val="18"/>
                <w:color w:val="auto"/>
              </w:rPr>
              <w:t>Segment reconciliation:</w:t>
            </w:r>
          </w:p>
        </w:tc>
        <w:tc>
          <w:tcPr>
            <w:tcW w:w="15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6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6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300" w:type="dxa"/>
            <w:vAlign w:val="bottom"/>
          </w:tcPr>
          <w:p>
            <w:pPr>
              <w:spacing w:after="0"/>
              <w:rPr>
                <w:sz w:val="20"/>
                <w:szCs w:val="20"/>
                <w:color w:val="auto"/>
              </w:rPr>
            </w:pPr>
            <w:r>
              <w:rPr>
                <w:rFonts w:ascii="Arial" w:cs="Arial" w:eastAsia="Arial" w:hAnsi="Arial"/>
                <w:sz w:val="18"/>
                <w:szCs w:val="18"/>
                <w:color w:val="auto"/>
              </w:rPr>
              <w:t>Total segment operating income</w:t>
            </w:r>
          </w:p>
        </w:tc>
        <w:tc>
          <w:tcPr>
            <w:tcW w:w="1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33,214</w:t>
            </w:r>
          </w:p>
        </w:tc>
        <w:tc>
          <w:tcPr>
            <w:tcW w:w="4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24,712</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300" w:type="dxa"/>
            <w:vAlign w:val="bottom"/>
            <w:shd w:val="clear" w:color="auto" w:fill="CFF0FC"/>
          </w:tcPr>
          <w:p>
            <w:pPr>
              <w:spacing w:after="0"/>
              <w:rPr>
                <w:sz w:val="19"/>
                <w:szCs w:val="19"/>
                <w:color w:val="auto"/>
              </w:rPr>
            </w:pPr>
          </w:p>
        </w:tc>
        <w:tc>
          <w:tcPr>
            <w:tcW w:w="15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6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6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300" w:type="dxa"/>
            <w:vAlign w:val="bottom"/>
          </w:tcPr>
          <w:p>
            <w:pPr>
              <w:spacing w:after="0"/>
              <w:rPr>
                <w:sz w:val="20"/>
                <w:szCs w:val="20"/>
                <w:color w:val="auto"/>
              </w:rPr>
            </w:pPr>
            <w:r>
              <w:rPr>
                <w:rFonts w:ascii="Arial" w:cs="Arial" w:eastAsia="Arial" w:hAnsi="Arial"/>
                <w:sz w:val="18"/>
                <w:szCs w:val="18"/>
                <w:color w:val="auto"/>
              </w:rPr>
              <w:t>Items not allocated at segment level:</w:t>
            </w:r>
          </w:p>
        </w:tc>
        <w:tc>
          <w:tcPr>
            <w:tcW w:w="1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300" w:type="dxa"/>
            <w:vAlign w:val="bottom"/>
            <w:shd w:val="clear" w:color="auto" w:fill="CFF0FC"/>
          </w:tcPr>
          <w:p>
            <w:pPr>
              <w:spacing w:after="0"/>
              <w:rPr>
                <w:sz w:val="20"/>
                <w:szCs w:val="20"/>
                <w:color w:val="auto"/>
              </w:rPr>
            </w:pPr>
            <w:r>
              <w:rPr>
                <w:rFonts w:ascii="Arial" w:cs="Arial" w:eastAsia="Arial" w:hAnsi="Arial"/>
                <w:sz w:val="18"/>
                <w:szCs w:val="18"/>
                <w:color w:val="auto"/>
              </w:rPr>
              <w:t>Other general and administrative expenses</w:t>
            </w:r>
          </w:p>
        </w:tc>
        <w:tc>
          <w:tcPr>
            <w:tcW w:w="15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640" w:type="dxa"/>
            <w:vAlign w:val="bottom"/>
            <w:shd w:val="clear" w:color="auto" w:fill="CFF0FC"/>
          </w:tcPr>
          <w:p>
            <w:pPr>
              <w:spacing w:after="0"/>
              <w:rPr>
                <w:sz w:val="19"/>
                <w:szCs w:val="19"/>
                <w:color w:val="auto"/>
              </w:rPr>
            </w:pPr>
          </w:p>
        </w:tc>
        <w:tc>
          <w:tcPr>
            <w:tcW w:w="9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20,667</w:t>
            </w:r>
          </w:p>
        </w:tc>
        <w:tc>
          <w:tcPr>
            <w:tcW w:w="2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14,786</w:t>
            </w: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300" w:type="dxa"/>
            <w:vAlign w:val="bottom"/>
          </w:tcPr>
          <w:p>
            <w:pPr>
              <w:spacing w:after="0"/>
              <w:rPr>
                <w:sz w:val="20"/>
                <w:szCs w:val="20"/>
                <w:color w:val="auto"/>
              </w:rPr>
            </w:pPr>
            <w:r>
              <w:rPr>
                <w:rFonts w:ascii="Arial" w:cs="Arial" w:eastAsia="Arial" w:hAnsi="Arial"/>
                <w:sz w:val="18"/>
                <w:szCs w:val="18"/>
                <w:color w:val="auto"/>
              </w:rPr>
              <w:t>Depreciation and amortization</w:t>
            </w:r>
          </w:p>
        </w:tc>
        <w:tc>
          <w:tcPr>
            <w:tcW w:w="1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2,940</w:t>
            </w:r>
          </w:p>
        </w:tc>
        <w:tc>
          <w:tcPr>
            <w:tcW w:w="2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2,535</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300" w:type="dxa"/>
            <w:vAlign w:val="bottom"/>
            <w:shd w:val="clear" w:color="auto" w:fill="CFF0FC"/>
          </w:tcPr>
          <w:p>
            <w:pPr>
              <w:spacing w:after="0"/>
              <w:rPr>
                <w:sz w:val="20"/>
                <w:szCs w:val="20"/>
                <w:color w:val="auto"/>
              </w:rPr>
            </w:pPr>
            <w:r>
              <w:rPr>
                <w:rFonts w:ascii="Arial" w:cs="Arial" w:eastAsia="Arial" w:hAnsi="Arial"/>
                <w:sz w:val="18"/>
                <w:szCs w:val="18"/>
                <w:color w:val="auto"/>
              </w:rPr>
              <w:t>Interest income</w:t>
            </w:r>
          </w:p>
        </w:tc>
        <w:tc>
          <w:tcPr>
            <w:tcW w:w="15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640" w:type="dxa"/>
            <w:vAlign w:val="bottom"/>
            <w:shd w:val="clear" w:color="auto" w:fill="CFF0FC"/>
          </w:tcPr>
          <w:p>
            <w:pPr>
              <w:spacing w:after="0"/>
              <w:rPr>
                <w:sz w:val="19"/>
                <w:szCs w:val="19"/>
                <w:color w:val="auto"/>
              </w:rPr>
            </w:pPr>
          </w:p>
        </w:tc>
        <w:tc>
          <w:tcPr>
            <w:tcW w:w="1200" w:type="dxa"/>
            <w:vAlign w:val="bottom"/>
            <w:gridSpan w:val="3"/>
            <w:shd w:val="clear" w:color="auto" w:fill="CFF0FC"/>
          </w:tcPr>
          <w:p>
            <w:pPr>
              <w:jc w:val="right"/>
              <w:ind w:right="130"/>
              <w:spacing w:after="0"/>
              <w:rPr>
                <w:sz w:val="20"/>
                <w:szCs w:val="20"/>
                <w:color w:val="auto"/>
              </w:rPr>
            </w:pPr>
            <w:r>
              <w:rPr>
                <w:rFonts w:ascii="Arial" w:cs="Arial" w:eastAsia="Arial" w:hAnsi="Arial"/>
                <w:sz w:val="18"/>
                <w:szCs w:val="18"/>
                <w:color w:val="auto"/>
              </w:rPr>
              <w:t>(155)</w:t>
            </w:r>
          </w:p>
        </w:tc>
        <w:tc>
          <w:tcPr>
            <w:tcW w:w="1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060" w:type="dxa"/>
            <w:vAlign w:val="bottom"/>
            <w:gridSpan w:val="3"/>
            <w:shd w:val="clear" w:color="auto" w:fill="CFF0FC"/>
          </w:tcPr>
          <w:p>
            <w:pPr>
              <w:jc w:val="right"/>
              <w:ind w:right="60"/>
              <w:spacing w:after="0"/>
              <w:rPr>
                <w:sz w:val="20"/>
                <w:szCs w:val="20"/>
                <w:color w:val="auto"/>
              </w:rPr>
            </w:pPr>
            <w:r>
              <w:rPr>
                <w:rFonts w:ascii="Arial" w:cs="Arial" w:eastAsia="Arial" w:hAnsi="Arial"/>
                <w:sz w:val="18"/>
                <w:szCs w:val="18"/>
                <w:color w:val="auto"/>
              </w:rPr>
              <w:t>(95)</w:t>
            </w:r>
          </w:p>
        </w:tc>
        <w:tc>
          <w:tcPr>
            <w:tcW w:w="0" w:type="dxa"/>
            <w:vAlign w:val="bottom"/>
          </w:tcPr>
          <w:p>
            <w:pPr>
              <w:spacing w:after="0"/>
              <w:rPr>
                <w:sz w:val="1"/>
                <w:szCs w:val="1"/>
                <w:color w:val="auto"/>
              </w:rPr>
            </w:pPr>
          </w:p>
        </w:tc>
      </w:tr>
      <w:tr>
        <w:trPr>
          <w:trHeight w:val="230"/>
        </w:trPr>
        <w:tc>
          <w:tcPr>
            <w:tcW w:w="430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Interest expense</w:t>
            </w:r>
          </w:p>
        </w:tc>
        <w:tc>
          <w:tcPr>
            <w:tcW w:w="154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1040" w:type="dxa"/>
            <w:vAlign w:val="bottom"/>
            <w:tcBorders>
              <w:bottom w:val="single" w:sz="8" w:color="CFF0FC"/>
            </w:tcBorders>
          </w:tcPr>
          <w:p>
            <w:pPr>
              <w:spacing w:after="0"/>
              <w:rPr>
                <w:sz w:val="19"/>
                <w:szCs w:val="19"/>
                <w:color w:val="auto"/>
              </w:rPr>
            </w:pPr>
          </w:p>
        </w:tc>
        <w:tc>
          <w:tcPr>
            <w:tcW w:w="240" w:type="dxa"/>
            <w:vAlign w:val="bottom"/>
            <w:tcBorders>
              <w:bottom w:val="single" w:sz="8" w:color="CFF0FC"/>
            </w:tcBorders>
          </w:tcPr>
          <w:p>
            <w:pPr>
              <w:spacing w:after="0"/>
              <w:rPr>
                <w:sz w:val="19"/>
                <w:szCs w:val="19"/>
                <w:color w:val="auto"/>
              </w:rPr>
            </w:pPr>
          </w:p>
        </w:tc>
        <w:tc>
          <w:tcPr>
            <w:tcW w:w="200" w:type="dxa"/>
            <w:vAlign w:val="bottom"/>
            <w:tcBorders>
              <w:bottom w:val="single" w:sz="8" w:color="CFF0FC"/>
            </w:tcBorders>
          </w:tcPr>
          <w:p>
            <w:pPr>
              <w:spacing w:after="0"/>
              <w:rPr>
                <w:sz w:val="19"/>
                <w:szCs w:val="19"/>
                <w:color w:val="auto"/>
              </w:rPr>
            </w:pPr>
          </w:p>
        </w:tc>
        <w:tc>
          <w:tcPr>
            <w:tcW w:w="300" w:type="dxa"/>
            <w:vAlign w:val="bottom"/>
            <w:tcBorders>
              <w:bottom w:val="single" w:sz="8" w:color="CFF0FC"/>
            </w:tcBorders>
          </w:tcPr>
          <w:p>
            <w:pPr>
              <w:spacing w:after="0"/>
              <w:rPr>
                <w:sz w:val="19"/>
                <w:szCs w:val="19"/>
                <w:color w:val="auto"/>
              </w:rPr>
            </w:pPr>
          </w:p>
        </w:tc>
        <w:tc>
          <w:tcPr>
            <w:tcW w:w="6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721</w:t>
            </w:r>
          </w:p>
        </w:tc>
        <w:tc>
          <w:tcPr>
            <w:tcW w:w="28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680</w:t>
            </w:r>
          </w:p>
        </w:tc>
        <w:tc>
          <w:tcPr>
            <w:tcW w:w="2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30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Income before income taxes</w:t>
            </w:r>
          </w:p>
        </w:tc>
        <w:tc>
          <w:tcPr>
            <w:tcW w:w="154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CFF0FC"/>
            </w:tcBorders>
            <w:shd w:val="clear" w:color="auto" w:fill="CFF0FC"/>
          </w:tcPr>
          <w:p>
            <w:pPr>
              <w:spacing w:after="0"/>
              <w:rPr>
                <w:sz w:val="19"/>
                <w:szCs w:val="19"/>
                <w:color w:val="auto"/>
              </w:rPr>
            </w:pPr>
          </w:p>
        </w:tc>
        <w:tc>
          <w:tcPr>
            <w:tcW w:w="1040" w:type="dxa"/>
            <w:vAlign w:val="bottom"/>
            <w:tcBorders>
              <w:bottom w:val="single" w:sz="8" w:color="CFF0FC"/>
            </w:tcBorders>
            <w:shd w:val="clear" w:color="auto" w:fill="CFF0FC"/>
          </w:tcPr>
          <w:p>
            <w:pPr>
              <w:spacing w:after="0"/>
              <w:rPr>
                <w:sz w:val="19"/>
                <w:szCs w:val="19"/>
                <w:color w:val="auto"/>
              </w:rPr>
            </w:pPr>
          </w:p>
        </w:tc>
        <w:tc>
          <w:tcPr>
            <w:tcW w:w="240" w:type="dxa"/>
            <w:vAlign w:val="bottom"/>
            <w:tcBorders>
              <w:bottom w:val="single" w:sz="8" w:color="CFF0FC"/>
            </w:tcBorders>
            <w:shd w:val="clear" w:color="auto" w:fill="CFF0FC"/>
          </w:tcPr>
          <w:p>
            <w:pPr>
              <w:spacing w:after="0"/>
              <w:rPr>
                <w:sz w:val="19"/>
                <w:szCs w:val="19"/>
                <w:color w:val="auto"/>
              </w:rPr>
            </w:pPr>
          </w:p>
        </w:tc>
        <w:tc>
          <w:tcPr>
            <w:tcW w:w="200" w:type="dxa"/>
            <w:vAlign w:val="bottom"/>
            <w:tcBorders>
              <w:bottom w:val="single" w:sz="8" w:color="CFF0FC"/>
            </w:tcBorders>
            <w:shd w:val="clear" w:color="auto" w:fill="CFF0FC"/>
          </w:tcPr>
          <w:p>
            <w:pPr>
              <w:spacing w:after="0"/>
              <w:rPr>
                <w:sz w:val="19"/>
                <w:szCs w:val="19"/>
                <w:color w:val="auto"/>
              </w:rPr>
            </w:pPr>
          </w:p>
        </w:tc>
        <w:tc>
          <w:tcPr>
            <w:tcW w:w="300" w:type="dxa"/>
            <w:vAlign w:val="bottom"/>
            <w:tcBorders>
              <w:bottom w:val="single" w:sz="8" w:color="CFF0FC"/>
            </w:tcBorders>
            <w:shd w:val="clear" w:color="auto" w:fill="CFF0FC"/>
          </w:tcPr>
          <w:p>
            <w:pPr>
              <w:spacing w:after="0"/>
              <w:rPr>
                <w:sz w:val="19"/>
                <w:szCs w:val="19"/>
                <w:color w:val="auto"/>
              </w:rPr>
            </w:pPr>
          </w:p>
        </w:tc>
        <w:tc>
          <w:tcPr>
            <w:tcW w:w="640" w:type="dxa"/>
            <w:vAlign w:val="bottom"/>
            <w:tcBorders>
              <w:bottom w:val="single" w:sz="8" w:color="auto"/>
            </w:tcBorders>
            <w:shd w:val="clear" w:color="auto" w:fill="CFF0FC"/>
          </w:tcPr>
          <w:p>
            <w:pPr>
              <w:ind w:left="20"/>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color w:val="auto"/>
              </w:rPr>
              <w:t>9,041</w:t>
            </w:r>
          </w:p>
        </w:tc>
        <w:tc>
          <w:tcPr>
            <w:tcW w:w="280" w:type="dxa"/>
            <w:vAlign w:val="bottom"/>
            <w:tcBorders>
              <w:bottom w:val="single" w:sz="8" w:color="CFF0FC"/>
            </w:tcBorders>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60" w:type="dxa"/>
            <w:vAlign w:val="bottom"/>
            <w:tcBorders>
              <w:bottom w:val="single" w:sz="8" w:color="auto"/>
            </w:tcBorders>
            <w:shd w:val="clear" w:color="auto" w:fill="CFF0FC"/>
          </w:tcPr>
          <w:p>
            <w:pPr>
              <w:spacing w:after="0"/>
              <w:rPr>
                <w:sz w:val="19"/>
                <w:szCs w:val="19"/>
                <w:color w:val="auto"/>
              </w:rPr>
            </w:pPr>
          </w:p>
        </w:tc>
        <w:tc>
          <w:tcPr>
            <w:tcW w:w="80" w:type="dxa"/>
            <w:vAlign w:val="bottom"/>
            <w:tcBorders>
              <w:bottom w:val="single" w:sz="8" w:color="auto"/>
            </w:tcBorders>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6,806</w:t>
            </w:r>
          </w:p>
        </w:tc>
        <w:tc>
          <w:tcPr>
            <w:tcW w:w="2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300" w:type="dxa"/>
            <w:vAlign w:val="bottom"/>
          </w:tcPr>
          <w:p>
            <w:pPr>
              <w:spacing w:after="0" w:line="20" w:lineRule="exact"/>
              <w:rPr>
                <w:sz w:val="1"/>
                <w:szCs w:val="1"/>
                <w:color w:val="auto"/>
              </w:rPr>
            </w:pPr>
          </w:p>
        </w:tc>
        <w:tc>
          <w:tcPr>
            <w:tcW w:w="1540" w:type="dxa"/>
            <w:vAlign w:val="bottom"/>
            <w:vMerge w:val="restart"/>
          </w:tcPr>
          <w:p>
            <w:pPr>
              <w:jc w:val="right"/>
              <w:ind w:right="59"/>
              <w:spacing w:after="0"/>
              <w:rPr>
                <w:sz w:val="20"/>
                <w:szCs w:val="20"/>
                <w:color w:val="auto"/>
              </w:rPr>
            </w:pPr>
            <w:r>
              <w:rPr>
                <w:rFonts w:ascii="Arial" w:cs="Arial" w:eastAsia="Arial" w:hAnsi="Arial"/>
                <w:sz w:val="16"/>
                <w:szCs w:val="16"/>
                <w:color w:val="auto"/>
              </w:rPr>
              <w:t>17</w:t>
            </w:r>
          </w:p>
        </w:tc>
        <w:tc>
          <w:tcPr>
            <w:tcW w:w="1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74"/>
        </w:trPr>
        <w:tc>
          <w:tcPr>
            <w:tcW w:w="4300" w:type="dxa"/>
            <w:vAlign w:val="bottom"/>
          </w:tcPr>
          <w:p>
            <w:pPr>
              <w:spacing w:after="0"/>
              <w:rPr>
                <w:sz w:val="24"/>
                <w:szCs w:val="24"/>
                <w:color w:val="auto"/>
              </w:rPr>
            </w:pPr>
          </w:p>
        </w:tc>
        <w:tc>
          <w:tcPr>
            <w:tcW w:w="154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7"/>
        </w:trPr>
        <w:tc>
          <w:tcPr>
            <w:tcW w:w="4300" w:type="dxa"/>
            <w:vAlign w:val="bottom"/>
            <w:tcBorders>
              <w:bottom w:val="single" w:sz="8" w:color="9A9A9A"/>
            </w:tcBorders>
          </w:tcPr>
          <w:p>
            <w:pPr>
              <w:spacing w:after="0"/>
              <w:rPr>
                <w:sz w:val="24"/>
                <w:szCs w:val="24"/>
                <w:color w:val="auto"/>
              </w:rPr>
            </w:pPr>
          </w:p>
        </w:tc>
        <w:tc>
          <w:tcPr>
            <w:tcW w:w="154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04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64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68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9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-8255</wp:posOffset>
            </wp:positionV>
            <wp:extent cx="8255"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96"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8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2520" w:type="dxa"/>
            <w:vAlign w:val="bottom"/>
            <w:tcBorders>
              <w:bottom w:val="single" w:sz="8" w:color="auto"/>
            </w:tcBorders>
            <w:gridSpan w:val="7"/>
          </w:tcPr>
          <w:p>
            <w:pPr>
              <w:ind w:left="20"/>
              <w:spacing w:after="0"/>
              <w:rPr>
                <w:sz w:val="20"/>
                <w:szCs w:val="20"/>
                <w:color w:val="auto"/>
              </w:rPr>
            </w:pPr>
            <w:r>
              <w:rPr>
                <w:rFonts w:ascii="Arial" w:cs="Arial" w:eastAsia="Arial" w:hAnsi="Arial"/>
                <w:sz w:val="14"/>
                <w:szCs w:val="14"/>
                <w:b w:val="1"/>
                <w:bCs w:val="1"/>
                <w:color w:val="auto"/>
                <w:w w:val="92"/>
              </w:rPr>
              <w:t>For the Six Months Ended June 30, 2020</w:t>
            </w:r>
          </w:p>
        </w:tc>
        <w:tc>
          <w:tcPr>
            <w:tcW w:w="24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55"/>
        </w:trPr>
        <w:tc>
          <w:tcPr>
            <w:tcW w:w="584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1860" w:type="dxa"/>
            <w:vAlign w:val="bottom"/>
            <w:tcBorders>
              <w:bottom w:val="single" w:sz="8" w:color="auto"/>
            </w:tcBorders>
            <w:gridSpan w:val="4"/>
          </w:tcPr>
          <w:p>
            <w:pPr>
              <w:ind w:left="300"/>
              <w:spacing w:after="0" w:line="155" w:lineRule="exact"/>
              <w:rPr>
                <w:sz w:val="20"/>
                <w:szCs w:val="20"/>
                <w:color w:val="auto"/>
              </w:rPr>
            </w:pPr>
            <w:r>
              <w:rPr>
                <w:rFonts w:ascii="Arial" w:cs="Arial" w:eastAsia="Arial" w:hAnsi="Arial"/>
                <w:sz w:val="14"/>
                <w:szCs w:val="14"/>
                <w:b w:val="1"/>
                <w:bCs w:val="1"/>
                <w:color w:val="auto"/>
                <w:w w:val="93"/>
              </w:rPr>
              <w:t>(Amounts in Thousands)</w:t>
            </w:r>
          </w:p>
        </w:tc>
        <w:tc>
          <w:tcPr>
            <w:tcW w:w="28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94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r>
      <w:tr>
        <w:trPr>
          <w:trHeight w:val="156"/>
        </w:trPr>
        <w:tc>
          <w:tcPr>
            <w:tcW w:w="58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80" w:type="dxa"/>
            <w:vAlign w:val="bottom"/>
            <w:gridSpan w:val="2"/>
          </w:tcPr>
          <w:p>
            <w:pPr>
              <w:ind w:left="20"/>
              <w:spacing w:after="0" w:line="155" w:lineRule="exact"/>
              <w:rPr>
                <w:sz w:val="20"/>
                <w:szCs w:val="20"/>
                <w:color w:val="auto"/>
              </w:rPr>
            </w:pPr>
            <w:r>
              <w:rPr>
                <w:rFonts w:ascii="Arial" w:cs="Arial" w:eastAsia="Arial" w:hAnsi="Arial"/>
                <w:sz w:val="14"/>
                <w:szCs w:val="14"/>
                <w:b w:val="1"/>
                <w:bCs w:val="1"/>
                <w:color w:val="auto"/>
              </w:rPr>
              <w:t>Personal Care</w:t>
            </w:r>
          </w:p>
        </w:tc>
        <w:tc>
          <w:tcPr>
            <w:tcW w:w="200" w:type="dxa"/>
            <w:vAlign w:val="bottom"/>
          </w:tcPr>
          <w:p>
            <w:pPr>
              <w:spacing w:after="0"/>
              <w:rPr>
                <w:sz w:val="13"/>
                <w:szCs w:val="13"/>
                <w:color w:val="auto"/>
              </w:rPr>
            </w:pPr>
          </w:p>
        </w:tc>
        <w:tc>
          <w:tcPr>
            <w:tcW w:w="940" w:type="dxa"/>
            <w:vAlign w:val="bottom"/>
            <w:gridSpan w:val="2"/>
          </w:tcPr>
          <w:p>
            <w:pPr>
              <w:jc w:val="right"/>
              <w:ind w:right="259"/>
              <w:spacing w:after="0" w:line="155" w:lineRule="exact"/>
              <w:rPr>
                <w:sz w:val="20"/>
                <w:szCs w:val="20"/>
                <w:color w:val="auto"/>
              </w:rPr>
            </w:pPr>
            <w:r>
              <w:rPr>
                <w:rFonts w:ascii="Arial" w:cs="Arial" w:eastAsia="Arial" w:hAnsi="Arial"/>
                <w:sz w:val="14"/>
                <w:szCs w:val="14"/>
                <w:b w:val="1"/>
                <w:bCs w:val="1"/>
                <w:color w:val="auto"/>
              </w:rPr>
              <w:t>Hospice</w:t>
            </w:r>
          </w:p>
        </w:tc>
        <w:tc>
          <w:tcPr>
            <w:tcW w:w="240" w:type="dxa"/>
            <w:vAlign w:val="bottom"/>
          </w:tcPr>
          <w:p>
            <w:pPr>
              <w:spacing w:after="0"/>
              <w:rPr>
                <w:sz w:val="13"/>
                <w:szCs w:val="13"/>
                <w:color w:val="auto"/>
              </w:rPr>
            </w:pPr>
          </w:p>
        </w:tc>
        <w:tc>
          <w:tcPr>
            <w:tcW w:w="1140" w:type="dxa"/>
            <w:vAlign w:val="bottom"/>
            <w:gridSpan w:val="3"/>
          </w:tcPr>
          <w:p>
            <w:pPr>
              <w:jc w:val="right"/>
              <w:ind w:right="70"/>
              <w:spacing w:after="0" w:line="155" w:lineRule="exact"/>
              <w:rPr>
                <w:sz w:val="20"/>
                <w:szCs w:val="20"/>
                <w:color w:val="auto"/>
              </w:rPr>
            </w:pPr>
            <w:r>
              <w:rPr>
                <w:rFonts w:ascii="Arial" w:cs="Arial" w:eastAsia="Arial" w:hAnsi="Arial"/>
                <w:sz w:val="14"/>
                <w:szCs w:val="14"/>
                <w:b w:val="1"/>
                <w:bCs w:val="1"/>
                <w:color w:val="auto"/>
              </w:rPr>
              <w:t>Home Health</w:t>
            </w:r>
          </w:p>
        </w:tc>
        <w:tc>
          <w:tcPr>
            <w:tcW w:w="2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60" w:type="dxa"/>
            <w:vAlign w:val="bottom"/>
            <w:gridSpan w:val="2"/>
          </w:tcPr>
          <w:p>
            <w:pPr>
              <w:ind w:left="220"/>
              <w:spacing w:after="0" w:line="155" w:lineRule="exact"/>
              <w:rPr>
                <w:sz w:val="20"/>
                <w:szCs w:val="20"/>
                <w:color w:val="auto"/>
              </w:rPr>
            </w:pPr>
            <w:r>
              <w:rPr>
                <w:rFonts w:ascii="Arial" w:cs="Arial" w:eastAsia="Arial" w:hAnsi="Arial"/>
                <w:sz w:val="14"/>
                <w:szCs w:val="14"/>
                <w:b w:val="1"/>
                <w:bCs w:val="1"/>
                <w:color w:val="auto"/>
              </w:rPr>
              <w:t>Total</w:t>
            </w:r>
          </w:p>
        </w:tc>
        <w:tc>
          <w:tcPr>
            <w:tcW w:w="100" w:type="dxa"/>
            <w:vAlign w:val="bottom"/>
          </w:tcPr>
          <w:p>
            <w:pPr>
              <w:spacing w:after="0"/>
              <w:rPr>
                <w:sz w:val="13"/>
                <w:szCs w:val="13"/>
                <w:color w:val="auto"/>
              </w:rPr>
            </w:pPr>
          </w:p>
        </w:tc>
      </w:tr>
      <w:tr>
        <w:trPr>
          <w:trHeight w:val="223"/>
        </w:trPr>
        <w:tc>
          <w:tcPr>
            <w:tcW w:w="584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Net service revenues</w:t>
            </w:r>
          </w:p>
        </w:tc>
        <w:tc>
          <w:tcPr>
            <w:tcW w:w="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316,933</w:t>
            </w:r>
          </w:p>
        </w:tc>
        <w:tc>
          <w:tcPr>
            <w:tcW w:w="24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w:t>
            </w:r>
          </w:p>
        </w:tc>
        <w:tc>
          <w:tcPr>
            <w:tcW w:w="940" w:type="dxa"/>
            <w:vAlign w:val="bottom"/>
            <w:tcBorders>
              <w:top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color w:val="auto"/>
              </w:rPr>
              <w:t>49,737</w:t>
            </w:r>
          </w:p>
        </w:tc>
        <w:tc>
          <w:tcPr>
            <w:tcW w:w="240" w:type="dxa"/>
            <w:vAlign w:val="bottom"/>
            <w:tcBorders>
              <w:top w:val="single" w:sz="8" w:color="CFF0FC"/>
            </w:tcBorders>
            <w:shd w:val="clear" w:color="auto" w:fill="CFF0FC"/>
          </w:tcPr>
          <w:p>
            <w:pPr>
              <w:spacing w:after="0"/>
              <w:rPr>
                <w:sz w:val="19"/>
                <w:szCs w:val="19"/>
                <w:color w:val="auto"/>
              </w:rPr>
            </w:pPr>
          </w:p>
        </w:tc>
        <w:tc>
          <w:tcPr>
            <w:tcW w:w="680" w:type="dxa"/>
            <w:vAlign w:val="bottom"/>
            <w:tcBorders>
              <w:top w:val="single" w:sz="8" w:color="auto"/>
            </w:tcBorders>
            <w:shd w:val="clear" w:color="auto" w:fill="CFF0FC"/>
          </w:tcPr>
          <w:p>
            <w:pPr>
              <w:jc w:val="right"/>
              <w:ind w:right="527"/>
              <w:spacing w:after="0"/>
              <w:rPr>
                <w:sz w:val="20"/>
                <w:szCs w:val="20"/>
                <w:color w:val="auto"/>
              </w:rPr>
            </w:pPr>
            <w:r>
              <w:rPr>
                <w:rFonts w:ascii="Arial" w:cs="Arial" w:eastAsia="Arial" w:hAnsi="Arial"/>
                <w:sz w:val="15"/>
                <w:szCs w:val="15"/>
                <w:color w:val="auto"/>
                <w:w w:val="71"/>
              </w:rPr>
              <w:t>$</w:t>
            </w:r>
          </w:p>
        </w:tc>
        <w:tc>
          <w:tcPr>
            <w:tcW w:w="460" w:type="dxa"/>
            <w:vAlign w:val="bottom"/>
            <w:tcBorders>
              <w:top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color w:val="auto"/>
                <w:w w:val="93"/>
              </w:rPr>
              <w:t>8,122</w:t>
            </w:r>
          </w:p>
        </w:tc>
        <w:tc>
          <w:tcPr>
            <w:tcW w:w="24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tcBorders>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374,792</w:t>
            </w:r>
          </w:p>
        </w:tc>
        <w:tc>
          <w:tcPr>
            <w:tcW w:w="100" w:type="dxa"/>
            <w:vAlign w:val="bottom"/>
            <w:tcBorders>
              <w:top w:val="single" w:sz="8" w:color="CFF0FC"/>
            </w:tcBorders>
            <w:shd w:val="clear" w:color="auto" w:fill="CFF0FC"/>
          </w:tcPr>
          <w:p>
            <w:pPr>
              <w:spacing w:after="0"/>
              <w:rPr>
                <w:sz w:val="19"/>
                <w:szCs w:val="19"/>
                <w:color w:val="auto"/>
              </w:rPr>
            </w:pPr>
          </w:p>
        </w:tc>
      </w:tr>
      <w:tr>
        <w:trPr>
          <w:trHeight w:val="230"/>
        </w:trPr>
        <w:tc>
          <w:tcPr>
            <w:tcW w:w="584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Cost of services revenues</w:t>
            </w:r>
          </w:p>
        </w:tc>
        <w:tc>
          <w:tcPr>
            <w:tcW w:w="1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234,850</w:t>
            </w:r>
          </w:p>
        </w:tc>
        <w:tc>
          <w:tcPr>
            <w:tcW w:w="240" w:type="dxa"/>
            <w:vAlign w:val="bottom"/>
            <w:tcBorders>
              <w:bottom w:val="single" w:sz="8" w:color="CFF0FC"/>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23,242</w:t>
            </w:r>
          </w:p>
        </w:tc>
        <w:tc>
          <w:tcPr>
            <w:tcW w:w="240" w:type="dxa"/>
            <w:vAlign w:val="bottom"/>
            <w:tcBorders>
              <w:bottom w:val="single" w:sz="8" w:color="CFF0FC"/>
            </w:tcBorders>
          </w:tcPr>
          <w:p>
            <w:pPr>
              <w:spacing w:after="0"/>
              <w:rPr>
                <w:sz w:val="19"/>
                <w:szCs w:val="19"/>
                <w:color w:val="auto"/>
              </w:rPr>
            </w:pPr>
          </w:p>
        </w:tc>
        <w:tc>
          <w:tcPr>
            <w:tcW w:w="68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w w:val="93"/>
              </w:rPr>
              <w:t>5,868</w:t>
            </w:r>
          </w:p>
        </w:tc>
        <w:tc>
          <w:tcPr>
            <w:tcW w:w="240" w:type="dxa"/>
            <w:vAlign w:val="bottom"/>
            <w:tcBorders>
              <w:bottom w:val="single" w:sz="8" w:color="CFF0FC"/>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263,960</w:t>
            </w:r>
          </w:p>
        </w:tc>
        <w:tc>
          <w:tcPr>
            <w:tcW w:w="100" w:type="dxa"/>
            <w:vAlign w:val="bottom"/>
            <w:tcBorders>
              <w:bottom w:val="single" w:sz="8" w:color="CFF0FC"/>
            </w:tcBorders>
          </w:tcPr>
          <w:p>
            <w:pPr>
              <w:spacing w:after="0"/>
              <w:rPr>
                <w:sz w:val="19"/>
                <w:szCs w:val="19"/>
                <w:color w:val="auto"/>
              </w:rPr>
            </w:pPr>
          </w:p>
        </w:tc>
      </w:tr>
      <w:tr>
        <w:trPr>
          <w:trHeight w:val="223"/>
        </w:trPr>
        <w:tc>
          <w:tcPr>
            <w:tcW w:w="5840" w:type="dxa"/>
            <w:vAlign w:val="bottom"/>
            <w:shd w:val="clear" w:color="auto" w:fill="CFF0FC"/>
          </w:tcPr>
          <w:p>
            <w:pPr>
              <w:spacing w:after="0"/>
              <w:rPr>
                <w:sz w:val="20"/>
                <w:szCs w:val="20"/>
                <w:color w:val="auto"/>
              </w:rPr>
            </w:pPr>
            <w:r>
              <w:rPr>
                <w:rFonts w:ascii="Arial" w:cs="Arial" w:eastAsia="Arial" w:hAnsi="Arial"/>
                <w:sz w:val="18"/>
                <w:szCs w:val="18"/>
                <w:color w:val="auto"/>
              </w:rPr>
              <w:t>Gross profit</w:t>
            </w:r>
          </w:p>
        </w:tc>
        <w:tc>
          <w:tcPr>
            <w:tcW w:w="10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82,083</w:t>
            </w:r>
          </w:p>
        </w:tc>
        <w:tc>
          <w:tcPr>
            <w:tcW w:w="2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26,495</w:t>
            </w:r>
          </w:p>
        </w:tc>
        <w:tc>
          <w:tcPr>
            <w:tcW w:w="240" w:type="dxa"/>
            <w:vAlign w:val="bottom"/>
            <w:shd w:val="clear" w:color="auto" w:fill="CFF0FC"/>
          </w:tcPr>
          <w:p>
            <w:pPr>
              <w:spacing w:after="0"/>
              <w:rPr>
                <w:sz w:val="19"/>
                <w:szCs w:val="19"/>
                <w:color w:val="auto"/>
              </w:rPr>
            </w:pPr>
          </w:p>
        </w:tc>
        <w:tc>
          <w:tcPr>
            <w:tcW w:w="680" w:type="dxa"/>
            <w:vAlign w:val="bottom"/>
            <w:shd w:val="clear" w:color="auto" w:fill="CFF0FC"/>
          </w:tcPr>
          <w:p>
            <w:pPr>
              <w:spacing w:after="0"/>
              <w:rPr>
                <w:sz w:val="19"/>
                <w:szCs w:val="19"/>
                <w:color w:val="auto"/>
              </w:rPr>
            </w:pPr>
          </w:p>
        </w:tc>
        <w:tc>
          <w:tcPr>
            <w:tcW w:w="4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w w:val="93"/>
              </w:rPr>
              <w:t>2,254</w:t>
            </w:r>
          </w:p>
        </w:tc>
        <w:tc>
          <w:tcPr>
            <w:tcW w:w="2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6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110,832</w:t>
            </w:r>
          </w:p>
        </w:tc>
        <w:tc>
          <w:tcPr>
            <w:tcW w:w="100" w:type="dxa"/>
            <w:vAlign w:val="bottom"/>
            <w:shd w:val="clear" w:color="auto" w:fill="CFF0FC"/>
          </w:tcPr>
          <w:p>
            <w:pPr>
              <w:spacing w:after="0"/>
              <w:rPr>
                <w:sz w:val="19"/>
                <w:szCs w:val="19"/>
                <w:color w:val="auto"/>
              </w:rPr>
            </w:pPr>
          </w:p>
        </w:tc>
      </w:tr>
      <w:tr>
        <w:trPr>
          <w:trHeight w:val="230"/>
        </w:trPr>
        <w:tc>
          <w:tcPr>
            <w:tcW w:w="584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General and administrative expenses</w:t>
            </w:r>
          </w:p>
        </w:tc>
        <w:tc>
          <w:tcPr>
            <w:tcW w:w="1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30,205</w:t>
            </w:r>
          </w:p>
        </w:tc>
        <w:tc>
          <w:tcPr>
            <w:tcW w:w="240" w:type="dxa"/>
            <w:vAlign w:val="bottom"/>
            <w:tcBorders>
              <w:bottom w:val="single" w:sz="8" w:color="CFF0FC"/>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12,754</w:t>
            </w:r>
          </w:p>
        </w:tc>
        <w:tc>
          <w:tcPr>
            <w:tcW w:w="240" w:type="dxa"/>
            <w:vAlign w:val="bottom"/>
            <w:tcBorders>
              <w:bottom w:val="single" w:sz="8" w:color="CFF0FC"/>
            </w:tcBorders>
          </w:tcPr>
          <w:p>
            <w:pPr>
              <w:spacing w:after="0"/>
              <w:rPr>
                <w:sz w:val="19"/>
                <w:szCs w:val="19"/>
                <w:color w:val="auto"/>
              </w:rPr>
            </w:pPr>
          </w:p>
        </w:tc>
        <w:tc>
          <w:tcPr>
            <w:tcW w:w="68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w w:val="93"/>
              </w:rPr>
              <w:t>1,905</w:t>
            </w:r>
          </w:p>
        </w:tc>
        <w:tc>
          <w:tcPr>
            <w:tcW w:w="240" w:type="dxa"/>
            <w:vAlign w:val="bottom"/>
            <w:tcBorders>
              <w:bottom w:val="single" w:sz="8" w:color="CFF0FC"/>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44,864</w:t>
            </w:r>
          </w:p>
        </w:tc>
        <w:tc>
          <w:tcPr>
            <w:tcW w:w="100" w:type="dxa"/>
            <w:vAlign w:val="bottom"/>
            <w:tcBorders>
              <w:bottom w:val="single" w:sz="8" w:color="CFF0FC"/>
            </w:tcBorders>
          </w:tcPr>
          <w:p>
            <w:pPr>
              <w:spacing w:after="0"/>
              <w:rPr>
                <w:sz w:val="19"/>
                <w:szCs w:val="19"/>
                <w:color w:val="auto"/>
              </w:rPr>
            </w:pPr>
          </w:p>
        </w:tc>
      </w:tr>
      <w:tr>
        <w:trPr>
          <w:trHeight w:val="223"/>
        </w:trPr>
        <w:tc>
          <w:tcPr>
            <w:tcW w:w="584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Segment operating income</w:t>
            </w:r>
          </w:p>
        </w:tc>
        <w:tc>
          <w:tcPr>
            <w:tcW w:w="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51,878</w:t>
            </w:r>
          </w:p>
        </w:tc>
        <w:tc>
          <w:tcPr>
            <w:tcW w:w="240" w:type="dxa"/>
            <w:vAlign w:val="bottom"/>
            <w:tcBorders>
              <w:bottom w:val="single" w:sz="8" w:color="CFF0FC"/>
            </w:tcBorders>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color w:val="auto"/>
              </w:rPr>
              <w:t>13,741</w:t>
            </w:r>
          </w:p>
        </w:tc>
        <w:tc>
          <w:tcPr>
            <w:tcW w:w="240" w:type="dxa"/>
            <w:vAlign w:val="bottom"/>
            <w:tcBorders>
              <w:bottom w:val="single" w:sz="8" w:color="CFF0FC"/>
            </w:tcBorders>
            <w:shd w:val="clear" w:color="auto" w:fill="CFF0FC"/>
          </w:tcPr>
          <w:p>
            <w:pPr>
              <w:spacing w:after="0"/>
              <w:rPr>
                <w:sz w:val="19"/>
                <w:szCs w:val="19"/>
                <w:color w:val="auto"/>
              </w:rPr>
            </w:pPr>
          </w:p>
        </w:tc>
        <w:tc>
          <w:tcPr>
            <w:tcW w:w="680" w:type="dxa"/>
            <w:vAlign w:val="bottom"/>
            <w:tcBorders>
              <w:bottom w:val="single" w:sz="8" w:color="auto"/>
            </w:tcBorders>
            <w:shd w:val="clear" w:color="auto" w:fill="CFF0FC"/>
          </w:tcPr>
          <w:p>
            <w:pPr>
              <w:jc w:val="right"/>
              <w:ind w:right="527"/>
              <w:spacing w:after="0"/>
              <w:rPr>
                <w:sz w:val="20"/>
                <w:szCs w:val="20"/>
                <w:color w:val="auto"/>
              </w:rPr>
            </w:pPr>
            <w:r>
              <w:rPr>
                <w:rFonts w:ascii="Arial" w:cs="Arial" w:eastAsia="Arial" w:hAnsi="Arial"/>
                <w:sz w:val="15"/>
                <w:szCs w:val="15"/>
                <w:color w:val="auto"/>
                <w:w w:val="71"/>
              </w:rPr>
              <w:t>$</w:t>
            </w:r>
          </w:p>
        </w:tc>
        <w:tc>
          <w:tcPr>
            <w:tcW w:w="460" w:type="dxa"/>
            <w:vAlign w:val="bottom"/>
            <w:tcBorders>
              <w:bottom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color w:val="auto"/>
              </w:rPr>
              <w:t>349</w:t>
            </w:r>
          </w:p>
        </w:tc>
        <w:tc>
          <w:tcPr>
            <w:tcW w:w="240" w:type="dxa"/>
            <w:vAlign w:val="bottom"/>
            <w:tcBorders>
              <w:bottom w:val="single" w:sz="8" w:color="CFF0FC"/>
            </w:tcBorders>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65,968</w:t>
            </w:r>
          </w:p>
        </w:tc>
        <w:tc>
          <w:tcPr>
            <w:tcW w:w="100" w:type="dxa"/>
            <w:vAlign w:val="bottom"/>
            <w:tcBorders>
              <w:bottom w:val="single" w:sz="8" w:color="CFF0FC"/>
            </w:tcBorders>
            <w:shd w:val="clear" w:color="auto" w:fill="CFF0FC"/>
          </w:tcPr>
          <w:p>
            <w:pPr>
              <w:spacing w:after="0"/>
              <w:rPr>
                <w:sz w:val="19"/>
                <w:szCs w:val="19"/>
                <w:color w:val="auto"/>
              </w:rPr>
            </w:pPr>
          </w:p>
        </w:tc>
      </w:tr>
      <w:tr>
        <w:trPr>
          <w:trHeight w:val="20"/>
        </w:trPr>
        <w:tc>
          <w:tcPr>
            <w:tcW w:w="58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00" w:type="dxa"/>
            <w:vAlign w:val="bottom"/>
            <w:tcBorders>
              <w:bottom w:val="single" w:sz="8" w:color="auto"/>
            </w:tcBorders>
            <w:gridSpan w:val="2"/>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60" w:type="dxa"/>
            <w:vAlign w:val="bottom"/>
            <w:tcBorders>
              <w:bottom w:val="single" w:sz="8" w:color="auto"/>
            </w:tcBorders>
            <w:gridSpan w:val="2"/>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345"/>
        </w:trPr>
        <w:tc>
          <w:tcPr>
            <w:tcW w:w="584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520" w:type="dxa"/>
            <w:vAlign w:val="bottom"/>
            <w:tcBorders>
              <w:bottom w:val="single" w:sz="8" w:color="auto"/>
            </w:tcBorders>
            <w:gridSpan w:val="7"/>
          </w:tcPr>
          <w:p>
            <w:pPr>
              <w:ind w:left="20"/>
              <w:spacing w:after="0"/>
              <w:rPr>
                <w:sz w:val="20"/>
                <w:szCs w:val="20"/>
                <w:color w:val="auto"/>
              </w:rPr>
            </w:pPr>
            <w:r>
              <w:rPr>
                <w:rFonts w:ascii="Arial" w:cs="Arial" w:eastAsia="Arial" w:hAnsi="Arial"/>
                <w:sz w:val="14"/>
                <w:szCs w:val="14"/>
                <w:b w:val="1"/>
                <w:bCs w:val="1"/>
                <w:color w:val="auto"/>
                <w:w w:val="92"/>
              </w:rPr>
              <w:t>For the Six Months Ended June 30, 2019</w:t>
            </w:r>
          </w:p>
        </w:tc>
        <w:tc>
          <w:tcPr>
            <w:tcW w:w="2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156"/>
        </w:trPr>
        <w:tc>
          <w:tcPr>
            <w:tcW w:w="584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1860" w:type="dxa"/>
            <w:vAlign w:val="bottom"/>
            <w:tcBorders>
              <w:bottom w:val="single" w:sz="8" w:color="auto"/>
            </w:tcBorders>
            <w:gridSpan w:val="4"/>
          </w:tcPr>
          <w:p>
            <w:pPr>
              <w:ind w:left="300"/>
              <w:spacing w:after="0" w:line="155" w:lineRule="exact"/>
              <w:rPr>
                <w:sz w:val="20"/>
                <w:szCs w:val="20"/>
                <w:color w:val="auto"/>
              </w:rPr>
            </w:pPr>
            <w:r>
              <w:rPr>
                <w:rFonts w:ascii="Arial" w:cs="Arial" w:eastAsia="Arial" w:hAnsi="Arial"/>
                <w:sz w:val="14"/>
                <w:szCs w:val="14"/>
                <w:b w:val="1"/>
                <w:bCs w:val="1"/>
                <w:color w:val="auto"/>
                <w:w w:val="93"/>
              </w:rPr>
              <w:t>(Amounts in Thousands)</w:t>
            </w:r>
          </w:p>
        </w:tc>
        <w:tc>
          <w:tcPr>
            <w:tcW w:w="28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94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r>
      <w:tr>
        <w:trPr>
          <w:trHeight w:val="156"/>
        </w:trPr>
        <w:tc>
          <w:tcPr>
            <w:tcW w:w="58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80" w:type="dxa"/>
            <w:vAlign w:val="bottom"/>
            <w:gridSpan w:val="2"/>
          </w:tcPr>
          <w:p>
            <w:pPr>
              <w:ind w:left="20"/>
              <w:spacing w:after="0" w:line="155" w:lineRule="exact"/>
              <w:rPr>
                <w:sz w:val="20"/>
                <w:szCs w:val="20"/>
                <w:color w:val="auto"/>
              </w:rPr>
            </w:pPr>
            <w:r>
              <w:rPr>
                <w:rFonts w:ascii="Arial" w:cs="Arial" w:eastAsia="Arial" w:hAnsi="Arial"/>
                <w:sz w:val="14"/>
                <w:szCs w:val="14"/>
                <w:b w:val="1"/>
                <w:bCs w:val="1"/>
                <w:color w:val="auto"/>
              </w:rPr>
              <w:t>Personal Care</w:t>
            </w:r>
          </w:p>
        </w:tc>
        <w:tc>
          <w:tcPr>
            <w:tcW w:w="200" w:type="dxa"/>
            <w:vAlign w:val="bottom"/>
          </w:tcPr>
          <w:p>
            <w:pPr>
              <w:spacing w:after="0"/>
              <w:rPr>
                <w:sz w:val="13"/>
                <w:szCs w:val="13"/>
                <w:color w:val="auto"/>
              </w:rPr>
            </w:pPr>
          </w:p>
        </w:tc>
        <w:tc>
          <w:tcPr>
            <w:tcW w:w="940" w:type="dxa"/>
            <w:vAlign w:val="bottom"/>
            <w:gridSpan w:val="2"/>
          </w:tcPr>
          <w:p>
            <w:pPr>
              <w:jc w:val="right"/>
              <w:ind w:right="259"/>
              <w:spacing w:after="0" w:line="155" w:lineRule="exact"/>
              <w:rPr>
                <w:sz w:val="20"/>
                <w:szCs w:val="20"/>
                <w:color w:val="auto"/>
              </w:rPr>
            </w:pPr>
            <w:r>
              <w:rPr>
                <w:rFonts w:ascii="Arial" w:cs="Arial" w:eastAsia="Arial" w:hAnsi="Arial"/>
                <w:sz w:val="14"/>
                <w:szCs w:val="14"/>
                <w:b w:val="1"/>
                <w:bCs w:val="1"/>
                <w:color w:val="auto"/>
              </w:rPr>
              <w:t>Hospice</w:t>
            </w:r>
          </w:p>
        </w:tc>
        <w:tc>
          <w:tcPr>
            <w:tcW w:w="240" w:type="dxa"/>
            <w:vAlign w:val="bottom"/>
          </w:tcPr>
          <w:p>
            <w:pPr>
              <w:spacing w:after="0"/>
              <w:rPr>
                <w:sz w:val="13"/>
                <w:szCs w:val="13"/>
                <w:color w:val="auto"/>
              </w:rPr>
            </w:pPr>
          </w:p>
        </w:tc>
        <w:tc>
          <w:tcPr>
            <w:tcW w:w="1140" w:type="dxa"/>
            <w:vAlign w:val="bottom"/>
            <w:gridSpan w:val="3"/>
          </w:tcPr>
          <w:p>
            <w:pPr>
              <w:jc w:val="right"/>
              <w:ind w:right="70"/>
              <w:spacing w:after="0" w:line="155" w:lineRule="exact"/>
              <w:rPr>
                <w:sz w:val="20"/>
                <w:szCs w:val="20"/>
                <w:color w:val="auto"/>
              </w:rPr>
            </w:pPr>
            <w:r>
              <w:rPr>
                <w:rFonts w:ascii="Arial" w:cs="Arial" w:eastAsia="Arial" w:hAnsi="Arial"/>
                <w:sz w:val="14"/>
                <w:szCs w:val="14"/>
                <w:b w:val="1"/>
                <w:bCs w:val="1"/>
                <w:color w:val="auto"/>
              </w:rPr>
              <w:t>Home Health</w:t>
            </w:r>
          </w:p>
        </w:tc>
        <w:tc>
          <w:tcPr>
            <w:tcW w:w="2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60" w:type="dxa"/>
            <w:vAlign w:val="bottom"/>
            <w:gridSpan w:val="2"/>
          </w:tcPr>
          <w:p>
            <w:pPr>
              <w:ind w:left="220"/>
              <w:spacing w:after="0" w:line="155" w:lineRule="exact"/>
              <w:rPr>
                <w:sz w:val="20"/>
                <w:szCs w:val="20"/>
                <w:color w:val="auto"/>
              </w:rPr>
            </w:pPr>
            <w:r>
              <w:rPr>
                <w:rFonts w:ascii="Arial" w:cs="Arial" w:eastAsia="Arial" w:hAnsi="Arial"/>
                <w:sz w:val="14"/>
                <w:szCs w:val="14"/>
                <w:b w:val="1"/>
                <w:bCs w:val="1"/>
                <w:color w:val="auto"/>
              </w:rPr>
              <w:t>Total</w:t>
            </w:r>
          </w:p>
        </w:tc>
        <w:tc>
          <w:tcPr>
            <w:tcW w:w="100" w:type="dxa"/>
            <w:vAlign w:val="bottom"/>
          </w:tcPr>
          <w:p>
            <w:pPr>
              <w:spacing w:after="0"/>
              <w:rPr>
                <w:sz w:val="13"/>
                <w:szCs w:val="13"/>
                <w:color w:val="auto"/>
              </w:rPr>
            </w:pPr>
          </w:p>
        </w:tc>
      </w:tr>
      <w:tr>
        <w:trPr>
          <w:trHeight w:val="223"/>
        </w:trPr>
        <w:tc>
          <w:tcPr>
            <w:tcW w:w="584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Net service revenues</w:t>
            </w:r>
          </w:p>
        </w:tc>
        <w:tc>
          <w:tcPr>
            <w:tcW w:w="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265,371</w:t>
            </w:r>
          </w:p>
        </w:tc>
        <w:tc>
          <w:tcPr>
            <w:tcW w:w="24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w:t>
            </w:r>
          </w:p>
        </w:tc>
        <w:tc>
          <w:tcPr>
            <w:tcW w:w="940" w:type="dxa"/>
            <w:vAlign w:val="bottom"/>
            <w:tcBorders>
              <w:top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color w:val="auto"/>
              </w:rPr>
              <w:t>16,354</w:t>
            </w:r>
          </w:p>
        </w:tc>
        <w:tc>
          <w:tcPr>
            <w:tcW w:w="240" w:type="dxa"/>
            <w:vAlign w:val="bottom"/>
            <w:tcBorders>
              <w:top w:val="single" w:sz="8" w:color="CFF0FC"/>
            </w:tcBorders>
            <w:shd w:val="clear" w:color="auto" w:fill="CFF0FC"/>
          </w:tcPr>
          <w:p>
            <w:pPr>
              <w:spacing w:after="0"/>
              <w:rPr>
                <w:sz w:val="19"/>
                <w:szCs w:val="19"/>
                <w:color w:val="auto"/>
              </w:rPr>
            </w:pPr>
          </w:p>
        </w:tc>
        <w:tc>
          <w:tcPr>
            <w:tcW w:w="680" w:type="dxa"/>
            <w:vAlign w:val="bottom"/>
            <w:tcBorders>
              <w:top w:val="single" w:sz="8" w:color="auto"/>
            </w:tcBorders>
            <w:shd w:val="clear" w:color="auto" w:fill="CFF0FC"/>
          </w:tcPr>
          <w:p>
            <w:pPr>
              <w:jc w:val="right"/>
              <w:ind w:right="527"/>
              <w:spacing w:after="0"/>
              <w:rPr>
                <w:sz w:val="20"/>
                <w:szCs w:val="20"/>
                <w:color w:val="auto"/>
              </w:rPr>
            </w:pPr>
            <w:r>
              <w:rPr>
                <w:rFonts w:ascii="Arial" w:cs="Arial" w:eastAsia="Arial" w:hAnsi="Arial"/>
                <w:sz w:val="15"/>
                <w:szCs w:val="15"/>
                <w:color w:val="auto"/>
                <w:w w:val="71"/>
              </w:rPr>
              <w:t>$</w:t>
            </w:r>
          </w:p>
        </w:tc>
        <w:tc>
          <w:tcPr>
            <w:tcW w:w="460" w:type="dxa"/>
            <w:vAlign w:val="bottom"/>
            <w:tcBorders>
              <w:top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color w:val="auto"/>
                <w:w w:val="93"/>
              </w:rPr>
              <w:t>5,697</w:t>
            </w:r>
          </w:p>
        </w:tc>
        <w:tc>
          <w:tcPr>
            <w:tcW w:w="24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tcBorders>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287,422</w:t>
            </w:r>
          </w:p>
        </w:tc>
        <w:tc>
          <w:tcPr>
            <w:tcW w:w="100" w:type="dxa"/>
            <w:vAlign w:val="bottom"/>
            <w:tcBorders>
              <w:top w:val="single" w:sz="8" w:color="CFF0FC"/>
            </w:tcBorders>
            <w:shd w:val="clear" w:color="auto" w:fill="CFF0FC"/>
          </w:tcPr>
          <w:p>
            <w:pPr>
              <w:spacing w:after="0"/>
              <w:rPr>
                <w:sz w:val="19"/>
                <w:szCs w:val="19"/>
                <w:color w:val="auto"/>
              </w:rPr>
            </w:pPr>
          </w:p>
        </w:tc>
      </w:tr>
      <w:tr>
        <w:trPr>
          <w:trHeight w:val="229"/>
        </w:trPr>
        <w:tc>
          <w:tcPr>
            <w:tcW w:w="584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Cost of services revenues</w:t>
            </w:r>
          </w:p>
        </w:tc>
        <w:tc>
          <w:tcPr>
            <w:tcW w:w="1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198,825</w:t>
            </w:r>
          </w:p>
        </w:tc>
        <w:tc>
          <w:tcPr>
            <w:tcW w:w="240" w:type="dxa"/>
            <w:vAlign w:val="bottom"/>
            <w:tcBorders>
              <w:bottom w:val="single" w:sz="8" w:color="CFF0FC"/>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8,092</w:t>
            </w:r>
          </w:p>
        </w:tc>
        <w:tc>
          <w:tcPr>
            <w:tcW w:w="240" w:type="dxa"/>
            <w:vAlign w:val="bottom"/>
            <w:tcBorders>
              <w:bottom w:val="single" w:sz="8" w:color="CFF0FC"/>
            </w:tcBorders>
          </w:tcPr>
          <w:p>
            <w:pPr>
              <w:spacing w:after="0"/>
              <w:rPr>
                <w:sz w:val="19"/>
                <w:szCs w:val="19"/>
                <w:color w:val="auto"/>
              </w:rPr>
            </w:pPr>
          </w:p>
        </w:tc>
        <w:tc>
          <w:tcPr>
            <w:tcW w:w="68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w w:val="93"/>
              </w:rPr>
              <w:t>3,985</w:t>
            </w:r>
          </w:p>
        </w:tc>
        <w:tc>
          <w:tcPr>
            <w:tcW w:w="240" w:type="dxa"/>
            <w:vAlign w:val="bottom"/>
            <w:tcBorders>
              <w:bottom w:val="single" w:sz="8" w:color="CFF0FC"/>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210,902</w:t>
            </w:r>
          </w:p>
        </w:tc>
        <w:tc>
          <w:tcPr>
            <w:tcW w:w="100" w:type="dxa"/>
            <w:vAlign w:val="bottom"/>
            <w:tcBorders>
              <w:bottom w:val="single" w:sz="8" w:color="CFF0FC"/>
            </w:tcBorders>
          </w:tcPr>
          <w:p>
            <w:pPr>
              <w:spacing w:after="0"/>
              <w:rPr>
                <w:sz w:val="19"/>
                <w:szCs w:val="19"/>
                <w:color w:val="auto"/>
              </w:rPr>
            </w:pPr>
          </w:p>
        </w:tc>
      </w:tr>
      <w:tr>
        <w:trPr>
          <w:trHeight w:val="223"/>
        </w:trPr>
        <w:tc>
          <w:tcPr>
            <w:tcW w:w="5840" w:type="dxa"/>
            <w:vAlign w:val="bottom"/>
            <w:shd w:val="clear" w:color="auto" w:fill="CFF0FC"/>
          </w:tcPr>
          <w:p>
            <w:pPr>
              <w:spacing w:after="0"/>
              <w:rPr>
                <w:sz w:val="20"/>
                <w:szCs w:val="20"/>
                <w:color w:val="auto"/>
              </w:rPr>
            </w:pPr>
            <w:r>
              <w:rPr>
                <w:rFonts w:ascii="Arial" w:cs="Arial" w:eastAsia="Arial" w:hAnsi="Arial"/>
                <w:sz w:val="18"/>
                <w:szCs w:val="18"/>
                <w:color w:val="auto"/>
              </w:rPr>
              <w:t>Gross profit</w:t>
            </w:r>
          </w:p>
        </w:tc>
        <w:tc>
          <w:tcPr>
            <w:tcW w:w="10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66,546</w:t>
            </w:r>
          </w:p>
        </w:tc>
        <w:tc>
          <w:tcPr>
            <w:tcW w:w="2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8,262</w:t>
            </w:r>
          </w:p>
        </w:tc>
        <w:tc>
          <w:tcPr>
            <w:tcW w:w="240" w:type="dxa"/>
            <w:vAlign w:val="bottom"/>
            <w:shd w:val="clear" w:color="auto" w:fill="CFF0FC"/>
          </w:tcPr>
          <w:p>
            <w:pPr>
              <w:spacing w:after="0"/>
              <w:rPr>
                <w:sz w:val="19"/>
                <w:szCs w:val="19"/>
                <w:color w:val="auto"/>
              </w:rPr>
            </w:pPr>
          </w:p>
        </w:tc>
        <w:tc>
          <w:tcPr>
            <w:tcW w:w="680" w:type="dxa"/>
            <w:vAlign w:val="bottom"/>
            <w:shd w:val="clear" w:color="auto" w:fill="CFF0FC"/>
          </w:tcPr>
          <w:p>
            <w:pPr>
              <w:spacing w:after="0"/>
              <w:rPr>
                <w:sz w:val="19"/>
                <w:szCs w:val="19"/>
                <w:color w:val="auto"/>
              </w:rPr>
            </w:pPr>
          </w:p>
        </w:tc>
        <w:tc>
          <w:tcPr>
            <w:tcW w:w="4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w w:val="93"/>
              </w:rPr>
              <w:t>1,712</w:t>
            </w:r>
          </w:p>
        </w:tc>
        <w:tc>
          <w:tcPr>
            <w:tcW w:w="2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6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76,520</w:t>
            </w:r>
          </w:p>
        </w:tc>
        <w:tc>
          <w:tcPr>
            <w:tcW w:w="100" w:type="dxa"/>
            <w:vAlign w:val="bottom"/>
            <w:shd w:val="clear" w:color="auto" w:fill="CFF0FC"/>
          </w:tcPr>
          <w:p>
            <w:pPr>
              <w:spacing w:after="0"/>
              <w:rPr>
                <w:sz w:val="19"/>
                <w:szCs w:val="19"/>
                <w:color w:val="auto"/>
              </w:rPr>
            </w:pPr>
          </w:p>
        </w:tc>
      </w:tr>
      <w:tr>
        <w:trPr>
          <w:trHeight w:val="229"/>
        </w:trPr>
        <w:tc>
          <w:tcPr>
            <w:tcW w:w="584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General and administrative expenses</w:t>
            </w:r>
          </w:p>
        </w:tc>
        <w:tc>
          <w:tcPr>
            <w:tcW w:w="1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25,316</w:t>
            </w:r>
          </w:p>
        </w:tc>
        <w:tc>
          <w:tcPr>
            <w:tcW w:w="240" w:type="dxa"/>
            <w:vAlign w:val="bottom"/>
            <w:tcBorders>
              <w:bottom w:val="single" w:sz="8" w:color="CFF0FC"/>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3,138</w:t>
            </w:r>
          </w:p>
        </w:tc>
        <w:tc>
          <w:tcPr>
            <w:tcW w:w="240" w:type="dxa"/>
            <w:vAlign w:val="bottom"/>
            <w:tcBorders>
              <w:bottom w:val="single" w:sz="8" w:color="CFF0FC"/>
            </w:tcBorders>
          </w:tcPr>
          <w:p>
            <w:pPr>
              <w:spacing w:after="0"/>
              <w:rPr>
                <w:sz w:val="19"/>
                <w:szCs w:val="19"/>
                <w:color w:val="auto"/>
              </w:rPr>
            </w:pPr>
          </w:p>
        </w:tc>
        <w:tc>
          <w:tcPr>
            <w:tcW w:w="68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w w:val="93"/>
              </w:rPr>
              <w:t>1,343</w:t>
            </w:r>
          </w:p>
        </w:tc>
        <w:tc>
          <w:tcPr>
            <w:tcW w:w="240" w:type="dxa"/>
            <w:vAlign w:val="bottom"/>
            <w:tcBorders>
              <w:bottom w:val="single" w:sz="8" w:color="CFF0FC"/>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29,797</w:t>
            </w:r>
          </w:p>
        </w:tc>
        <w:tc>
          <w:tcPr>
            <w:tcW w:w="100" w:type="dxa"/>
            <w:vAlign w:val="bottom"/>
            <w:tcBorders>
              <w:bottom w:val="single" w:sz="8" w:color="CFF0FC"/>
            </w:tcBorders>
          </w:tcPr>
          <w:p>
            <w:pPr>
              <w:spacing w:after="0"/>
              <w:rPr>
                <w:sz w:val="19"/>
                <w:szCs w:val="19"/>
                <w:color w:val="auto"/>
              </w:rPr>
            </w:pPr>
          </w:p>
        </w:tc>
      </w:tr>
      <w:tr>
        <w:trPr>
          <w:trHeight w:val="223"/>
        </w:trPr>
        <w:tc>
          <w:tcPr>
            <w:tcW w:w="584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Segment operating income</w:t>
            </w:r>
          </w:p>
        </w:tc>
        <w:tc>
          <w:tcPr>
            <w:tcW w:w="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41,230</w:t>
            </w:r>
          </w:p>
        </w:tc>
        <w:tc>
          <w:tcPr>
            <w:tcW w:w="240" w:type="dxa"/>
            <w:vAlign w:val="bottom"/>
            <w:tcBorders>
              <w:bottom w:val="single" w:sz="8" w:color="CFF0FC"/>
            </w:tcBorders>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color w:val="auto"/>
              </w:rPr>
              <w:t>5,124</w:t>
            </w:r>
          </w:p>
        </w:tc>
        <w:tc>
          <w:tcPr>
            <w:tcW w:w="240" w:type="dxa"/>
            <w:vAlign w:val="bottom"/>
            <w:tcBorders>
              <w:bottom w:val="single" w:sz="8" w:color="CFF0FC"/>
            </w:tcBorders>
            <w:shd w:val="clear" w:color="auto" w:fill="CFF0FC"/>
          </w:tcPr>
          <w:p>
            <w:pPr>
              <w:spacing w:after="0"/>
              <w:rPr>
                <w:sz w:val="19"/>
                <w:szCs w:val="19"/>
                <w:color w:val="auto"/>
              </w:rPr>
            </w:pPr>
          </w:p>
        </w:tc>
        <w:tc>
          <w:tcPr>
            <w:tcW w:w="680" w:type="dxa"/>
            <w:vAlign w:val="bottom"/>
            <w:tcBorders>
              <w:bottom w:val="single" w:sz="8" w:color="auto"/>
            </w:tcBorders>
            <w:shd w:val="clear" w:color="auto" w:fill="CFF0FC"/>
          </w:tcPr>
          <w:p>
            <w:pPr>
              <w:jc w:val="right"/>
              <w:ind w:right="527"/>
              <w:spacing w:after="0"/>
              <w:rPr>
                <w:sz w:val="20"/>
                <w:szCs w:val="20"/>
                <w:color w:val="auto"/>
              </w:rPr>
            </w:pPr>
            <w:r>
              <w:rPr>
                <w:rFonts w:ascii="Arial" w:cs="Arial" w:eastAsia="Arial" w:hAnsi="Arial"/>
                <w:sz w:val="15"/>
                <w:szCs w:val="15"/>
                <w:color w:val="auto"/>
                <w:w w:val="71"/>
              </w:rPr>
              <w:t>$</w:t>
            </w:r>
          </w:p>
        </w:tc>
        <w:tc>
          <w:tcPr>
            <w:tcW w:w="460" w:type="dxa"/>
            <w:vAlign w:val="bottom"/>
            <w:tcBorders>
              <w:bottom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color w:val="auto"/>
              </w:rPr>
              <w:t>369</w:t>
            </w:r>
          </w:p>
        </w:tc>
        <w:tc>
          <w:tcPr>
            <w:tcW w:w="240" w:type="dxa"/>
            <w:vAlign w:val="bottom"/>
            <w:tcBorders>
              <w:bottom w:val="single" w:sz="8" w:color="CFF0FC"/>
            </w:tcBorders>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46,723</w:t>
            </w:r>
          </w:p>
        </w:tc>
        <w:tc>
          <w:tcPr>
            <w:tcW w:w="100" w:type="dxa"/>
            <w:vAlign w:val="bottom"/>
            <w:tcBorders>
              <w:bottom w:val="single" w:sz="8" w:color="CFF0FC"/>
            </w:tcBorders>
            <w:shd w:val="clear" w:color="auto" w:fill="CFF0FC"/>
          </w:tcPr>
          <w:p>
            <w:pPr>
              <w:spacing w:after="0"/>
              <w:rPr>
                <w:sz w:val="19"/>
                <w:szCs w:val="19"/>
                <w:color w:val="auto"/>
              </w:rPr>
            </w:pPr>
          </w:p>
        </w:tc>
      </w:tr>
      <w:tr>
        <w:trPr>
          <w:trHeight w:val="20"/>
        </w:trPr>
        <w:tc>
          <w:tcPr>
            <w:tcW w:w="58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60" w:type="dxa"/>
            <w:vAlign w:val="bottom"/>
            <w:tcBorders>
              <w:bottom w:val="single" w:sz="8" w:color="auto"/>
            </w:tcBorders>
            <w:gridSpan w:val="2"/>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40" w:type="dxa"/>
            <w:vAlign w:val="bottom"/>
            <w:tcBorders>
              <w:bottom w:val="single" w:sz="8" w:color="auto"/>
            </w:tcBorders>
            <w:gridSpan w:val="2"/>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345"/>
        </w:trPr>
        <w:tc>
          <w:tcPr>
            <w:tcW w:w="5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520" w:type="dxa"/>
            <w:vAlign w:val="bottom"/>
            <w:gridSpan w:val="10"/>
          </w:tcPr>
          <w:p>
            <w:pPr>
              <w:ind w:left="620"/>
              <w:spacing w:after="0"/>
              <w:rPr>
                <w:sz w:val="20"/>
                <w:szCs w:val="20"/>
                <w:color w:val="auto"/>
              </w:rPr>
            </w:pPr>
            <w:r>
              <w:rPr>
                <w:rFonts w:ascii="Arial" w:cs="Arial" w:eastAsia="Arial" w:hAnsi="Arial"/>
                <w:sz w:val="14"/>
                <w:szCs w:val="14"/>
                <w:b w:val="1"/>
                <w:bCs w:val="1"/>
                <w:color w:val="auto"/>
              </w:rPr>
              <w:t>For the Six Months Ended June 30,</w:t>
            </w:r>
          </w:p>
        </w:tc>
      </w:tr>
      <w:tr>
        <w:trPr>
          <w:trHeight w:val="156"/>
        </w:trPr>
        <w:tc>
          <w:tcPr>
            <w:tcW w:w="58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40" w:type="dxa"/>
            <w:vAlign w:val="bottom"/>
            <w:tcBorders>
              <w:top w:val="single" w:sz="8" w:color="auto"/>
              <w:bottom w:val="single" w:sz="8" w:color="auto"/>
            </w:tcBorders>
          </w:tcPr>
          <w:p>
            <w:pPr>
              <w:spacing w:after="0"/>
              <w:rPr>
                <w:sz w:val="13"/>
                <w:szCs w:val="13"/>
                <w:color w:val="auto"/>
              </w:rPr>
            </w:pPr>
          </w:p>
        </w:tc>
        <w:tc>
          <w:tcPr>
            <w:tcW w:w="920" w:type="dxa"/>
            <w:vAlign w:val="bottom"/>
            <w:tcBorders>
              <w:top w:val="single" w:sz="8" w:color="auto"/>
              <w:bottom w:val="single" w:sz="8" w:color="auto"/>
            </w:tcBorders>
            <w:gridSpan w:val="2"/>
          </w:tcPr>
          <w:p>
            <w:pPr>
              <w:jc w:val="right"/>
              <w:ind w:right="567"/>
              <w:spacing w:after="0" w:line="155" w:lineRule="exact"/>
              <w:rPr>
                <w:sz w:val="20"/>
                <w:szCs w:val="20"/>
                <w:color w:val="auto"/>
              </w:rPr>
            </w:pPr>
            <w:r>
              <w:rPr>
                <w:rFonts w:ascii="Arial" w:cs="Arial" w:eastAsia="Arial" w:hAnsi="Arial"/>
                <w:sz w:val="14"/>
                <w:szCs w:val="14"/>
                <w:b w:val="1"/>
                <w:bCs w:val="1"/>
                <w:color w:val="auto"/>
                <w:w w:val="83"/>
              </w:rPr>
              <w:t>2020</w:t>
            </w:r>
          </w:p>
        </w:tc>
        <w:tc>
          <w:tcPr>
            <w:tcW w:w="280" w:type="dxa"/>
            <w:vAlign w:val="bottom"/>
            <w:tcBorders>
              <w:top w:val="single" w:sz="8" w:color="auto"/>
              <w:bottom w:val="single" w:sz="8" w:color="auto"/>
            </w:tcBorders>
          </w:tcPr>
          <w:p>
            <w:pPr>
              <w:spacing w:after="0"/>
              <w:rPr>
                <w:sz w:val="13"/>
                <w:szCs w:val="13"/>
                <w:color w:val="auto"/>
              </w:rPr>
            </w:pPr>
          </w:p>
        </w:tc>
        <w:tc>
          <w:tcPr>
            <w:tcW w:w="180" w:type="dxa"/>
            <w:vAlign w:val="bottom"/>
            <w:tcBorders>
              <w:top w:val="single" w:sz="8" w:color="auto"/>
              <w:bottom w:val="single" w:sz="8" w:color="auto"/>
            </w:tcBorders>
          </w:tcPr>
          <w:p>
            <w:pPr>
              <w:spacing w:after="0"/>
              <w:rPr>
                <w:sz w:val="13"/>
                <w:szCs w:val="13"/>
                <w:color w:val="auto"/>
              </w:rPr>
            </w:pPr>
          </w:p>
        </w:tc>
        <w:tc>
          <w:tcPr>
            <w:tcW w:w="240" w:type="dxa"/>
            <w:vAlign w:val="bottom"/>
            <w:tcBorders>
              <w:top w:val="single" w:sz="8" w:color="auto"/>
              <w:bottom w:val="single" w:sz="8" w:color="auto"/>
            </w:tcBorders>
          </w:tcPr>
          <w:p>
            <w:pPr>
              <w:spacing w:after="0"/>
              <w:rPr>
                <w:sz w:val="13"/>
                <w:szCs w:val="13"/>
                <w:color w:val="auto"/>
              </w:rPr>
            </w:pPr>
          </w:p>
        </w:tc>
        <w:tc>
          <w:tcPr>
            <w:tcW w:w="200" w:type="dxa"/>
            <w:vAlign w:val="bottom"/>
            <w:tcBorders>
              <w:top w:val="single" w:sz="8" w:color="auto"/>
              <w:bottom w:val="single" w:sz="8" w:color="auto"/>
            </w:tcBorders>
          </w:tcPr>
          <w:p>
            <w:pPr>
              <w:spacing w:after="0"/>
              <w:rPr>
                <w:sz w:val="13"/>
                <w:szCs w:val="13"/>
                <w:color w:val="auto"/>
              </w:rPr>
            </w:pPr>
          </w:p>
        </w:tc>
        <w:tc>
          <w:tcPr>
            <w:tcW w:w="940" w:type="dxa"/>
            <w:vAlign w:val="bottom"/>
            <w:tcBorders>
              <w:top w:val="single" w:sz="8" w:color="auto"/>
              <w:bottom w:val="single" w:sz="8" w:color="auto"/>
            </w:tcBorders>
          </w:tcPr>
          <w:p>
            <w:pPr>
              <w:jc w:val="right"/>
              <w:ind w:right="553"/>
              <w:spacing w:after="0" w:line="155" w:lineRule="exact"/>
              <w:rPr>
                <w:sz w:val="20"/>
                <w:szCs w:val="20"/>
                <w:color w:val="auto"/>
              </w:rPr>
            </w:pPr>
            <w:r>
              <w:rPr>
                <w:rFonts w:ascii="Arial" w:cs="Arial" w:eastAsia="Arial" w:hAnsi="Arial"/>
                <w:sz w:val="14"/>
                <w:szCs w:val="14"/>
                <w:b w:val="1"/>
                <w:bCs w:val="1"/>
                <w:color w:val="auto"/>
                <w:w w:val="89"/>
              </w:rPr>
              <w:t>2019</w:t>
            </w: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155"/>
        </w:trPr>
        <w:tc>
          <w:tcPr>
            <w:tcW w:w="5840" w:type="dxa"/>
            <w:vAlign w:val="bottom"/>
            <w:tcBorders>
              <w:bottom w:val="single" w:sz="8" w:color="CFF0FC"/>
            </w:tcBorders>
          </w:tcPr>
          <w:p>
            <w:pPr>
              <w:spacing w:after="0"/>
              <w:rPr>
                <w:sz w:val="13"/>
                <w:szCs w:val="13"/>
                <w:color w:val="auto"/>
              </w:rPr>
            </w:pPr>
          </w:p>
        </w:tc>
        <w:tc>
          <w:tcPr>
            <w:tcW w:w="100" w:type="dxa"/>
            <w:vAlign w:val="bottom"/>
            <w:tcBorders>
              <w:bottom w:val="single" w:sz="8" w:color="CFF0FC"/>
            </w:tcBorders>
          </w:tcPr>
          <w:p>
            <w:pPr>
              <w:spacing w:after="0"/>
              <w:rPr>
                <w:sz w:val="13"/>
                <w:szCs w:val="13"/>
                <w:color w:val="auto"/>
              </w:rPr>
            </w:pPr>
          </w:p>
        </w:tc>
        <w:tc>
          <w:tcPr>
            <w:tcW w:w="1040" w:type="dxa"/>
            <w:vAlign w:val="bottom"/>
            <w:tcBorders>
              <w:bottom w:val="single" w:sz="8" w:color="CFF0FC"/>
            </w:tcBorders>
          </w:tcPr>
          <w:p>
            <w:pPr>
              <w:spacing w:after="0"/>
              <w:rPr>
                <w:sz w:val="13"/>
                <w:szCs w:val="13"/>
                <w:color w:val="auto"/>
              </w:rPr>
            </w:pPr>
          </w:p>
        </w:tc>
        <w:tc>
          <w:tcPr>
            <w:tcW w:w="240" w:type="dxa"/>
            <w:vAlign w:val="bottom"/>
            <w:tcBorders>
              <w:bottom w:val="single" w:sz="8" w:color="CFF0FC"/>
            </w:tcBorders>
          </w:tcPr>
          <w:p>
            <w:pPr>
              <w:spacing w:after="0"/>
              <w:rPr>
                <w:sz w:val="13"/>
                <w:szCs w:val="13"/>
                <w:color w:val="auto"/>
              </w:rPr>
            </w:pPr>
          </w:p>
        </w:tc>
        <w:tc>
          <w:tcPr>
            <w:tcW w:w="200" w:type="dxa"/>
            <w:vAlign w:val="bottom"/>
            <w:tcBorders>
              <w:bottom w:val="single" w:sz="8" w:color="CFF0FC"/>
            </w:tcBorders>
          </w:tcPr>
          <w:p>
            <w:pPr>
              <w:spacing w:after="0"/>
              <w:rPr>
                <w:sz w:val="13"/>
                <w:szCs w:val="13"/>
                <w:color w:val="auto"/>
              </w:rPr>
            </w:pPr>
          </w:p>
        </w:tc>
        <w:tc>
          <w:tcPr>
            <w:tcW w:w="300" w:type="dxa"/>
            <w:vAlign w:val="bottom"/>
            <w:tcBorders>
              <w:bottom w:val="single" w:sz="8" w:color="CFF0FC"/>
            </w:tcBorders>
          </w:tcPr>
          <w:p>
            <w:pPr>
              <w:spacing w:after="0"/>
              <w:rPr>
                <w:sz w:val="13"/>
                <w:szCs w:val="13"/>
                <w:color w:val="auto"/>
              </w:rPr>
            </w:pPr>
          </w:p>
        </w:tc>
        <w:tc>
          <w:tcPr>
            <w:tcW w:w="640" w:type="dxa"/>
            <w:vAlign w:val="bottom"/>
            <w:tcBorders>
              <w:bottom w:val="single" w:sz="8" w:color="auto"/>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1580" w:type="dxa"/>
            <w:vAlign w:val="bottom"/>
            <w:tcBorders>
              <w:bottom w:val="single" w:sz="8" w:color="auto"/>
            </w:tcBorders>
            <w:gridSpan w:val="5"/>
          </w:tcPr>
          <w:p>
            <w:pPr>
              <w:jc w:val="right"/>
              <w:spacing w:after="0" w:line="155" w:lineRule="exact"/>
              <w:rPr>
                <w:sz w:val="20"/>
                <w:szCs w:val="20"/>
                <w:color w:val="auto"/>
              </w:rPr>
            </w:pPr>
            <w:r>
              <w:rPr>
                <w:rFonts w:ascii="Arial" w:cs="Arial" w:eastAsia="Arial" w:hAnsi="Arial"/>
                <w:sz w:val="14"/>
                <w:szCs w:val="14"/>
                <w:b w:val="1"/>
                <w:bCs w:val="1"/>
                <w:color w:val="auto"/>
                <w:w w:val="94"/>
              </w:rPr>
              <w:t>(Amounts in Thousands)</w:t>
            </w:r>
          </w:p>
        </w:tc>
        <w:tc>
          <w:tcPr>
            <w:tcW w:w="940" w:type="dxa"/>
            <w:vAlign w:val="bottom"/>
            <w:tcBorders>
              <w:bottom w:val="single" w:sz="8" w:color="auto"/>
            </w:tcBorders>
          </w:tcPr>
          <w:p>
            <w:pPr>
              <w:spacing w:after="0"/>
              <w:rPr>
                <w:sz w:val="13"/>
                <w:szCs w:val="13"/>
                <w:color w:val="auto"/>
              </w:rPr>
            </w:pPr>
          </w:p>
        </w:tc>
        <w:tc>
          <w:tcPr>
            <w:tcW w:w="20" w:type="dxa"/>
            <w:vAlign w:val="bottom"/>
            <w:tcBorders>
              <w:bottom w:val="single" w:sz="8" w:color="CFF0FC"/>
            </w:tcBorders>
          </w:tcPr>
          <w:p>
            <w:pPr>
              <w:spacing w:after="0"/>
              <w:rPr>
                <w:sz w:val="13"/>
                <w:szCs w:val="13"/>
                <w:color w:val="auto"/>
              </w:rPr>
            </w:pPr>
          </w:p>
        </w:tc>
        <w:tc>
          <w:tcPr>
            <w:tcW w:w="100" w:type="dxa"/>
            <w:vAlign w:val="bottom"/>
            <w:tcBorders>
              <w:bottom w:val="single" w:sz="8" w:color="CFF0FC"/>
            </w:tcBorders>
          </w:tcPr>
          <w:p>
            <w:pPr>
              <w:spacing w:after="0"/>
              <w:rPr>
                <w:sz w:val="13"/>
                <w:szCs w:val="13"/>
                <w:color w:val="auto"/>
              </w:rPr>
            </w:pPr>
          </w:p>
        </w:tc>
      </w:tr>
      <w:tr>
        <w:trPr>
          <w:trHeight w:val="223"/>
        </w:trPr>
        <w:tc>
          <w:tcPr>
            <w:tcW w:w="5840" w:type="dxa"/>
            <w:vAlign w:val="bottom"/>
            <w:shd w:val="clear" w:color="auto" w:fill="CFF0FC"/>
          </w:tcPr>
          <w:p>
            <w:pPr>
              <w:spacing w:after="0"/>
              <w:rPr>
                <w:sz w:val="20"/>
                <w:szCs w:val="20"/>
                <w:color w:val="auto"/>
              </w:rPr>
            </w:pPr>
            <w:r>
              <w:rPr>
                <w:rFonts w:ascii="Arial" w:cs="Arial" w:eastAsia="Arial" w:hAnsi="Arial"/>
                <w:sz w:val="18"/>
                <w:szCs w:val="18"/>
                <w:color w:val="auto"/>
              </w:rPr>
              <w:t>Segment reconciliation:</w:t>
            </w:r>
          </w:p>
        </w:tc>
        <w:tc>
          <w:tcPr>
            <w:tcW w:w="10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6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6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29"/>
        </w:trPr>
        <w:tc>
          <w:tcPr>
            <w:tcW w:w="5840" w:type="dxa"/>
            <w:vAlign w:val="bottom"/>
          </w:tcPr>
          <w:p>
            <w:pPr>
              <w:spacing w:after="0"/>
              <w:rPr>
                <w:sz w:val="20"/>
                <w:szCs w:val="20"/>
                <w:color w:val="auto"/>
              </w:rPr>
            </w:pPr>
            <w:r>
              <w:rPr>
                <w:rFonts w:ascii="Arial" w:cs="Arial" w:eastAsia="Arial" w:hAnsi="Arial"/>
                <w:sz w:val="18"/>
                <w:szCs w:val="18"/>
                <w:color w:val="auto"/>
              </w:rPr>
              <w:t>Total segment operating income</w:t>
            </w:r>
          </w:p>
        </w:tc>
        <w:tc>
          <w:tcPr>
            <w:tcW w:w="1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65,968</w:t>
            </w:r>
          </w:p>
        </w:tc>
        <w:tc>
          <w:tcPr>
            <w:tcW w:w="4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46,723</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29"/>
        </w:trPr>
        <w:tc>
          <w:tcPr>
            <w:tcW w:w="58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6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6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30"/>
        </w:trPr>
        <w:tc>
          <w:tcPr>
            <w:tcW w:w="5840" w:type="dxa"/>
            <w:vAlign w:val="bottom"/>
          </w:tcPr>
          <w:p>
            <w:pPr>
              <w:spacing w:after="0"/>
              <w:rPr>
                <w:sz w:val="20"/>
                <w:szCs w:val="20"/>
                <w:color w:val="auto"/>
              </w:rPr>
            </w:pPr>
            <w:r>
              <w:rPr>
                <w:rFonts w:ascii="Arial" w:cs="Arial" w:eastAsia="Arial" w:hAnsi="Arial"/>
                <w:sz w:val="18"/>
                <w:szCs w:val="18"/>
                <w:color w:val="auto"/>
              </w:rPr>
              <w:t>Items not allocated at segment level:</w:t>
            </w:r>
          </w:p>
        </w:tc>
        <w:tc>
          <w:tcPr>
            <w:tcW w:w="1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29"/>
        </w:trPr>
        <w:tc>
          <w:tcPr>
            <w:tcW w:w="5840" w:type="dxa"/>
            <w:vAlign w:val="bottom"/>
            <w:shd w:val="clear" w:color="auto" w:fill="CFF0FC"/>
          </w:tcPr>
          <w:p>
            <w:pPr>
              <w:spacing w:after="0"/>
              <w:rPr>
                <w:sz w:val="20"/>
                <w:szCs w:val="20"/>
                <w:color w:val="auto"/>
              </w:rPr>
            </w:pPr>
            <w:r>
              <w:rPr>
                <w:rFonts w:ascii="Arial" w:cs="Arial" w:eastAsia="Arial" w:hAnsi="Arial"/>
                <w:sz w:val="18"/>
                <w:szCs w:val="18"/>
                <w:color w:val="auto"/>
              </w:rPr>
              <w:t>Other general and administrative expenses</w:t>
            </w:r>
          </w:p>
        </w:tc>
        <w:tc>
          <w:tcPr>
            <w:tcW w:w="10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640" w:type="dxa"/>
            <w:vAlign w:val="bottom"/>
            <w:shd w:val="clear" w:color="auto" w:fill="CFF0FC"/>
          </w:tcPr>
          <w:p>
            <w:pPr>
              <w:spacing w:after="0"/>
              <w:rPr>
                <w:sz w:val="19"/>
                <w:szCs w:val="19"/>
                <w:color w:val="auto"/>
              </w:rPr>
            </w:pPr>
          </w:p>
        </w:tc>
        <w:tc>
          <w:tcPr>
            <w:tcW w:w="9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39,873</w:t>
            </w:r>
          </w:p>
        </w:tc>
        <w:tc>
          <w:tcPr>
            <w:tcW w:w="2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29,227</w:t>
            </w: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30"/>
        </w:trPr>
        <w:tc>
          <w:tcPr>
            <w:tcW w:w="5840" w:type="dxa"/>
            <w:vAlign w:val="bottom"/>
          </w:tcPr>
          <w:p>
            <w:pPr>
              <w:spacing w:after="0"/>
              <w:rPr>
                <w:sz w:val="20"/>
                <w:szCs w:val="20"/>
                <w:color w:val="auto"/>
              </w:rPr>
            </w:pPr>
            <w:r>
              <w:rPr>
                <w:rFonts w:ascii="Arial" w:cs="Arial" w:eastAsia="Arial" w:hAnsi="Arial"/>
                <w:sz w:val="18"/>
                <w:szCs w:val="18"/>
                <w:color w:val="auto"/>
              </w:rPr>
              <w:t>Depreciation and amortization</w:t>
            </w:r>
          </w:p>
        </w:tc>
        <w:tc>
          <w:tcPr>
            <w:tcW w:w="1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5,827</w:t>
            </w:r>
          </w:p>
        </w:tc>
        <w:tc>
          <w:tcPr>
            <w:tcW w:w="2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4,609</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29"/>
        </w:trPr>
        <w:tc>
          <w:tcPr>
            <w:tcW w:w="5840" w:type="dxa"/>
            <w:vAlign w:val="bottom"/>
            <w:shd w:val="clear" w:color="auto" w:fill="CFF0FC"/>
          </w:tcPr>
          <w:p>
            <w:pPr>
              <w:spacing w:after="0"/>
              <w:rPr>
                <w:sz w:val="20"/>
                <w:szCs w:val="20"/>
                <w:color w:val="auto"/>
              </w:rPr>
            </w:pPr>
            <w:r>
              <w:rPr>
                <w:rFonts w:ascii="Arial" w:cs="Arial" w:eastAsia="Arial" w:hAnsi="Arial"/>
                <w:sz w:val="18"/>
                <w:szCs w:val="18"/>
                <w:color w:val="auto"/>
              </w:rPr>
              <w:t>Interest income</w:t>
            </w:r>
          </w:p>
        </w:tc>
        <w:tc>
          <w:tcPr>
            <w:tcW w:w="10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640" w:type="dxa"/>
            <w:vAlign w:val="bottom"/>
            <w:shd w:val="clear" w:color="auto" w:fill="CFF0FC"/>
          </w:tcPr>
          <w:p>
            <w:pPr>
              <w:spacing w:after="0"/>
              <w:rPr>
                <w:sz w:val="19"/>
                <w:szCs w:val="19"/>
                <w:color w:val="auto"/>
              </w:rPr>
            </w:pPr>
          </w:p>
        </w:tc>
        <w:tc>
          <w:tcPr>
            <w:tcW w:w="1200" w:type="dxa"/>
            <w:vAlign w:val="bottom"/>
            <w:gridSpan w:val="3"/>
            <w:shd w:val="clear" w:color="auto" w:fill="CFF0FC"/>
          </w:tcPr>
          <w:p>
            <w:pPr>
              <w:jc w:val="right"/>
              <w:ind w:right="130"/>
              <w:spacing w:after="0"/>
              <w:rPr>
                <w:sz w:val="20"/>
                <w:szCs w:val="20"/>
                <w:color w:val="auto"/>
              </w:rPr>
            </w:pPr>
            <w:r>
              <w:rPr>
                <w:rFonts w:ascii="Arial" w:cs="Arial" w:eastAsia="Arial" w:hAnsi="Arial"/>
                <w:sz w:val="18"/>
                <w:szCs w:val="18"/>
                <w:color w:val="auto"/>
              </w:rPr>
              <w:t>(489)</w:t>
            </w:r>
          </w:p>
        </w:tc>
        <w:tc>
          <w:tcPr>
            <w:tcW w:w="1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060" w:type="dxa"/>
            <w:vAlign w:val="bottom"/>
            <w:gridSpan w:val="3"/>
            <w:shd w:val="clear" w:color="auto" w:fill="CFF0FC"/>
          </w:tcPr>
          <w:p>
            <w:pPr>
              <w:jc w:val="right"/>
              <w:ind w:right="60"/>
              <w:spacing w:after="0"/>
              <w:rPr>
                <w:sz w:val="20"/>
                <w:szCs w:val="20"/>
                <w:color w:val="auto"/>
              </w:rPr>
            </w:pPr>
            <w:r>
              <w:rPr>
                <w:rFonts w:ascii="Arial" w:cs="Arial" w:eastAsia="Arial" w:hAnsi="Arial"/>
                <w:sz w:val="18"/>
                <w:szCs w:val="18"/>
                <w:color w:val="auto"/>
              </w:rPr>
              <w:t>(310)</w:t>
            </w:r>
          </w:p>
        </w:tc>
      </w:tr>
      <w:tr>
        <w:trPr>
          <w:trHeight w:val="230"/>
        </w:trPr>
        <w:tc>
          <w:tcPr>
            <w:tcW w:w="584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Interest expense</w:t>
            </w:r>
          </w:p>
        </w:tc>
        <w:tc>
          <w:tcPr>
            <w:tcW w:w="100" w:type="dxa"/>
            <w:vAlign w:val="bottom"/>
            <w:tcBorders>
              <w:bottom w:val="single" w:sz="8" w:color="CFF0FC"/>
            </w:tcBorders>
          </w:tcPr>
          <w:p>
            <w:pPr>
              <w:spacing w:after="0"/>
              <w:rPr>
                <w:sz w:val="19"/>
                <w:szCs w:val="19"/>
                <w:color w:val="auto"/>
              </w:rPr>
            </w:pPr>
          </w:p>
        </w:tc>
        <w:tc>
          <w:tcPr>
            <w:tcW w:w="1040" w:type="dxa"/>
            <w:vAlign w:val="bottom"/>
            <w:tcBorders>
              <w:bottom w:val="single" w:sz="8" w:color="CFF0FC"/>
            </w:tcBorders>
          </w:tcPr>
          <w:p>
            <w:pPr>
              <w:spacing w:after="0"/>
              <w:rPr>
                <w:sz w:val="19"/>
                <w:szCs w:val="19"/>
                <w:color w:val="auto"/>
              </w:rPr>
            </w:pPr>
          </w:p>
        </w:tc>
        <w:tc>
          <w:tcPr>
            <w:tcW w:w="240" w:type="dxa"/>
            <w:vAlign w:val="bottom"/>
            <w:tcBorders>
              <w:bottom w:val="single" w:sz="8" w:color="CFF0FC"/>
            </w:tcBorders>
          </w:tcPr>
          <w:p>
            <w:pPr>
              <w:spacing w:after="0"/>
              <w:rPr>
                <w:sz w:val="19"/>
                <w:szCs w:val="19"/>
                <w:color w:val="auto"/>
              </w:rPr>
            </w:pPr>
          </w:p>
        </w:tc>
        <w:tc>
          <w:tcPr>
            <w:tcW w:w="200" w:type="dxa"/>
            <w:vAlign w:val="bottom"/>
            <w:tcBorders>
              <w:bottom w:val="single" w:sz="8" w:color="CFF0FC"/>
            </w:tcBorders>
          </w:tcPr>
          <w:p>
            <w:pPr>
              <w:spacing w:after="0"/>
              <w:rPr>
                <w:sz w:val="19"/>
                <w:szCs w:val="19"/>
                <w:color w:val="auto"/>
              </w:rPr>
            </w:pPr>
          </w:p>
        </w:tc>
        <w:tc>
          <w:tcPr>
            <w:tcW w:w="300" w:type="dxa"/>
            <w:vAlign w:val="bottom"/>
            <w:tcBorders>
              <w:bottom w:val="single" w:sz="8" w:color="CFF0FC"/>
            </w:tcBorders>
          </w:tcPr>
          <w:p>
            <w:pPr>
              <w:spacing w:after="0"/>
              <w:rPr>
                <w:sz w:val="19"/>
                <w:szCs w:val="19"/>
                <w:color w:val="auto"/>
              </w:rPr>
            </w:pPr>
          </w:p>
        </w:tc>
        <w:tc>
          <w:tcPr>
            <w:tcW w:w="6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1,629</w:t>
            </w:r>
          </w:p>
        </w:tc>
        <w:tc>
          <w:tcPr>
            <w:tcW w:w="28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1,298</w:t>
            </w:r>
          </w:p>
        </w:tc>
        <w:tc>
          <w:tcPr>
            <w:tcW w:w="2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r>
      <w:tr>
        <w:trPr>
          <w:trHeight w:val="223"/>
        </w:trPr>
        <w:tc>
          <w:tcPr>
            <w:tcW w:w="584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Income before income taxes</w:t>
            </w:r>
          </w:p>
        </w:tc>
        <w:tc>
          <w:tcPr>
            <w:tcW w:w="100" w:type="dxa"/>
            <w:vAlign w:val="bottom"/>
            <w:tcBorders>
              <w:bottom w:val="single" w:sz="8" w:color="CFF0FC"/>
            </w:tcBorders>
            <w:shd w:val="clear" w:color="auto" w:fill="CFF0FC"/>
          </w:tcPr>
          <w:p>
            <w:pPr>
              <w:spacing w:after="0"/>
              <w:rPr>
                <w:sz w:val="19"/>
                <w:szCs w:val="19"/>
                <w:color w:val="auto"/>
              </w:rPr>
            </w:pPr>
          </w:p>
        </w:tc>
        <w:tc>
          <w:tcPr>
            <w:tcW w:w="1040" w:type="dxa"/>
            <w:vAlign w:val="bottom"/>
            <w:tcBorders>
              <w:bottom w:val="single" w:sz="8" w:color="CFF0FC"/>
            </w:tcBorders>
            <w:shd w:val="clear" w:color="auto" w:fill="CFF0FC"/>
          </w:tcPr>
          <w:p>
            <w:pPr>
              <w:spacing w:after="0"/>
              <w:rPr>
                <w:sz w:val="19"/>
                <w:szCs w:val="19"/>
                <w:color w:val="auto"/>
              </w:rPr>
            </w:pPr>
          </w:p>
        </w:tc>
        <w:tc>
          <w:tcPr>
            <w:tcW w:w="240" w:type="dxa"/>
            <w:vAlign w:val="bottom"/>
            <w:tcBorders>
              <w:bottom w:val="single" w:sz="8" w:color="CFF0FC"/>
            </w:tcBorders>
            <w:shd w:val="clear" w:color="auto" w:fill="CFF0FC"/>
          </w:tcPr>
          <w:p>
            <w:pPr>
              <w:spacing w:after="0"/>
              <w:rPr>
                <w:sz w:val="19"/>
                <w:szCs w:val="19"/>
                <w:color w:val="auto"/>
              </w:rPr>
            </w:pPr>
          </w:p>
        </w:tc>
        <w:tc>
          <w:tcPr>
            <w:tcW w:w="200" w:type="dxa"/>
            <w:vAlign w:val="bottom"/>
            <w:tcBorders>
              <w:bottom w:val="single" w:sz="8" w:color="CFF0FC"/>
            </w:tcBorders>
            <w:shd w:val="clear" w:color="auto" w:fill="CFF0FC"/>
          </w:tcPr>
          <w:p>
            <w:pPr>
              <w:spacing w:after="0"/>
              <w:rPr>
                <w:sz w:val="19"/>
                <w:szCs w:val="19"/>
                <w:color w:val="auto"/>
              </w:rPr>
            </w:pPr>
          </w:p>
        </w:tc>
        <w:tc>
          <w:tcPr>
            <w:tcW w:w="300" w:type="dxa"/>
            <w:vAlign w:val="bottom"/>
            <w:tcBorders>
              <w:bottom w:val="single" w:sz="8" w:color="CFF0FC"/>
            </w:tcBorders>
            <w:shd w:val="clear" w:color="auto" w:fill="CFF0FC"/>
          </w:tcPr>
          <w:p>
            <w:pPr>
              <w:spacing w:after="0"/>
              <w:rPr>
                <w:sz w:val="19"/>
                <w:szCs w:val="19"/>
                <w:color w:val="auto"/>
              </w:rPr>
            </w:pPr>
          </w:p>
        </w:tc>
        <w:tc>
          <w:tcPr>
            <w:tcW w:w="640" w:type="dxa"/>
            <w:vAlign w:val="bottom"/>
            <w:tcBorders>
              <w:bottom w:val="single" w:sz="8" w:color="auto"/>
            </w:tcBorders>
            <w:shd w:val="clear" w:color="auto" w:fill="CFF0FC"/>
          </w:tcPr>
          <w:p>
            <w:pPr>
              <w:ind w:left="20"/>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color w:val="auto"/>
              </w:rPr>
              <w:t>19,128</w:t>
            </w:r>
          </w:p>
        </w:tc>
        <w:tc>
          <w:tcPr>
            <w:tcW w:w="280" w:type="dxa"/>
            <w:vAlign w:val="bottom"/>
            <w:tcBorders>
              <w:bottom w:val="single" w:sz="8" w:color="CFF0FC"/>
            </w:tcBorders>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240" w:type="dxa"/>
            <w:vAlign w:val="bottom"/>
            <w:tcBorders>
              <w:bottom w:val="single" w:sz="8" w:color="auto"/>
            </w:tcBorders>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11,899</w:t>
            </w:r>
          </w:p>
        </w:tc>
        <w:tc>
          <w:tcPr>
            <w:tcW w:w="2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CFF0FC"/>
            </w:tcBorders>
            <w:shd w:val="clear" w:color="auto" w:fill="CFF0FC"/>
          </w:tcPr>
          <w:p>
            <w:pPr>
              <w:spacing w:after="0"/>
              <w:rPr>
                <w:sz w:val="19"/>
                <w:szCs w:val="19"/>
                <w:color w:val="auto"/>
              </w:rPr>
            </w:pPr>
          </w:p>
        </w:tc>
      </w:tr>
      <w:tr>
        <w:trPr>
          <w:trHeight w:val="20"/>
        </w:trPr>
        <w:tc>
          <w:tcPr>
            <w:tcW w:w="5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Significant Payors</w:t>
      </w:r>
    </w:p>
    <w:p>
      <w:pPr>
        <w:spacing w:after="0" w:line="94" w:lineRule="exact"/>
        <w:rPr>
          <w:sz w:val="20"/>
          <w:szCs w:val="20"/>
          <w:color w:val="auto"/>
        </w:rPr>
      </w:pPr>
    </w:p>
    <w:p>
      <w:pPr>
        <w:ind w:left="480"/>
        <w:spacing w:after="0"/>
        <w:rPr>
          <w:sz w:val="20"/>
          <w:szCs w:val="20"/>
          <w:color w:val="auto"/>
        </w:rPr>
      </w:pPr>
      <w:r>
        <w:rPr>
          <w:rFonts w:ascii="Arial" w:cs="Arial" w:eastAsia="Arial" w:hAnsi="Arial"/>
          <w:sz w:val="18"/>
          <w:szCs w:val="18"/>
          <w:color w:val="auto"/>
        </w:rPr>
        <w:t>For the three and six months ended June 30, 2020 and 2019 the Company’s revenue by payor type was as follows:</w:t>
      </w: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2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2200" w:type="dxa"/>
            <w:vAlign w:val="bottom"/>
            <w:tcBorders>
              <w:bottom w:val="single" w:sz="8" w:color="auto"/>
            </w:tcBorders>
            <w:gridSpan w:val="5"/>
          </w:tcPr>
          <w:p>
            <w:pPr>
              <w:jc w:val="right"/>
              <w:ind w:right="860"/>
              <w:spacing w:after="0"/>
              <w:rPr>
                <w:sz w:val="20"/>
                <w:szCs w:val="20"/>
                <w:color w:val="auto"/>
              </w:rPr>
            </w:pPr>
            <w:r>
              <w:rPr>
                <w:rFonts w:ascii="Arial" w:cs="Arial" w:eastAsia="Arial" w:hAnsi="Arial"/>
                <w:sz w:val="14"/>
                <w:szCs w:val="14"/>
                <w:b w:val="1"/>
                <w:bCs w:val="1"/>
                <w:color w:val="auto"/>
              </w:rPr>
              <w:t>Personal Care</w:t>
            </w:r>
          </w:p>
        </w:tc>
        <w:tc>
          <w:tcPr>
            <w:tcW w:w="76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22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3160" w:type="dxa"/>
            <w:vAlign w:val="bottom"/>
            <w:tcBorders>
              <w:bottom w:val="single" w:sz="8" w:color="auto"/>
            </w:tcBorders>
            <w:gridSpan w:val="8"/>
          </w:tcPr>
          <w:p>
            <w:pPr>
              <w:ind w:left="700"/>
              <w:spacing w:after="0" w:line="155" w:lineRule="exact"/>
              <w:rPr>
                <w:sz w:val="20"/>
                <w:szCs w:val="20"/>
                <w:color w:val="auto"/>
              </w:rPr>
            </w:pPr>
            <w:r>
              <w:rPr>
                <w:rFonts w:ascii="Arial" w:cs="Arial" w:eastAsia="Arial" w:hAnsi="Arial"/>
                <w:sz w:val="14"/>
                <w:szCs w:val="14"/>
                <w:b w:val="1"/>
                <w:bCs w:val="1"/>
                <w:color w:val="auto"/>
                <w:w w:val="97"/>
              </w:rPr>
              <w:t>For the Three Months Ended June 30,</w:t>
            </w:r>
          </w:p>
        </w:tc>
        <w:tc>
          <w:tcPr>
            <w:tcW w:w="760" w:type="dxa"/>
            <w:vAlign w:val="bottom"/>
            <w:tcBorders>
              <w:bottom w:val="single" w:sz="8" w:color="auto"/>
            </w:tcBorders>
          </w:tcPr>
          <w:p>
            <w:pPr>
              <w:spacing w:after="0"/>
              <w:rPr>
                <w:sz w:val="13"/>
                <w:szCs w:val="13"/>
                <w:color w:val="auto"/>
              </w:rPr>
            </w:pPr>
          </w:p>
        </w:tc>
        <w:tc>
          <w:tcPr>
            <w:tcW w:w="300" w:type="dxa"/>
            <w:vAlign w:val="bottom"/>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3160" w:type="dxa"/>
            <w:vAlign w:val="bottom"/>
            <w:tcBorders>
              <w:bottom w:val="single" w:sz="8" w:color="auto"/>
            </w:tcBorders>
            <w:gridSpan w:val="8"/>
          </w:tcPr>
          <w:p>
            <w:pPr>
              <w:jc w:val="right"/>
              <w:ind w:right="200"/>
              <w:spacing w:after="0" w:line="155" w:lineRule="exact"/>
              <w:rPr>
                <w:sz w:val="20"/>
                <w:szCs w:val="20"/>
                <w:color w:val="auto"/>
              </w:rPr>
            </w:pPr>
            <w:r>
              <w:rPr>
                <w:rFonts w:ascii="Arial" w:cs="Arial" w:eastAsia="Arial" w:hAnsi="Arial"/>
                <w:sz w:val="14"/>
                <w:szCs w:val="14"/>
                <w:b w:val="1"/>
                <w:bCs w:val="1"/>
                <w:color w:val="auto"/>
              </w:rPr>
              <w:t>For the Six Months Ended June 30,</w:t>
            </w:r>
          </w:p>
        </w:tc>
        <w:tc>
          <w:tcPr>
            <w:tcW w:w="760" w:type="dxa"/>
            <w:vAlign w:val="bottom"/>
            <w:tcBorders>
              <w:bottom w:val="single" w:sz="8" w:color="auto"/>
            </w:tcBorders>
          </w:tcPr>
          <w:p>
            <w:pPr>
              <w:spacing w:after="0"/>
              <w:rPr>
                <w:sz w:val="13"/>
                <w:szCs w:val="13"/>
                <w:color w:val="auto"/>
              </w:rPr>
            </w:pPr>
          </w:p>
        </w:tc>
        <w:tc>
          <w:tcPr>
            <w:tcW w:w="2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22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gridSpan w:val="2"/>
          </w:tcPr>
          <w:p>
            <w:pPr>
              <w:jc w:val="right"/>
              <w:ind w:right="60"/>
              <w:spacing w:after="0" w:line="155" w:lineRule="exact"/>
              <w:rPr>
                <w:sz w:val="20"/>
                <w:szCs w:val="20"/>
                <w:color w:val="auto"/>
              </w:rPr>
            </w:pPr>
            <w:r>
              <w:rPr>
                <w:rFonts w:ascii="Arial" w:cs="Arial" w:eastAsia="Arial" w:hAnsi="Arial"/>
                <w:sz w:val="14"/>
                <w:szCs w:val="14"/>
                <w:b w:val="1"/>
                <w:bCs w:val="1"/>
                <w:color w:val="auto"/>
              </w:rPr>
              <w:t>2020</w:t>
            </w:r>
          </w:p>
        </w:tc>
        <w:tc>
          <w:tcPr>
            <w:tcW w:w="760" w:type="dxa"/>
            <w:vAlign w:val="bottom"/>
            <w:tcBorders>
              <w:bottom w:val="single" w:sz="8" w:color="auto"/>
            </w:tcBorders>
          </w:tcPr>
          <w:p>
            <w:pPr>
              <w:spacing w:after="0"/>
              <w:rPr>
                <w:sz w:val="13"/>
                <w:szCs w:val="13"/>
                <w:color w:val="auto"/>
              </w:rPr>
            </w:pPr>
          </w:p>
        </w:tc>
        <w:tc>
          <w:tcPr>
            <w:tcW w:w="300" w:type="dxa"/>
            <w:vAlign w:val="bottom"/>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gridSpan w:val="3"/>
          </w:tcPr>
          <w:p>
            <w:pPr>
              <w:jc w:val="right"/>
              <w:ind w:right="60"/>
              <w:spacing w:after="0" w:line="155" w:lineRule="exact"/>
              <w:rPr>
                <w:sz w:val="20"/>
                <w:szCs w:val="20"/>
                <w:color w:val="auto"/>
              </w:rPr>
            </w:pPr>
            <w:r>
              <w:rPr>
                <w:rFonts w:ascii="Arial" w:cs="Arial" w:eastAsia="Arial" w:hAnsi="Arial"/>
                <w:sz w:val="14"/>
                <w:szCs w:val="14"/>
                <w:b w:val="1"/>
                <w:bCs w:val="1"/>
                <w:color w:val="auto"/>
              </w:rPr>
              <w:t>2019</w:t>
            </w:r>
          </w:p>
        </w:tc>
        <w:tc>
          <w:tcPr>
            <w:tcW w:w="760" w:type="dxa"/>
            <w:vAlign w:val="bottom"/>
            <w:tcBorders>
              <w:bottom w:val="single" w:sz="8" w:color="auto"/>
            </w:tcBorders>
          </w:tcPr>
          <w:p>
            <w:pPr>
              <w:spacing w:after="0"/>
              <w:rPr>
                <w:sz w:val="13"/>
                <w:szCs w:val="13"/>
                <w:color w:val="auto"/>
              </w:rPr>
            </w:pPr>
          </w:p>
        </w:tc>
        <w:tc>
          <w:tcPr>
            <w:tcW w:w="300" w:type="dxa"/>
            <w:vAlign w:val="bottom"/>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gridSpan w:val="2"/>
          </w:tcPr>
          <w:p>
            <w:pPr>
              <w:jc w:val="right"/>
              <w:ind w:right="60"/>
              <w:spacing w:after="0" w:line="155" w:lineRule="exact"/>
              <w:rPr>
                <w:sz w:val="20"/>
                <w:szCs w:val="20"/>
                <w:color w:val="auto"/>
              </w:rPr>
            </w:pPr>
            <w:r>
              <w:rPr>
                <w:rFonts w:ascii="Arial" w:cs="Arial" w:eastAsia="Arial" w:hAnsi="Arial"/>
                <w:sz w:val="14"/>
                <w:szCs w:val="14"/>
                <w:b w:val="1"/>
                <w:bCs w:val="1"/>
                <w:color w:val="auto"/>
              </w:rPr>
              <w:t>2020</w:t>
            </w:r>
          </w:p>
        </w:tc>
        <w:tc>
          <w:tcPr>
            <w:tcW w:w="760" w:type="dxa"/>
            <w:vAlign w:val="bottom"/>
            <w:tcBorders>
              <w:bottom w:val="single" w:sz="8" w:color="auto"/>
            </w:tcBorders>
          </w:tcPr>
          <w:p>
            <w:pPr>
              <w:spacing w:after="0"/>
              <w:rPr>
                <w:sz w:val="13"/>
                <w:szCs w:val="13"/>
                <w:color w:val="auto"/>
              </w:rPr>
            </w:pPr>
          </w:p>
        </w:tc>
        <w:tc>
          <w:tcPr>
            <w:tcW w:w="300" w:type="dxa"/>
            <w:vAlign w:val="bottom"/>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gridSpan w:val="3"/>
          </w:tcPr>
          <w:p>
            <w:pPr>
              <w:jc w:val="right"/>
              <w:ind w:right="60"/>
              <w:spacing w:after="0" w:line="155" w:lineRule="exact"/>
              <w:rPr>
                <w:sz w:val="20"/>
                <w:szCs w:val="20"/>
                <w:color w:val="auto"/>
              </w:rPr>
            </w:pPr>
            <w:r>
              <w:rPr>
                <w:rFonts w:ascii="Arial" w:cs="Arial" w:eastAsia="Arial" w:hAnsi="Arial"/>
                <w:sz w:val="14"/>
                <w:szCs w:val="14"/>
                <w:b w:val="1"/>
                <w:bCs w:val="1"/>
                <w:color w:val="auto"/>
              </w:rPr>
              <w:t>2019</w:t>
            </w:r>
          </w:p>
        </w:tc>
        <w:tc>
          <w:tcPr>
            <w:tcW w:w="760" w:type="dxa"/>
            <w:vAlign w:val="bottom"/>
            <w:tcBorders>
              <w:bottom w:val="single" w:sz="8" w:color="auto"/>
            </w:tcBorders>
          </w:tcPr>
          <w:p>
            <w:pPr>
              <w:spacing w:after="0"/>
              <w:rPr>
                <w:sz w:val="13"/>
                <w:szCs w:val="13"/>
                <w:color w:val="auto"/>
              </w:rPr>
            </w:pPr>
          </w:p>
        </w:tc>
        <w:tc>
          <w:tcPr>
            <w:tcW w:w="2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3"/>
        </w:trPr>
        <w:tc>
          <w:tcPr>
            <w:tcW w:w="22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tcPr>
          <w:p>
            <w:pPr>
              <w:jc w:val="center"/>
              <w:spacing w:after="0" w:line="133" w:lineRule="exact"/>
              <w:rPr>
                <w:sz w:val="20"/>
                <w:szCs w:val="20"/>
                <w:color w:val="auto"/>
              </w:rPr>
            </w:pPr>
            <w:r>
              <w:rPr>
                <w:rFonts w:ascii="Arial" w:cs="Arial" w:eastAsia="Arial" w:hAnsi="Arial"/>
                <w:sz w:val="14"/>
                <w:szCs w:val="14"/>
                <w:b w:val="1"/>
                <w:bCs w:val="1"/>
                <w:color w:val="auto"/>
              </w:rPr>
              <w:t>% of</w:t>
            </w:r>
          </w:p>
        </w:tc>
        <w:tc>
          <w:tcPr>
            <w:tcW w:w="3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jc w:val="center"/>
              <w:spacing w:after="0" w:line="133" w:lineRule="exact"/>
              <w:rPr>
                <w:sz w:val="20"/>
                <w:szCs w:val="20"/>
                <w:color w:val="auto"/>
              </w:rPr>
            </w:pPr>
            <w:r>
              <w:rPr>
                <w:rFonts w:ascii="Arial" w:cs="Arial" w:eastAsia="Arial" w:hAnsi="Arial"/>
                <w:sz w:val="14"/>
                <w:szCs w:val="14"/>
                <w:b w:val="1"/>
                <w:bCs w:val="1"/>
                <w:color w:val="auto"/>
              </w:rPr>
              <w:t>% of</w:t>
            </w:r>
          </w:p>
        </w:tc>
        <w:tc>
          <w:tcPr>
            <w:tcW w:w="3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tcPr>
          <w:p>
            <w:pPr>
              <w:jc w:val="center"/>
              <w:spacing w:after="0" w:line="133" w:lineRule="exact"/>
              <w:rPr>
                <w:sz w:val="20"/>
                <w:szCs w:val="20"/>
                <w:color w:val="auto"/>
              </w:rPr>
            </w:pPr>
            <w:r>
              <w:rPr>
                <w:rFonts w:ascii="Arial" w:cs="Arial" w:eastAsia="Arial" w:hAnsi="Arial"/>
                <w:sz w:val="14"/>
                <w:szCs w:val="14"/>
                <w:b w:val="1"/>
                <w:bCs w:val="1"/>
                <w:color w:val="auto"/>
              </w:rPr>
              <w:t>% of</w:t>
            </w:r>
          </w:p>
        </w:tc>
        <w:tc>
          <w:tcPr>
            <w:tcW w:w="3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jc w:val="center"/>
              <w:spacing w:after="0" w:line="133" w:lineRule="exact"/>
              <w:rPr>
                <w:sz w:val="20"/>
                <w:szCs w:val="20"/>
                <w:color w:val="auto"/>
              </w:rPr>
            </w:pPr>
            <w:r>
              <w:rPr>
                <w:rFonts w:ascii="Arial" w:cs="Arial" w:eastAsia="Arial" w:hAnsi="Arial"/>
                <w:sz w:val="14"/>
                <w:szCs w:val="14"/>
                <w:b w:val="1"/>
                <w:bCs w:val="1"/>
                <w:color w:val="auto"/>
              </w:rPr>
              <w:t>% of</w:t>
            </w:r>
          </w:p>
        </w:tc>
        <w:tc>
          <w:tcPr>
            <w:tcW w:w="2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2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60" w:type="dxa"/>
            <w:vAlign w:val="bottom"/>
            <w:gridSpan w:val="2"/>
            <w:vMerge w:val="restart"/>
          </w:tcPr>
          <w:p>
            <w:pPr>
              <w:jc w:val="center"/>
              <w:ind w:right="320"/>
              <w:spacing w:after="0"/>
              <w:rPr>
                <w:sz w:val="20"/>
                <w:szCs w:val="20"/>
                <w:color w:val="auto"/>
              </w:rPr>
            </w:pPr>
            <w:r>
              <w:rPr>
                <w:rFonts w:ascii="Arial" w:cs="Arial" w:eastAsia="Arial" w:hAnsi="Arial"/>
                <w:sz w:val="14"/>
                <w:szCs w:val="14"/>
                <w:b w:val="1"/>
                <w:bCs w:val="1"/>
                <w:color w:val="auto"/>
                <w:w w:val="98"/>
              </w:rPr>
              <w:t>Amount</w:t>
            </w:r>
          </w:p>
        </w:tc>
        <w:tc>
          <w:tcPr>
            <w:tcW w:w="7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1"/>
              </w:rPr>
              <w:t>Segment</w:t>
            </w:r>
          </w:p>
        </w:tc>
        <w:tc>
          <w:tcPr>
            <w:tcW w:w="3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60" w:type="dxa"/>
            <w:vAlign w:val="bottom"/>
            <w:gridSpan w:val="3"/>
            <w:vMerge w:val="restart"/>
          </w:tcPr>
          <w:p>
            <w:pPr>
              <w:jc w:val="center"/>
              <w:ind w:right="320"/>
              <w:spacing w:after="0"/>
              <w:rPr>
                <w:sz w:val="20"/>
                <w:szCs w:val="20"/>
                <w:color w:val="auto"/>
              </w:rPr>
            </w:pPr>
            <w:r>
              <w:rPr>
                <w:rFonts w:ascii="Arial" w:cs="Arial" w:eastAsia="Arial" w:hAnsi="Arial"/>
                <w:sz w:val="14"/>
                <w:szCs w:val="14"/>
                <w:b w:val="1"/>
                <w:bCs w:val="1"/>
                <w:color w:val="auto"/>
                <w:w w:val="98"/>
              </w:rPr>
              <w:t>Amount</w:t>
            </w:r>
          </w:p>
        </w:tc>
        <w:tc>
          <w:tcPr>
            <w:tcW w:w="7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1"/>
              </w:rPr>
              <w:t>Segment</w:t>
            </w:r>
          </w:p>
        </w:tc>
        <w:tc>
          <w:tcPr>
            <w:tcW w:w="3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60" w:type="dxa"/>
            <w:vAlign w:val="bottom"/>
            <w:gridSpan w:val="2"/>
            <w:vMerge w:val="restart"/>
          </w:tcPr>
          <w:p>
            <w:pPr>
              <w:jc w:val="center"/>
              <w:ind w:right="320"/>
              <w:spacing w:after="0"/>
              <w:rPr>
                <w:sz w:val="20"/>
                <w:szCs w:val="20"/>
                <w:color w:val="auto"/>
              </w:rPr>
            </w:pPr>
            <w:r>
              <w:rPr>
                <w:rFonts w:ascii="Arial" w:cs="Arial" w:eastAsia="Arial" w:hAnsi="Arial"/>
                <w:sz w:val="14"/>
                <w:szCs w:val="14"/>
                <w:b w:val="1"/>
                <w:bCs w:val="1"/>
                <w:color w:val="auto"/>
                <w:w w:val="98"/>
              </w:rPr>
              <w:t>Amount</w:t>
            </w:r>
          </w:p>
        </w:tc>
        <w:tc>
          <w:tcPr>
            <w:tcW w:w="7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1"/>
              </w:rPr>
              <w:t>Segment</w:t>
            </w:r>
          </w:p>
        </w:tc>
        <w:tc>
          <w:tcPr>
            <w:tcW w:w="3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60" w:type="dxa"/>
            <w:vAlign w:val="bottom"/>
            <w:gridSpan w:val="3"/>
            <w:vMerge w:val="restart"/>
          </w:tcPr>
          <w:p>
            <w:pPr>
              <w:jc w:val="center"/>
              <w:ind w:right="320"/>
              <w:spacing w:after="0"/>
              <w:rPr>
                <w:sz w:val="20"/>
                <w:szCs w:val="20"/>
                <w:color w:val="auto"/>
              </w:rPr>
            </w:pPr>
            <w:r>
              <w:rPr>
                <w:rFonts w:ascii="Arial" w:cs="Arial" w:eastAsia="Arial" w:hAnsi="Arial"/>
                <w:sz w:val="14"/>
                <w:szCs w:val="14"/>
                <w:b w:val="1"/>
                <w:bCs w:val="1"/>
                <w:color w:val="auto"/>
                <w:w w:val="98"/>
              </w:rPr>
              <w:t>Amount</w:t>
            </w:r>
          </w:p>
        </w:tc>
        <w:tc>
          <w:tcPr>
            <w:tcW w:w="7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1"/>
              </w:rPr>
              <w:t>Segment</w:t>
            </w:r>
          </w:p>
        </w:tc>
        <w:tc>
          <w:tcPr>
            <w:tcW w:w="2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2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60" w:type="dxa"/>
            <w:vAlign w:val="bottom"/>
            <w:gridSpan w:val="2"/>
            <w:vMerge w:val="continue"/>
          </w:tcPr>
          <w:p>
            <w:pPr>
              <w:spacing w:after="0"/>
              <w:rPr>
                <w:sz w:val="12"/>
                <w:szCs w:val="12"/>
                <w:color w:val="auto"/>
              </w:rPr>
            </w:pPr>
          </w:p>
        </w:tc>
        <w:tc>
          <w:tcPr>
            <w:tcW w:w="7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1"/>
              </w:rPr>
              <w:t>Net Service</w:t>
            </w:r>
          </w:p>
        </w:tc>
        <w:tc>
          <w:tcPr>
            <w:tcW w:w="3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60" w:type="dxa"/>
            <w:vAlign w:val="bottom"/>
            <w:gridSpan w:val="3"/>
            <w:vMerge w:val="continue"/>
          </w:tcPr>
          <w:p>
            <w:pPr>
              <w:spacing w:after="0"/>
              <w:rPr>
                <w:sz w:val="12"/>
                <w:szCs w:val="12"/>
                <w:color w:val="auto"/>
              </w:rPr>
            </w:pPr>
          </w:p>
        </w:tc>
        <w:tc>
          <w:tcPr>
            <w:tcW w:w="7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1"/>
              </w:rPr>
              <w:t>Net Service</w:t>
            </w:r>
          </w:p>
        </w:tc>
        <w:tc>
          <w:tcPr>
            <w:tcW w:w="3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60" w:type="dxa"/>
            <w:vAlign w:val="bottom"/>
            <w:gridSpan w:val="2"/>
            <w:vMerge w:val="continue"/>
          </w:tcPr>
          <w:p>
            <w:pPr>
              <w:spacing w:after="0"/>
              <w:rPr>
                <w:sz w:val="12"/>
                <w:szCs w:val="12"/>
                <w:color w:val="auto"/>
              </w:rPr>
            </w:pPr>
          </w:p>
        </w:tc>
        <w:tc>
          <w:tcPr>
            <w:tcW w:w="7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1"/>
              </w:rPr>
              <w:t>Net Service</w:t>
            </w:r>
          </w:p>
        </w:tc>
        <w:tc>
          <w:tcPr>
            <w:tcW w:w="3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60" w:type="dxa"/>
            <w:vAlign w:val="bottom"/>
            <w:gridSpan w:val="3"/>
            <w:vMerge w:val="continue"/>
          </w:tcPr>
          <w:p>
            <w:pPr>
              <w:spacing w:after="0"/>
              <w:rPr>
                <w:sz w:val="12"/>
                <w:szCs w:val="12"/>
                <w:color w:val="auto"/>
              </w:rPr>
            </w:pPr>
          </w:p>
        </w:tc>
        <w:tc>
          <w:tcPr>
            <w:tcW w:w="7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1"/>
              </w:rPr>
              <w:t>Net Service</w:t>
            </w:r>
          </w:p>
        </w:tc>
        <w:tc>
          <w:tcPr>
            <w:tcW w:w="2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2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40" w:type="dxa"/>
            <w:vAlign w:val="bottom"/>
            <w:gridSpan w:val="3"/>
          </w:tcPr>
          <w:p>
            <w:pPr>
              <w:jc w:val="center"/>
              <w:ind w:right="140"/>
              <w:spacing w:after="0"/>
              <w:rPr>
                <w:sz w:val="20"/>
                <w:szCs w:val="20"/>
                <w:color w:val="auto"/>
              </w:rPr>
            </w:pPr>
            <w:r>
              <w:rPr>
                <w:rFonts w:ascii="Arial" w:cs="Arial" w:eastAsia="Arial" w:hAnsi="Arial"/>
                <w:sz w:val="14"/>
                <w:szCs w:val="14"/>
                <w:b w:val="1"/>
                <w:bCs w:val="1"/>
                <w:color w:val="auto"/>
                <w:w w:val="91"/>
              </w:rPr>
              <w:t>(in Thousands)</w:t>
            </w:r>
          </w:p>
        </w:tc>
        <w:tc>
          <w:tcPr>
            <w:tcW w:w="760" w:type="dxa"/>
            <w:vAlign w:val="bottom"/>
          </w:tcPr>
          <w:p>
            <w:pPr>
              <w:jc w:val="center"/>
              <w:spacing w:after="0"/>
              <w:rPr>
                <w:sz w:val="20"/>
                <w:szCs w:val="20"/>
                <w:color w:val="auto"/>
              </w:rPr>
            </w:pPr>
            <w:r>
              <w:rPr>
                <w:rFonts w:ascii="Arial" w:cs="Arial" w:eastAsia="Arial" w:hAnsi="Arial"/>
                <w:sz w:val="14"/>
                <w:szCs w:val="14"/>
                <w:b w:val="1"/>
                <w:bCs w:val="1"/>
                <w:color w:val="auto"/>
                <w:w w:val="87"/>
              </w:rPr>
              <w:t>Revenues</w:t>
            </w:r>
          </w:p>
        </w:tc>
        <w:tc>
          <w:tcPr>
            <w:tcW w:w="300" w:type="dxa"/>
            <w:vAlign w:val="bottom"/>
          </w:tcPr>
          <w:p>
            <w:pPr>
              <w:spacing w:after="0"/>
              <w:rPr>
                <w:sz w:val="14"/>
                <w:szCs w:val="14"/>
                <w:color w:val="auto"/>
              </w:rPr>
            </w:pPr>
          </w:p>
        </w:tc>
        <w:tc>
          <w:tcPr>
            <w:tcW w:w="1140" w:type="dxa"/>
            <w:vAlign w:val="bottom"/>
            <w:gridSpan w:val="4"/>
          </w:tcPr>
          <w:p>
            <w:pPr>
              <w:jc w:val="center"/>
              <w:ind w:right="140"/>
              <w:spacing w:after="0"/>
              <w:rPr>
                <w:sz w:val="20"/>
                <w:szCs w:val="20"/>
                <w:color w:val="auto"/>
              </w:rPr>
            </w:pPr>
            <w:r>
              <w:rPr>
                <w:rFonts w:ascii="Arial" w:cs="Arial" w:eastAsia="Arial" w:hAnsi="Arial"/>
                <w:sz w:val="14"/>
                <w:szCs w:val="14"/>
                <w:b w:val="1"/>
                <w:bCs w:val="1"/>
                <w:color w:val="auto"/>
                <w:w w:val="91"/>
              </w:rPr>
              <w:t>(in Thousands)</w:t>
            </w:r>
          </w:p>
        </w:tc>
        <w:tc>
          <w:tcPr>
            <w:tcW w:w="760" w:type="dxa"/>
            <w:vAlign w:val="bottom"/>
          </w:tcPr>
          <w:p>
            <w:pPr>
              <w:jc w:val="center"/>
              <w:spacing w:after="0"/>
              <w:rPr>
                <w:sz w:val="20"/>
                <w:szCs w:val="20"/>
                <w:color w:val="auto"/>
              </w:rPr>
            </w:pPr>
            <w:r>
              <w:rPr>
                <w:rFonts w:ascii="Arial" w:cs="Arial" w:eastAsia="Arial" w:hAnsi="Arial"/>
                <w:sz w:val="14"/>
                <w:szCs w:val="14"/>
                <w:b w:val="1"/>
                <w:bCs w:val="1"/>
                <w:color w:val="auto"/>
                <w:w w:val="87"/>
              </w:rPr>
              <w:t>Revenues</w:t>
            </w:r>
          </w:p>
        </w:tc>
        <w:tc>
          <w:tcPr>
            <w:tcW w:w="300" w:type="dxa"/>
            <w:vAlign w:val="bottom"/>
          </w:tcPr>
          <w:p>
            <w:pPr>
              <w:spacing w:after="0"/>
              <w:rPr>
                <w:sz w:val="14"/>
                <w:szCs w:val="14"/>
                <w:color w:val="auto"/>
              </w:rPr>
            </w:pPr>
          </w:p>
        </w:tc>
        <w:tc>
          <w:tcPr>
            <w:tcW w:w="1140" w:type="dxa"/>
            <w:vAlign w:val="bottom"/>
            <w:gridSpan w:val="3"/>
          </w:tcPr>
          <w:p>
            <w:pPr>
              <w:jc w:val="center"/>
              <w:ind w:right="140"/>
              <w:spacing w:after="0"/>
              <w:rPr>
                <w:sz w:val="20"/>
                <w:szCs w:val="20"/>
                <w:color w:val="auto"/>
              </w:rPr>
            </w:pPr>
            <w:r>
              <w:rPr>
                <w:rFonts w:ascii="Arial" w:cs="Arial" w:eastAsia="Arial" w:hAnsi="Arial"/>
                <w:sz w:val="14"/>
                <w:szCs w:val="14"/>
                <w:b w:val="1"/>
                <w:bCs w:val="1"/>
                <w:color w:val="auto"/>
                <w:w w:val="91"/>
              </w:rPr>
              <w:t>(in Thousands)</w:t>
            </w:r>
          </w:p>
        </w:tc>
        <w:tc>
          <w:tcPr>
            <w:tcW w:w="760" w:type="dxa"/>
            <w:vAlign w:val="bottom"/>
          </w:tcPr>
          <w:p>
            <w:pPr>
              <w:jc w:val="center"/>
              <w:spacing w:after="0"/>
              <w:rPr>
                <w:sz w:val="20"/>
                <w:szCs w:val="20"/>
                <w:color w:val="auto"/>
              </w:rPr>
            </w:pPr>
            <w:r>
              <w:rPr>
                <w:rFonts w:ascii="Arial" w:cs="Arial" w:eastAsia="Arial" w:hAnsi="Arial"/>
                <w:sz w:val="14"/>
                <w:szCs w:val="14"/>
                <w:b w:val="1"/>
                <w:bCs w:val="1"/>
                <w:color w:val="auto"/>
                <w:w w:val="87"/>
              </w:rPr>
              <w:t>Revenues</w:t>
            </w:r>
          </w:p>
        </w:tc>
        <w:tc>
          <w:tcPr>
            <w:tcW w:w="300" w:type="dxa"/>
            <w:vAlign w:val="bottom"/>
          </w:tcPr>
          <w:p>
            <w:pPr>
              <w:spacing w:after="0"/>
              <w:rPr>
                <w:sz w:val="14"/>
                <w:szCs w:val="14"/>
                <w:color w:val="auto"/>
              </w:rPr>
            </w:pPr>
          </w:p>
        </w:tc>
        <w:tc>
          <w:tcPr>
            <w:tcW w:w="1140" w:type="dxa"/>
            <w:vAlign w:val="bottom"/>
            <w:gridSpan w:val="4"/>
          </w:tcPr>
          <w:p>
            <w:pPr>
              <w:jc w:val="center"/>
              <w:ind w:right="140"/>
              <w:spacing w:after="0"/>
              <w:rPr>
                <w:sz w:val="20"/>
                <w:szCs w:val="20"/>
                <w:color w:val="auto"/>
              </w:rPr>
            </w:pPr>
            <w:r>
              <w:rPr>
                <w:rFonts w:ascii="Arial" w:cs="Arial" w:eastAsia="Arial" w:hAnsi="Arial"/>
                <w:sz w:val="14"/>
                <w:szCs w:val="14"/>
                <w:b w:val="1"/>
                <w:bCs w:val="1"/>
                <w:color w:val="auto"/>
                <w:w w:val="91"/>
              </w:rPr>
              <w:t>(in Thousands)</w:t>
            </w:r>
          </w:p>
        </w:tc>
        <w:tc>
          <w:tcPr>
            <w:tcW w:w="760" w:type="dxa"/>
            <w:vAlign w:val="bottom"/>
          </w:tcPr>
          <w:p>
            <w:pPr>
              <w:jc w:val="center"/>
              <w:spacing w:after="0"/>
              <w:rPr>
                <w:sz w:val="20"/>
                <w:szCs w:val="20"/>
                <w:color w:val="auto"/>
              </w:rPr>
            </w:pPr>
            <w:r>
              <w:rPr>
                <w:rFonts w:ascii="Arial" w:cs="Arial" w:eastAsia="Arial" w:hAnsi="Arial"/>
                <w:sz w:val="14"/>
                <w:szCs w:val="14"/>
                <w:b w:val="1"/>
                <w:bCs w:val="1"/>
                <w:color w:val="auto"/>
                <w:w w:val="87"/>
              </w:rPr>
              <w:t>Revenues</w:t>
            </w:r>
          </w:p>
        </w:tc>
        <w:tc>
          <w:tcPr>
            <w:tcW w:w="2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9"/>
        </w:trPr>
        <w:tc>
          <w:tcPr>
            <w:tcW w:w="22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State, local and other</w:t>
            </w:r>
          </w:p>
        </w:tc>
        <w:tc>
          <w:tcPr>
            <w:tcW w:w="240" w:type="dxa"/>
            <w:vAlign w:val="bottom"/>
            <w:tcBorders>
              <w:top w:val="single" w:sz="8" w:color="CFF0FC"/>
            </w:tcBorders>
            <w:shd w:val="clear" w:color="auto" w:fill="CFF0FC"/>
          </w:tcPr>
          <w:p>
            <w:pPr>
              <w:spacing w:after="0"/>
              <w:rPr>
                <w:sz w:val="18"/>
                <w:szCs w:val="18"/>
                <w:color w:val="auto"/>
              </w:rPr>
            </w:pPr>
          </w:p>
        </w:tc>
        <w:tc>
          <w:tcPr>
            <w:tcW w:w="180" w:type="dxa"/>
            <w:vAlign w:val="bottom"/>
            <w:tcBorders>
              <w:top w:val="single" w:sz="8" w:color="auto"/>
            </w:tcBorders>
            <w:shd w:val="clear" w:color="auto" w:fill="CFF0FC"/>
          </w:tcPr>
          <w:p>
            <w:pPr>
              <w:spacing w:after="0"/>
              <w:rPr>
                <w:sz w:val="18"/>
                <w:szCs w:val="18"/>
                <w:color w:val="auto"/>
              </w:rPr>
            </w:pPr>
          </w:p>
        </w:tc>
        <w:tc>
          <w:tcPr>
            <w:tcW w:w="820" w:type="dxa"/>
            <w:vAlign w:val="bottom"/>
            <w:tcBorders>
              <w:top w:val="single" w:sz="8" w:color="auto"/>
            </w:tcBorders>
            <w:shd w:val="clear" w:color="auto" w:fill="CFF0FC"/>
          </w:tcPr>
          <w:p>
            <w:pPr>
              <w:spacing w:after="0"/>
              <w:rPr>
                <w:sz w:val="18"/>
                <w:szCs w:val="18"/>
                <w:color w:val="auto"/>
              </w:rPr>
            </w:pPr>
          </w:p>
        </w:tc>
        <w:tc>
          <w:tcPr>
            <w:tcW w:w="140" w:type="dxa"/>
            <w:vAlign w:val="bottom"/>
            <w:tcBorders>
              <w:top w:val="single" w:sz="8" w:color="CFF0FC"/>
            </w:tcBorders>
            <w:shd w:val="clear" w:color="auto" w:fill="CFF0FC"/>
          </w:tcPr>
          <w:p>
            <w:pPr>
              <w:spacing w:after="0"/>
              <w:rPr>
                <w:sz w:val="18"/>
                <w:szCs w:val="18"/>
                <w:color w:val="auto"/>
              </w:rPr>
            </w:pPr>
          </w:p>
        </w:tc>
        <w:tc>
          <w:tcPr>
            <w:tcW w:w="760" w:type="dxa"/>
            <w:vAlign w:val="bottom"/>
            <w:tcBorders>
              <w:top w:val="single" w:sz="8" w:color="auto"/>
            </w:tcBorders>
            <w:shd w:val="clear" w:color="auto" w:fill="CFF0FC"/>
          </w:tcPr>
          <w:p>
            <w:pPr>
              <w:spacing w:after="0"/>
              <w:rPr>
                <w:sz w:val="18"/>
                <w:szCs w:val="18"/>
                <w:color w:val="auto"/>
              </w:rPr>
            </w:pPr>
          </w:p>
        </w:tc>
        <w:tc>
          <w:tcPr>
            <w:tcW w:w="300" w:type="dxa"/>
            <w:vAlign w:val="bottom"/>
            <w:tcBorders>
              <w:top w:val="single" w:sz="8" w:color="CFF0FC"/>
            </w:tcBorders>
            <w:shd w:val="clear" w:color="auto" w:fill="CFF0FC"/>
          </w:tcPr>
          <w:p>
            <w:pPr>
              <w:spacing w:after="0"/>
              <w:rPr>
                <w:sz w:val="18"/>
                <w:szCs w:val="18"/>
                <w:color w:val="auto"/>
              </w:rPr>
            </w:pPr>
          </w:p>
        </w:tc>
        <w:tc>
          <w:tcPr>
            <w:tcW w:w="180" w:type="dxa"/>
            <w:vAlign w:val="bottom"/>
            <w:tcBorders>
              <w:top w:val="single" w:sz="8" w:color="auto"/>
            </w:tcBorders>
            <w:shd w:val="clear" w:color="auto" w:fill="CFF0FC"/>
          </w:tcPr>
          <w:p>
            <w:pPr>
              <w:spacing w:after="0"/>
              <w:rPr>
                <w:sz w:val="18"/>
                <w:szCs w:val="18"/>
                <w:color w:val="auto"/>
              </w:rPr>
            </w:pPr>
          </w:p>
        </w:tc>
        <w:tc>
          <w:tcPr>
            <w:tcW w:w="820" w:type="dxa"/>
            <w:vAlign w:val="bottom"/>
            <w:tcBorders>
              <w:top w:val="single" w:sz="8" w:color="auto"/>
            </w:tcBorders>
            <w:shd w:val="clear" w:color="auto" w:fill="CFF0FC"/>
          </w:tcPr>
          <w:p>
            <w:pPr>
              <w:spacing w:after="0"/>
              <w:rPr>
                <w:sz w:val="18"/>
                <w:szCs w:val="18"/>
                <w:color w:val="auto"/>
              </w:rPr>
            </w:pPr>
          </w:p>
        </w:tc>
        <w:tc>
          <w:tcPr>
            <w:tcW w:w="80" w:type="dxa"/>
            <w:vAlign w:val="bottom"/>
            <w:tcBorders>
              <w:top w:val="single" w:sz="8" w:color="CFF0FC"/>
            </w:tcBorders>
            <w:shd w:val="clear" w:color="auto" w:fill="CFF0FC"/>
          </w:tcPr>
          <w:p>
            <w:pPr>
              <w:spacing w:after="0"/>
              <w:rPr>
                <w:sz w:val="18"/>
                <w:szCs w:val="18"/>
                <w:color w:val="auto"/>
              </w:rPr>
            </w:pPr>
          </w:p>
        </w:tc>
        <w:tc>
          <w:tcPr>
            <w:tcW w:w="60" w:type="dxa"/>
            <w:vAlign w:val="bottom"/>
            <w:tcBorders>
              <w:top w:val="single" w:sz="8" w:color="auto"/>
            </w:tcBorders>
            <w:shd w:val="clear" w:color="auto" w:fill="CFF0FC"/>
          </w:tcPr>
          <w:p>
            <w:pPr>
              <w:spacing w:after="0"/>
              <w:rPr>
                <w:sz w:val="18"/>
                <w:szCs w:val="18"/>
                <w:color w:val="auto"/>
              </w:rPr>
            </w:pPr>
          </w:p>
        </w:tc>
        <w:tc>
          <w:tcPr>
            <w:tcW w:w="760" w:type="dxa"/>
            <w:vAlign w:val="bottom"/>
            <w:tcBorders>
              <w:top w:val="single" w:sz="8" w:color="auto"/>
            </w:tcBorders>
            <w:shd w:val="clear" w:color="auto" w:fill="CFF0FC"/>
          </w:tcPr>
          <w:p>
            <w:pPr>
              <w:spacing w:after="0"/>
              <w:rPr>
                <w:sz w:val="18"/>
                <w:szCs w:val="18"/>
                <w:color w:val="auto"/>
              </w:rPr>
            </w:pPr>
          </w:p>
        </w:tc>
        <w:tc>
          <w:tcPr>
            <w:tcW w:w="300" w:type="dxa"/>
            <w:vAlign w:val="bottom"/>
            <w:tcBorders>
              <w:top w:val="single" w:sz="8" w:color="CFF0FC"/>
            </w:tcBorders>
            <w:shd w:val="clear" w:color="auto" w:fill="CFF0FC"/>
          </w:tcPr>
          <w:p>
            <w:pPr>
              <w:spacing w:after="0"/>
              <w:rPr>
                <w:sz w:val="18"/>
                <w:szCs w:val="18"/>
                <w:color w:val="auto"/>
              </w:rPr>
            </w:pPr>
          </w:p>
        </w:tc>
        <w:tc>
          <w:tcPr>
            <w:tcW w:w="180" w:type="dxa"/>
            <w:vAlign w:val="bottom"/>
            <w:tcBorders>
              <w:top w:val="single" w:sz="8" w:color="auto"/>
            </w:tcBorders>
            <w:shd w:val="clear" w:color="auto" w:fill="CFF0FC"/>
          </w:tcPr>
          <w:p>
            <w:pPr>
              <w:spacing w:after="0"/>
              <w:rPr>
                <w:sz w:val="18"/>
                <w:szCs w:val="18"/>
                <w:color w:val="auto"/>
              </w:rPr>
            </w:pPr>
          </w:p>
        </w:tc>
        <w:tc>
          <w:tcPr>
            <w:tcW w:w="820" w:type="dxa"/>
            <w:vAlign w:val="bottom"/>
            <w:tcBorders>
              <w:top w:val="single" w:sz="8" w:color="auto"/>
            </w:tcBorders>
            <w:shd w:val="clear" w:color="auto" w:fill="CFF0FC"/>
          </w:tcPr>
          <w:p>
            <w:pPr>
              <w:spacing w:after="0"/>
              <w:rPr>
                <w:sz w:val="18"/>
                <w:szCs w:val="18"/>
                <w:color w:val="auto"/>
              </w:rPr>
            </w:pPr>
          </w:p>
        </w:tc>
        <w:tc>
          <w:tcPr>
            <w:tcW w:w="140" w:type="dxa"/>
            <w:vAlign w:val="bottom"/>
            <w:tcBorders>
              <w:top w:val="single" w:sz="8" w:color="CFF0FC"/>
            </w:tcBorders>
            <w:shd w:val="clear" w:color="auto" w:fill="CFF0FC"/>
          </w:tcPr>
          <w:p>
            <w:pPr>
              <w:spacing w:after="0"/>
              <w:rPr>
                <w:sz w:val="18"/>
                <w:szCs w:val="18"/>
                <w:color w:val="auto"/>
              </w:rPr>
            </w:pPr>
          </w:p>
        </w:tc>
        <w:tc>
          <w:tcPr>
            <w:tcW w:w="760" w:type="dxa"/>
            <w:vAlign w:val="bottom"/>
            <w:tcBorders>
              <w:top w:val="single" w:sz="8" w:color="auto"/>
            </w:tcBorders>
            <w:shd w:val="clear" w:color="auto" w:fill="CFF0FC"/>
          </w:tcPr>
          <w:p>
            <w:pPr>
              <w:spacing w:after="0"/>
              <w:rPr>
                <w:sz w:val="18"/>
                <w:szCs w:val="18"/>
                <w:color w:val="auto"/>
              </w:rPr>
            </w:pPr>
          </w:p>
        </w:tc>
        <w:tc>
          <w:tcPr>
            <w:tcW w:w="300" w:type="dxa"/>
            <w:vAlign w:val="bottom"/>
            <w:tcBorders>
              <w:top w:val="single" w:sz="8" w:color="CFF0FC"/>
            </w:tcBorders>
            <w:shd w:val="clear" w:color="auto" w:fill="CFF0FC"/>
          </w:tcPr>
          <w:p>
            <w:pPr>
              <w:spacing w:after="0"/>
              <w:rPr>
                <w:sz w:val="18"/>
                <w:szCs w:val="18"/>
                <w:color w:val="auto"/>
              </w:rPr>
            </w:pPr>
          </w:p>
        </w:tc>
        <w:tc>
          <w:tcPr>
            <w:tcW w:w="180" w:type="dxa"/>
            <w:vAlign w:val="bottom"/>
            <w:tcBorders>
              <w:top w:val="single" w:sz="8" w:color="auto"/>
            </w:tcBorders>
            <w:shd w:val="clear" w:color="auto" w:fill="CFF0FC"/>
          </w:tcPr>
          <w:p>
            <w:pPr>
              <w:spacing w:after="0"/>
              <w:rPr>
                <w:sz w:val="18"/>
                <w:szCs w:val="18"/>
                <w:color w:val="auto"/>
              </w:rPr>
            </w:pPr>
          </w:p>
        </w:tc>
        <w:tc>
          <w:tcPr>
            <w:tcW w:w="820" w:type="dxa"/>
            <w:vAlign w:val="bottom"/>
            <w:tcBorders>
              <w:top w:val="single" w:sz="8" w:color="auto"/>
            </w:tcBorders>
            <w:shd w:val="clear" w:color="auto" w:fill="CFF0FC"/>
          </w:tcPr>
          <w:p>
            <w:pPr>
              <w:spacing w:after="0"/>
              <w:rPr>
                <w:sz w:val="18"/>
                <w:szCs w:val="18"/>
                <w:color w:val="auto"/>
              </w:rPr>
            </w:pPr>
          </w:p>
        </w:tc>
        <w:tc>
          <w:tcPr>
            <w:tcW w:w="80" w:type="dxa"/>
            <w:vAlign w:val="bottom"/>
            <w:tcBorders>
              <w:top w:val="single" w:sz="8" w:color="CFF0FC"/>
            </w:tcBorders>
            <w:shd w:val="clear" w:color="auto" w:fill="CFF0FC"/>
          </w:tcPr>
          <w:p>
            <w:pPr>
              <w:spacing w:after="0"/>
              <w:rPr>
                <w:sz w:val="18"/>
                <w:szCs w:val="18"/>
                <w:color w:val="auto"/>
              </w:rPr>
            </w:pPr>
          </w:p>
        </w:tc>
        <w:tc>
          <w:tcPr>
            <w:tcW w:w="60" w:type="dxa"/>
            <w:vAlign w:val="bottom"/>
            <w:tcBorders>
              <w:top w:val="single" w:sz="8" w:color="auto"/>
            </w:tcBorders>
            <w:shd w:val="clear" w:color="auto" w:fill="CFF0FC"/>
          </w:tcPr>
          <w:p>
            <w:pPr>
              <w:spacing w:after="0"/>
              <w:rPr>
                <w:sz w:val="18"/>
                <w:szCs w:val="18"/>
                <w:color w:val="auto"/>
              </w:rPr>
            </w:pPr>
          </w:p>
        </w:tc>
        <w:tc>
          <w:tcPr>
            <w:tcW w:w="760" w:type="dxa"/>
            <w:vAlign w:val="bottom"/>
            <w:tcBorders>
              <w:top w:val="single" w:sz="8" w:color="auto"/>
            </w:tcBorders>
            <w:shd w:val="clear" w:color="auto" w:fill="CFF0FC"/>
          </w:tcPr>
          <w:p>
            <w:pPr>
              <w:spacing w:after="0"/>
              <w:rPr>
                <w:sz w:val="18"/>
                <w:szCs w:val="18"/>
                <w:color w:val="auto"/>
              </w:rPr>
            </w:pPr>
          </w:p>
        </w:tc>
        <w:tc>
          <w:tcPr>
            <w:tcW w:w="240" w:type="dxa"/>
            <w:vAlign w:val="bottom"/>
            <w:tcBorders>
              <w:top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260" w:type="dxa"/>
            <w:vAlign w:val="bottom"/>
            <w:shd w:val="clear" w:color="auto" w:fill="CFF0FC"/>
          </w:tcPr>
          <w:p>
            <w:pPr>
              <w:ind w:left="140"/>
              <w:spacing w:after="0"/>
              <w:rPr>
                <w:sz w:val="20"/>
                <w:szCs w:val="20"/>
                <w:color w:val="auto"/>
              </w:rPr>
            </w:pPr>
            <w:r>
              <w:rPr>
                <w:rFonts w:ascii="Arial" w:cs="Arial" w:eastAsia="Arial" w:hAnsi="Arial"/>
                <w:sz w:val="18"/>
                <w:szCs w:val="18"/>
                <w:color w:val="auto"/>
              </w:rPr>
              <w:t>governmental programs</w:t>
            </w:r>
          </w:p>
        </w:tc>
        <w:tc>
          <w:tcPr>
            <w:tcW w:w="420" w:type="dxa"/>
            <w:vAlign w:val="bottom"/>
            <w:gridSpan w:val="2"/>
            <w:shd w:val="clear" w:color="auto" w:fill="CFF0FC"/>
          </w:tcPr>
          <w:p>
            <w:pPr>
              <w:jc w:val="right"/>
              <w:ind w:right="8"/>
              <w:spacing w:after="0"/>
              <w:rPr>
                <w:sz w:val="20"/>
                <w:szCs w:val="20"/>
                <w:color w:val="auto"/>
              </w:rPr>
            </w:pPr>
            <w:r>
              <w:rPr>
                <w:rFonts w:ascii="Arial" w:cs="Arial" w:eastAsia="Arial" w:hAnsi="Arial"/>
                <w:sz w:val="18"/>
                <w:szCs w:val="18"/>
                <w:color w:val="auto"/>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78,054</w:t>
            </w:r>
          </w:p>
        </w:tc>
        <w:tc>
          <w:tcPr>
            <w:tcW w:w="140" w:type="dxa"/>
            <w:vAlign w:val="bottom"/>
            <w:shd w:val="clear" w:color="auto" w:fill="CFF0FC"/>
          </w:tcPr>
          <w:p>
            <w:pPr>
              <w:spacing w:after="0"/>
              <w:rPr>
                <w:sz w:val="20"/>
                <w:szCs w:val="20"/>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50.0</w:t>
            </w:r>
          </w:p>
        </w:tc>
        <w:tc>
          <w:tcPr>
            <w:tcW w:w="480" w:type="dxa"/>
            <w:vAlign w:val="bottom"/>
            <w:gridSpan w:val="2"/>
            <w:shd w:val="clear" w:color="auto" w:fill="CFF0FC"/>
          </w:tcPr>
          <w:p>
            <w:pPr>
              <w:jc w:val="right"/>
              <w:ind w:right="8"/>
              <w:spacing w:after="0"/>
              <w:rPr>
                <w:sz w:val="20"/>
                <w:szCs w:val="20"/>
                <w:color w:val="auto"/>
              </w:rPr>
            </w:pPr>
            <w:r>
              <w:rPr>
                <w:rFonts w:ascii="Arial" w:cs="Arial" w:eastAsia="Arial" w:hAnsi="Arial"/>
                <w:sz w:val="18"/>
                <w:szCs w:val="18"/>
                <w:color w:val="auto"/>
              </w:rPr>
              <w:t>% $</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74,649</w:t>
            </w:r>
          </w:p>
        </w:tc>
        <w:tc>
          <w:tcPr>
            <w:tcW w:w="80" w:type="dxa"/>
            <w:vAlign w:val="bottom"/>
            <w:shd w:val="clear" w:color="auto" w:fill="CFF0FC"/>
          </w:tcPr>
          <w:p>
            <w:pPr>
              <w:spacing w:after="0"/>
              <w:rPr>
                <w:sz w:val="20"/>
                <w:szCs w:val="20"/>
                <w:color w:val="auto"/>
              </w:rPr>
            </w:pPr>
          </w:p>
        </w:tc>
        <w:tc>
          <w:tcPr>
            <w:tcW w:w="60" w:type="dxa"/>
            <w:vAlign w:val="bottom"/>
            <w:shd w:val="clear" w:color="auto" w:fill="CFF0FC"/>
          </w:tcPr>
          <w:p>
            <w:pPr>
              <w:spacing w:after="0"/>
              <w:rPr>
                <w:sz w:val="20"/>
                <w:szCs w:val="20"/>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54.2</w:t>
            </w:r>
          </w:p>
        </w:tc>
        <w:tc>
          <w:tcPr>
            <w:tcW w:w="480" w:type="dxa"/>
            <w:vAlign w:val="bottom"/>
            <w:gridSpan w:val="2"/>
            <w:shd w:val="clear" w:color="auto" w:fill="CFF0FC"/>
          </w:tcPr>
          <w:p>
            <w:pPr>
              <w:jc w:val="right"/>
              <w:ind w:right="8"/>
              <w:spacing w:after="0"/>
              <w:rPr>
                <w:sz w:val="20"/>
                <w:szCs w:val="20"/>
                <w:color w:val="auto"/>
              </w:rPr>
            </w:pPr>
            <w:r>
              <w:rPr>
                <w:rFonts w:ascii="Arial" w:cs="Arial" w:eastAsia="Arial" w:hAnsi="Arial"/>
                <w:sz w:val="18"/>
                <w:szCs w:val="18"/>
                <w:color w:val="auto"/>
              </w:rPr>
              <w:t>% $</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157,398</w:t>
            </w:r>
          </w:p>
        </w:tc>
        <w:tc>
          <w:tcPr>
            <w:tcW w:w="140" w:type="dxa"/>
            <w:vAlign w:val="bottom"/>
            <w:shd w:val="clear" w:color="auto" w:fill="CFF0FC"/>
          </w:tcPr>
          <w:p>
            <w:pPr>
              <w:spacing w:after="0"/>
              <w:rPr>
                <w:sz w:val="20"/>
                <w:szCs w:val="20"/>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49.7</w:t>
            </w:r>
          </w:p>
        </w:tc>
        <w:tc>
          <w:tcPr>
            <w:tcW w:w="480" w:type="dxa"/>
            <w:vAlign w:val="bottom"/>
            <w:gridSpan w:val="2"/>
            <w:shd w:val="clear" w:color="auto" w:fill="CFF0FC"/>
          </w:tcPr>
          <w:p>
            <w:pPr>
              <w:jc w:val="right"/>
              <w:ind w:right="8"/>
              <w:spacing w:after="0"/>
              <w:rPr>
                <w:sz w:val="20"/>
                <w:szCs w:val="20"/>
                <w:color w:val="auto"/>
              </w:rPr>
            </w:pPr>
            <w:r>
              <w:rPr>
                <w:rFonts w:ascii="Arial" w:cs="Arial" w:eastAsia="Arial" w:hAnsi="Arial"/>
                <w:sz w:val="18"/>
                <w:szCs w:val="18"/>
                <w:color w:val="auto"/>
              </w:rPr>
              <w:t>% $</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146,290</w:t>
            </w:r>
          </w:p>
        </w:tc>
        <w:tc>
          <w:tcPr>
            <w:tcW w:w="80" w:type="dxa"/>
            <w:vAlign w:val="bottom"/>
            <w:shd w:val="clear" w:color="auto" w:fill="CFF0FC"/>
          </w:tcPr>
          <w:p>
            <w:pPr>
              <w:spacing w:after="0"/>
              <w:rPr>
                <w:sz w:val="20"/>
                <w:szCs w:val="20"/>
                <w:color w:val="auto"/>
              </w:rPr>
            </w:pPr>
          </w:p>
        </w:tc>
        <w:tc>
          <w:tcPr>
            <w:tcW w:w="60" w:type="dxa"/>
            <w:vAlign w:val="bottom"/>
            <w:shd w:val="clear" w:color="auto" w:fill="CFF0FC"/>
          </w:tcPr>
          <w:p>
            <w:pPr>
              <w:spacing w:after="0"/>
              <w:rPr>
                <w:sz w:val="20"/>
                <w:szCs w:val="20"/>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55.1</w:t>
            </w:r>
          </w:p>
        </w:tc>
        <w:tc>
          <w:tcPr>
            <w:tcW w:w="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260" w:type="dxa"/>
            <w:vAlign w:val="bottom"/>
          </w:tcPr>
          <w:p>
            <w:pPr>
              <w:spacing w:after="0"/>
              <w:rPr>
                <w:sz w:val="20"/>
                <w:szCs w:val="20"/>
                <w:color w:val="auto"/>
              </w:rPr>
            </w:pPr>
            <w:r>
              <w:rPr>
                <w:rFonts w:ascii="Arial" w:cs="Arial" w:eastAsia="Arial" w:hAnsi="Arial"/>
                <w:sz w:val="18"/>
                <w:szCs w:val="18"/>
                <w:color w:val="auto"/>
                <w:w w:val="98"/>
              </w:rPr>
              <w:t>Managed care organizations</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69,282</w:t>
            </w:r>
          </w:p>
        </w:tc>
        <w:tc>
          <w:tcPr>
            <w:tcW w:w="1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44.3</w:t>
            </w:r>
          </w:p>
        </w:tc>
        <w:tc>
          <w:tcPr>
            <w:tcW w:w="3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53,823</w:t>
            </w: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39.2</w:t>
            </w:r>
          </w:p>
        </w:tc>
        <w:tc>
          <w:tcPr>
            <w:tcW w:w="3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141,393</w:t>
            </w:r>
          </w:p>
        </w:tc>
        <w:tc>
          <w:tcPr>
            <w:tcW w:w="1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44.6</w:t>
            </w:r>
          </w:p>
        </w:tc>
        <w:tc>
          <w:tcPr>
            <w:tcW w:w="3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101,550</w:t>
            </w: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38.3</w:t>
            </w:r>
          </w:p>
        </w:tc>
        <w:tc>
          <w:tcPr>
            <w:tcW w:w="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260" w:type="dxa"/>
            <w:vAlign w:val="bottom"/>
            <w:shd w:val="clear" w:color="auto" w:fill="CFF0FC"/>
          </w:tcPr>
          <w:p>
            <w:pPr>
              <w:spacing w:after="0"/>
              <w:rPr>
                <w:sz w:val="20"/>
                <w:szCs w:val="20"/>
                <w:color w:val="auto"/>
              </w:rPr>
            </w:pPr>
            <w:r>
              <w:rPr>
                <w:rFonts w:ascii="Arial" w:cs="Arial" w:eastAsia="Arial" w:hAnsi="Arial"/>
                <w:sz w:val="18"/>
                <w:szCs w:val="18"/>
                <w:color w:val="auto"/>
              </w:rPr>
              <w:t>Private pay</w:t>
            </w:r>
          </w:p>
        </w:tc>
        <w:tc>
          <w:tcPr>
            <w:tcW w:w="2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4,986</w:t>
            </w:r>
          </w:p>
        </w:tc>
        <w:tc>
          <w:tcPr>
            <w:tcW w:w="14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3.2</w:t>
            </w:r>
          </w:p>
        </w:tc>
        <w:tc>
          <w:tcPr>
            <w:tcW w:w="3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5,202</w:t>
            </w:r>
          </w:p>
        </w:tc>
        <w:tc>
          <w:tcPr>
            <w:tcW w:w="8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3.8</w:t>
            </w:r>
          </w:p>
        </w:tc>
        <w:tc>
          <w:tcPr>
            <w:tcW w:w="3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10,257</w:t>
            </w:r>
          </w:p>
        </w:tc>
        <w:tc>
          <w:tcPr>
            <w:tcW w:w="14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3.2</w:t>
            </w:r>
          </w:p>
        </w:tc>
        <w:tc>
          <w:tcPr>
            <w:tcW w:w="3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10,192</w:t>
            </w:r>
          </w:p>
        </w:tc>
        <w:tc>
          <w:tcPr>
            <w:tcW w:w="8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3.8</w:t>
            </w:r>
          </w:p>
        </w:tc>
        <w:tc>
          <w:tcPr>
            <w:tcW w:w="24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260" w:type="dxa"/>
            <w:vAlign w:val="bottom"/>
          </w:tcPr>
          <w:p>
            <w:pPr>
              <w:spacing w:after="0"/>
              <w:rPr>
                <w:sz w:val="20"/>
                <w:szCs w:val="20"/>
                <w:color w:val="auto"/>
              </w:rPr>
            </w:pPr>
            <w:r>
              <w:rPr>
                <w:rFonts w:ascii="Arial" w:cs="Arial" w:eastAsia="Arial" w:hAnsi="Arial"/>
                <w:sz w:val="18"/>
                <w:szCs w:val="18"/>
                <w:color w:val="auto"/>
              </w:rPr>
              <w:t>Commercial insurance</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2,394</w:t>
            </w:r>
          </w:p>
        </w:tc>
        <w:tc>
          <w:tcPr>
            <w:tcW w:w="1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1.5</w:t>
            </w:r>
          </w:p>
        </w:tc>
        <w:tc>
          <w:tcPr>
            <w:tcW w:w="3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2,029</w:t>
            </w: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1.5</w:t>
            </w:r>
          </w:p>
        </w:tc>
        <w:tc>
          <w:tcPr>
            <w:tcW w:w="3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4,970</w:t>
            </w:r>
          </w:p>
        </w:tc>
        <w:tc>
          <w:tcPr>
            <w:tcW w:w="1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1.6</w:t>
            </w:r>
          </w:p>
        </w:tc>
        <w:tc>
          <w:tcPr>
            <w:tcW w:w="3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3,885</w:t>
            </w: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1.5</w:t>
            </w:r>
          </w:p>
        </w:tc>
        <w:tc>
          <w:tcPr>
            <w:tcW w:w="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260" w:type="dxa"/>
            <w:vAlign w:val="bottom"/>
            <w:shd w:val="clear" w:color="auto" w:fill="CFF0FC"/>
          </w:tcPr>
          <w:p>
            <w:pPr>
              <w:spacing w:after="0"/>
              <w:rPr>
                <w:sz w:val="20"/>
                <w:szCs w:val="20"/>
                <w:color w:val="auto"/>
              </w:rPr>
            </w:pPr>
            <w:r>
              <w:rPr>
                <w:rFonts w:ascii="Arial" w:cs="Arial" w:eastAsia="Arial" w:hAnsi="Arial"/>
                <w:sz w:val="18"/>
                <w:szCs w:val="18"/>
                <w:color w:val="auto"/>
              </w:rPr>
              <w:t>Other</w:t>
            </w:r>
          </w:p>
        </w:tc>
        <w:tc>
          <w:tcPr>
            <w:tcW w:w="24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1,552</w:t>
            </w:r>
          </w:p>
        </w:tc>
        <w:tc>
          <w:tcPr>
            <w:tcW w:w="140" w:type="dxa"/>
            <w:vAlign w:val="bottom"/>
            <w:shd w:val="clear" w:color="auto" w:fill="CFF0FC"/>
          </w:tcPr>
          <w:p>
            <w:pPr>
              <w:spacing w:after="0"/>
              <w:rPr>
                <w:sz w:val="19"/>
                <w:szCs w:val="19"/>
                <w:color w:val="auto"/>
              </w:rPr>
            </w:pPr>
          </w:p>
        </w:tc>
        <w:tc>
          <w:tcPr>
            <w:tcW w:w="7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w:t>
            </w:r>
          </w:p>
        </w:tc>
        <w:tc>
          <w:tcPr>
            <w:tcW w:w="30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1,774</w:t>
            </w:r>
          </w:p>
        </w:tc>
        <w:tc>
          <w:tcPr>
            <w:tcW w:w="8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7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w:t>
            </w:r>
          </w:p>
        </w:tc>
        <w:tc>
          <w:tcPr>
            <w:tcW w:w="30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2,915</w:t>
            </w:r>
          </w:p>
        </w:tc>
        <w:tc>
          <w:tcPr>
            <w:tcW w:w="140" w:type="dxa"/>
            <w:vAlign w:val="bottom"/>
            <w:shd w:val="clear" w:color="auto" w:fill="CFF0FC"/>
          </w:tcPr>
          <w:p>
            <w:pPr>
              <w:spacing w:after="0"/>
              <w:rPr>
                <w:sz w:val="19"/>
                <w:szCs w:val="19"/>
                <w:color w:val="auto"/>
              </w:rPr>
            </w:pPr>
          </w:p>
        </w:tc>
        <w:tc>
          <w:tcPr>
            <w:tcW w:w="7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0.9</w:t>
            </w:r>
          </w:p>
        </w:tc>
        <w:tc>
          <w:tcPr>
            <w:tcW w:w="30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3,454</w:t>
            </w:r>
          </w:p>
        </w:tc>
        <w:tc>
          <w:tcPr>
            <w:tcW w:w="8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7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w:t>
            </w:r>
          </w:p>
        </w:tc>
        <w:tc>
          <w:tcPr>
            <w:tcW w:w="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9"/>
        </w:trPr>
        <w:tc>
          <w:tcPr>
            <w:tcW w:w="2260" w:type="dxa"/>
            <w:vAlign w:val="bottom"/>
          </w:tcPr>
          <w:p>
            <w:pPr>
              <w:spacing w:after="0"/>
              <w:rPr>
                <w:sz w:val="20"/>
                <w:szCs w:val="20"/>
                <w:color w:val="auto"/>
              </w:rPr>
            </w:pPr>
            <w:r>
              <w:rPr>
                <w:rFonts w:ascii="Arial" w:cs="Arial" w:eastAsia="Arial" w:hAnsi="Arial"/>
                <w:sz w:val="18"/>
                <w:szCs w:val="18"/>
                <w:color w:val="auto"/>
                <w:w w:val="98"/>
              </w:rPr>
              <w:t>Total personal care segment</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260" w:type="dxa"/>
            <w:vAlign w:val="bottom"/>
          </w:tcPr>
          <w:p>
            <w:pPr>
              <w:ind w:left="140"/>
              <w:spacing w:after="0"/>
              <w:rPr>
                <w:sz w:val="20"/>
                <w:szCs w:val="20"/>
                <w:color w:val="auto"/>
              </w:rPr>
            </w:pPr>
            <w:r>
              <w:rPr>
                <w:rFonts w:ascii="Arial" w:cs="Arial" w:eastAsia="Arial" w:hAnsi="Arial"/>
                <w:sz w:val="18"/>
                <w:szCs w:val="18"/>
                <w:color w:val="auto"/>
              </w:rPr>
              <w:t>net service revenues</w:t>
            </w:r>
          </w:p>
        </w:tc>
        <w:tc>
          <w:tcPr>
            <w:tcW w:w="420" w:type="dxa"/>
            <w:vAlign w:val="bottom"/>
            <w:gridSpan w:val="2"/>
          </w:tcPr>
          <w:p>
            <w:pPr>
              <w:jc w:val="right"/>
              <w:ind w:right="8"/>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156,268</w:t>
            </w:r>
          </w:p>
        </w:tc>
        <w:tc>
          <w:tcPr>
            <w:tcW w:w="14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100.0</w:t>
            </w:r>
          </w:p>
        </w:tc>
        <w:tc>
          <w:tcPr>
            <w:tcW w:w="480" w:type="dxa"/>
            <w:vAlign w:val="bottom"/>
            <w:gridSpan w:val="2"/>
          </w:tcPr>
          <w:p>
            <w:pPr>
              <w:jc w:val="right"/>
              <w:ind w:right="8"/>
              <w:spacing w:after="0"/>
              <w:rPr>
                <w:sz w:val="20"/>
                <w:szCs w:val="20"/>
                <w:color w:val="auto"/>
              </w:rPr>
            </w:pPr>
            <w:r>
              <w:rPr>
                <w:rFonts w:ascii="Arial" w:cs="Arial" w:eastAsia="Arial" w:hAnsi="Arial"/>
                <w:sz w:val="18"/>
                <w:szCs w:val="18"/>
                <w:color w:val="auto"/>
              </w:rPr>
              <w:t>% $</w:t>
            </w:r>
          </w:p>
        </w:tc>
        <w:tc>
          <w:tcPr>
            <w:tcW w:w="820" w:type="dxa"/>
            <w:vAlign w:val="bottom"/>
          </w:tcPr>
          <w:p>
            <w:pPr>
              <w:jc w:val="right"/>
              <w:spacing w:after="0"/>
              <w:rPr>
                <w:sz w:val="20"/>
                <w:szCs w:val="20"/>
                <w:color w:val="auto"/>
              </w:rPr>
            </w:pPr>
            <w:r>
              <w:rPr>
                <w:rFonts w:ascii="Arial" w:cs="Arial" w:eastAsia="Arial" w:hAnsi="Arial"/>
                <w:sz w:val="18"/>
                <w:szCs w:val="18"/>
                <w:color w:val="auto"/>
              </w:rPr>
              <w:t>137,477</w:t>
            </w: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100.0</w:t>
            </w:r>
          </w:p>
        </w:tc>
        <w:tc>
          <w:tcPr>
            <w:tcW w:w="480" w:type="dxa"/>
            <w:vAlign w:val="bottom"/>
            <w:gridSpan w:val="2"/>
          </w:tcPr>
          <w:p>
            <w:pPr>
              <w:jc w:val="right"/>
              <w:ind w:right="8"/>
              <w:spacing w:after="0"/>
              <w:rPr>
                <w:sz w:val="20"/>
                <w:szCs w:val="20"/>
                <w:color w:val="auto"/>
              </w:rPr>
            </w:pPr>
            <w:r>
              <w:rPr>
                <w:rFonts w:ascii="Arial" w:cs="Arial" w:eastAsia="Arial" w:hAnsi="Arial"/>
                <w:sz w:val="18"/>
                <w:szCs w:val="18"/>
                <w:color w:val="auto"/>
              </w:rPr>
              <w:t>% $</w:t>
            </w:r>
          </w:p>
        </w:tc>
        <w:tc>
          <w:tcPr>
            <w:tcW w:w="820" w:type="dxa"/>
            <w:vAlign w:val="bottom"/>
          </w:tcPr>
          <w:p>
            <w:pPr>
              <w:jc w:val="right"/>
              <w:spacing w:after="0"/>
              <w:rPr>
                <w:sz w:val="20"/>
                <w:szCs w:val="20"/>
                <w:color w:val="auto"/>
              </w:rPr>
            </w:pPr>
            <w:r>
              <w:rPr>
                <w:rFonts w:ascii="Arial" w:cs="Arial" w:eastAsia="Arial" w:hAnsi="Arial"/>
                <w:sz w:val="18"/>
                <w:szCs w:val="18"/>
                <w:color w:val="auto"/>
              </w:rPr>
              <w:t>316,933</w:t>
            </w:r>
          </w:p>
        </w:tc>
        <w:tc>
          <w:tcPr>
            <w:tcW w:w="14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100.0</w:t>
            </w:r>
          </w:p>
        </w:tc>
        <w:tc>
          <w:tcPr>
            <w:tcW w:w="480" w:type="dxa"/>
            <w:vAlign w:val="bottom"/>
            <w:gridSpan w:val="2"/>
          </w:tcPr>
          <w:p>
            <w:pPr>
              <w:jc w:val="right"/>
              <w:ind w:right="8"/>
              <w:spacing w:after="0"/>
              <w:rPr>
                <w:sz w:val="20"/>
                <w:szCs w:val="20"/>
                <w:color w:val="auto"/>
              </w:rPr>
            </w:pPr>
            <w:r>
              <w:rPr>
                <w:rFonts w:ascii="Arial" w:cs="Arial" w:eastAsia="Arial" w:hAnsi="Arial"/>
                <w:sz w:val="18"/>
                <w:szCs w:val="18"/>
                <w:color w:val="auto"/>
              </w:rPr>
              <w:t>% $</w:t>
            </w:r>
          </w:p>
        </w:tc>
        <w:tc>
          <w:tcPr>
            <w:tcW w:w="820" w:type="dxa"/>
            <w:vAlign w:val="bottom"/>
          </w:tcPr>
          <w:p>
            <w:pPr>
              <w:jc w:val="right"/>
              <w:spacing w:after="0"/>
              <w:rPr>
                <w:sz w:val="20"/>
                <w:szCs w:val="20"/>
                <w:color w:val="auto"/>
              </w:rPr>
            </w:pPr>
            <w:r>
              <w:rPr>
                <w:rFonts w:ascii="Arial" w:cs="Arial" w:eastAsia="Arial" w:hAnsi="Arial"/>
                <w:sz w:val="18"/>
                <w:szCs w:val="18"/>
                <w:color w:val="auto"/>
              </w:rPr>
              <w:t>265,371</w:t>
            </w: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100.0</w:t>
            </w:r>
          </w:p>
        </w:tc>
        <w:tc>
          <w:tcPr>
            <w:tcW w:w="2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3"/>
        </w:trPr>
        <w:tc>
          <w:tcPr>
            <w:tcW w:w="2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00" w:type="dxa"/>
            <w:vAlign w:val="bottom"/>
            <w:gridSpan w:val="2"/>
          </w:tcPr>
          <w:p>
            <w:pPr>
              <w:jc w:val="right"/>
              <w:ind w:right="80"/>
              <w:spacing w:after="0"/>
              <w:rPr>
                <w:sz w:val="20"/>
                <w:szCs w:val="20"/>
                <w:color w:val="auto"/>
              </w:rPr>
            </w:pPr>
            <w:r>
              <w:rPr>
                <w:rFonts w:ascii="Arial" w:cs="Arial" w:eastAsia="Arial" w:hAnsi="Arial"/>
                <w:sz w:val="16"/>
                <w:szCs w:val="16"/>
                <w:color w:val="auto"/>
              </w:rPr>
              <w:t>18</w:t>
            </w:r>
          </w:p>
        </w:tc>
        <w:tc>
          <w:tcPr>
            <w:tcW w:w="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7"/>
        </w:trPr>
        <w:tc>
          <w:tcPr>
            <w:tcW w:w="226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82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76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82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76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82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76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82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76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-8255</wp:posOffset>
            </wp:positionV>
            <wp:extent cx="8255"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31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5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1360" w:type="dxa"/>
            <w:vAlign w:val="bottom"/>
            <w:tcBorders>
              <w:bottom w:val="single" w:sz="8" w:color="auto"/>
            </w:tcBorders>
            <w:gridSpan w:val="4"/>
          </w:tcPr>
          <w:p>
            <w:pPr>
              <w:jc w:val="right"/>
              <w:ind w:right="820"/>
              <w:spacing w:after="0"/>
              <w:rPr>
                <w:sz w:val="20"/>
                <w:szCs w:val="20"/>
                <w:color w:val="auto"/>
              </w:rPr>
            </w:pPr>
            <w:r>
              <w:rPr>
                <w:rFonts w:ascii="Arial" w:cs="Arial" w:eastAsia="Arial" w:hAnsi="Arial"/>
                <w:sz w:val="14"/>
                <w:szCs w:val="14"/>
                <w:b w:val="1"/>
                <w:bCs w:val="1"/>
                <w:color w:val="auto"/>
                <w:w w:val="95"/>
              </w:rPr>
              <w:t>Hospice</w:t>
            </w:r>
          </w:p>
        </w:tc>
        <w:tc>
          <w:tcPr>
            <w:tcW w:w="8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25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3200" w:type="dxa"/>
            <w:vAlign w:val="bottom"/>
            <w:tcBorders>
              <w:bottom w:val="single" w:sz="8" w:color="auto"/>
            </w:tcBorders>
            <w:gridSpan w:val="8"/>
          </w:tcPr>
          <w:p>
            <w:pPr>
              <w:jc w:val="center"/>
              <w:ind w:left="418"/>
              <w:spacing w:after="0" w:line="155" w:lineRule="exact"/>
              <w:rPr>
                <w:sz w:val="20"/>
                <w:szCs w:val="20"/>
                <w:color w:val="auto"/>
              </w:rPr>
            </w:pPr>
            <w:r>
              <w:rPr>
                <w:rFonts w:ascii="Arial" w:cs="Arial" w:eastAsia="Arial" w:hAnsi="Arial"/>
                <w:sz w:val="14"/>
                <w:szCs w:val="14"/>
                <w:b w:val="1"/>
                <w:bCs w:val="1"/>
                <w:color w:val="auto"/>
                <w:w w:val="93"/>
              </w:rPr>
              <w:t>For the Three Months Ended June 30,</w:t>
            </w:r>
          </w:p>
        </w:tc>
        <w:tc>
          <w:tcPr>
            <w:tcW w:w="680" w:type="dxa"/>
            <w:vAlign w:val="bottom"/>
            <w:tcBorders>
              <w:bottom w:val="single" w:sz="8" w:color="auto"/>
            </w:tcBorders>
          </w:tcPr>
          <w:p>
            <w:pPr>
              <w:spacing w:after="0"/>
              <w:rPr>
                <w:sz w:val="13"/>
                <w:szCs w:val="13"/>
                <w:color w:val="auto"/>
              </w:rPr>
            </w:pPr>
          </w:p>
        </w:tc>
        <w:tc>
          <w:tcPr>
            <w:tcW w:w="28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2280" w:type="dxa"/>
            <w:vAlign w:val="bottom"/>
            <w:tcBorders>
              <w:bottom w:val="single" w:sz="8" w:color="auto"/>
            </w:tcBorders>
            <w:gridSpan w:val="7"/>
          </w:tcPr>
          <w:p>
            <w:pPr>
              <w:jc w:val="right"/>
              <w:ind w:right="100"/>
              <w:spacing w:after="0" w:line="155" w:lineRule="exact"/>
              <w:rPr>
                <w:sz w:val="20"/>
                <w:szCs w:val="20"/>
                <w:color w:val="auto"/>
              </w:rPr>
            </w:pPr>
            <w:r>
              <w:rPr>
                <w:rFonts w:ascii="Arial" w:cs="Arial" w:eastAsia="Arial" w:hAnsi="Arial"/>
                <w:sz w:val="14"/>
                <w:szCs w:val="14"/>
                <w:b w:val="1"/>
                <w:bCs w:val="1"/>
                <w:color w:val="auto"/>
                <w:w w:val="92"/>
              </w:rPr>
              <w:t>For the Six Months Ended June 30,</w:t>
            </w:r>
          </w:p>
        </w:tc>
        <w:tc>
          <w:tcPr>
            <w:tcW w:w="700" w:type="dxa"/>
            <w:vAlign w:val="bottom"/>
            <w:tcBorders>
              <w:bottom w:val="single" w:sz="8" w:color="auto"/>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5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gridSpan w:val="2"/>
          </w:tcPr>
          <w:p>
            <w:pPr>
              <w:jc w:val="right"/>
              <w:ind w:right="100"/>
              <w:spacing w:after="0" w:line="155" w:lineRule="exact"/>
              <w:rPr>
                <w:sz w:val="20"/>
                <w:szCs w:val="20"/>
                <w:color w:val="auto"/>
              </w:rPr>
            </w:pPr>
            <w:r>
              <w:rPr>
                <w:rFonts w:ascii="Arial" w:cs="Arial" w:eastAsia="Arial" w:hAnsi="Arial"/>
                <w:sz w:val="14"/>
                <w:szCs w:val="14"/>
                <w:b w:val="1"/>
                <w:bCs w:val="1"/>
                <w:color w:val="auto"/>
              </w:rPr>
              <w:t>2020</w:t>
            </w:r>
          </w:p>
        </w:tc>
        <w:tc>
          <w:tcPr>
            <w:tcW w:w="680" w:type="dxa"/>
            <w:vAlign w:val="bottom"/>
            <w:tcBorders>
              <w:bottom w:val="single" w:sz="8" w:color="auto"/>
            </w:tcBorders>
          </w:tcPr>
          <w:p>
            <w:pPr>
              <w:spacing w:after="0"/>
              <w:rPr>
                <w:sz w:val="13"/>
                <w:szCs w:val="13"/>
                <w:color w:val="auto"/>
              </w:rPr>
            </w:pPr>
          </w:p>
        </w:tc>
        <w:tc>
          <w:tcPr>
            <w:tcW w:w="28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080" w:type="dxa"/>
            <w:vAlign w:val="bottom"/>
            <w:tcBorders>
              <w:bottom w:val="single" w:sz="8" w:color="auto"/>
            </w:tcBorders>
            <w:gridSpan w:val="3"/>
          </w:tcPr>
          <w:p>
            <w:pPr>
              <w:jc w:val="right"/>
              <w:ind w:right="140"/>
              <w:spacing w:after="0" w:line="155" w:lineRule="exact"/>
              <w:rPr>
                <w:sz w:val="20"/>
                <w:szCs w:val="20"/>
                <w:color w:val="auto"/>
              </w:rPr>
            </w:pPr>
            <w:r>
              <w:rPr>
                <w:rFonts w:ascii="Arial" w:cs="Arial" w:eastAsia="Arial" w:hAnsi="Arial"/>
                <w:sz w:val="14"/>
                <w:szCs w:val="14"/>
                <w:b w:val="1"/>
                <w:bCs w:val="1"/>
                <w:color w:val="auto"/>
              </w:rPr>
              <w:t>2019</w:t>
            </w:r>
          </w:p>
        </w:tc>
        <w:tc>
          <w:tcPr>
            <w:tcW w:w="680" w:type="dxa"/>
            <w:vAlign w:val="bottom"/>
            <w:tcBorders>
              <w:bottom w:val="single" w:sz="8" w:color="auto"/>
            </w:tcBorders>
          </w:tcPr>
          <w:p>
            <w:pPr>
              <w:spacing w:after="0"/>
              <w:rPr>
                <w:sz w:val="13"/>
                <w:szCs w:val="13"/>
                <w:color w:val="auto"/>
              </w:rPr>
            </w:pPr>
          </w:p>
        </w:tc>
        <w:tc>
          <w:tcPr>
            <w:tcW w:w="28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gridSpan w:val="2"/>
          </w:tcPr>
          <w:p>
            <w:pPr>
              <w:jc w:val="right"/>
              <w:ind w:right="20"/>
              <w:spacing w:after="0" w:line="155" w:lineRule="exact"/>
              <w:rPr>
                <w:sz w:val="20"/>
                <w:szCs w:val="20"/>
                <w:color w:val="auto"/>
              </w:rPr>
            </w:pPr>
            <w:r>
              <w:rPr>
                <w:rFonts w:ascii="Arial" w:cs="Arial" w:eastAsia="Arial" w:hAnsi="Arial"/>
                <w:sz w:val="14"/>
                <w:szCs w:val="14"/>
                <w:b w:val="1"/>
                <w:bCs w:val="1"/>
                <w:color w:val="auto"/>
              </w:rPr>
              <w:t>2020</w:t>
            </w:r>
          </w:p>
        </w:tc>
        <w:tc>
          <w:tcPr>
            <w:tcW w:w="8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tcPr>
          <w:p>
            <w:pPr>
              <w:spacing w:after="0"/>
              <w:rPr>
                <w:sz w:val="13"/>
                <w:szCs w:val="13"/>
                <w:color w:val="auto"/>
              </w:rPr>
            </w:pPr>
          </w:p>
        </w:tc>
        <w:tc>
          <w:tcPr>
            <w:tcW w:w="30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080" w:type="dxa"/>
            <w:vAlign w:val="bottom"/>
            <w:tcBorders>
              <w:bottom w:val="single" w:sz="8" w:color="auto"/>
            </w:tcBorders>
            <w:gridSpan w:val="3"/>
          </w:tcPr>
          <w:p>
            <w:pPr>
              <w:jc w:val="right"/>
              <w:ind w:right="120"/>
              <w:spacing w:after="0" w:line="155" w:lineRule="exact"/>
              <w:rPr>
                <w:sz w:val="20"/>
                <w:szCs w:val="20"/>
                <w:color w:val="auto"/>
              </w:rPr>
            </w:pPr>
            <w:r>
              <w:rPr>
                <w:rFonts w:ascii="Arial" w:cs="Arial" w:eastAsia="Arial" w:hAnsi="Arial"/>
                <w:sz w:val="14"/>
                <w:szCs w:val="14"/>
                <w:b w:val="1"/>
                <w:bCs w:val="1"/>
                <w:color w:val="auto"/>
              </w:rPr>
              <w:t>2019</w:t>
            </w:r>
          </w:p>
        </w:tc>
        <w:tc>
          <w:tcPr>
            <w:tcW w:w="700" w:type="dxa"/>
            <w:vAlign w:val="bottom"/>
            <w:tcBorders>
              <w:bottom w:val="single" w:sz="8" w:color="auto"/>
            </w:tcBorders>
          </w:tcPr>
          <w:p>
            <w:pPr>
              <w:spacing w:after="0"/>
              <w:rPr>
                <w:sz w:val="13"/>
                <w:szCs w:val="13"/>
                <w:color w:val="auto"/>
              </w:rPr>
            </w:pPr>
          </w:p>
        </w:tc>
        <w:tc>
          <w:tcPr>
            <w:tcW w:w="2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3"/>
        </w:trPr>
        <w:tc>
          <w:tcPr>
            <w:tcW w:w="2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80" w:type="dxa"/>
            <w:vAlign w:val="bottom"/>
          </w:tcPr>
          <w:p>
            <w:pPr>
              <w:jc w:val="center"/>
              <w:spacing w:after="0" w:line="133" w:lineRule="exact"/>
              <w:rPr>
                <w:sz w:val="20"/>
                <w:szCs w:val="20"/>
                <w:color w:val="auto"/>
              </w:rPr>
            </w:pPr>
            <w:r>
              <w:rPr>
                <w:rFonts w:ascii="Arial" w:cs="Arial" w:eastAsia="Arial" w:hAnsi="Arial"/>
                <w:sz w:val="14"/>
                <w:szCs w:val="14"/>
                <w:b w:val="1"/>
                <w:bCs w:val="1"/>
                <w:color w:val="auto"/>
              </w:rPr>
              <w:t>% of</w:t>
            </w:r>
          </w:p>
        </w:tc>
        <w:tc>
          <w:tcPr>
            <w:tcW w:w="2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80" w:type="dxa"/>
            <w:vAlign w:val="bottom"/>
          </w:tcPr>
          <w:p>
            <w:pPr>
              <w:jc w:val="center"/>
              <w:spacing w:after="0" w:line="133" w:lineRule="exact"/>
              <w:rPr>
                <w:sz w:val="20"/>
                <w:szCs w:val="20"/>
                <w:color w:val="auto"/>
              </w:rPr>
            </w:pPr>
            <w:r>
              <w:rPr>
                <w:rFonts w:ascii="Arial" w:cs="Arial" w:eastAsia="Arial" w:hAnsi="Arial"/>
                <w:sz w:val="14"/>
                <w:szCs w:val="14"/>
                <w:b w:val="1"/>
                <w:bCs w:val="1"/>
                <w:color w:val="auto"/>
              </w:rPr>
              <w:t>% of</w:t>
            </w:r>
          </w:p>
        </w:tc>
        <w:tc>
          <w:tcPr>
            <w:tcW w:w="2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jc w:val="center"/>
              <w:spacing w:after="0" w:line="133" w:lineRule="exact"/>
              <w:rPr>
                <w:sz w:val="20"/>
                <w:szCs w:val="20"/>
                <w:color w:val="auto"/>
              </w:rPr>
            </w:pPr>
            <w:r>
              <w:rPr>
                <w:rFonts w:ascii="Arial" w:cs="Arial" w:eastAsia="Arial" w:hAnsi="Arial"/>
                <w:sz w:val="14"/>
                <w:szCs w:val="14"/>
                <w:b w:val="1"/>
                <w:bCs w:val="1"/>
                <w:color w:val="auto"/>
              </w:rPr>
              <w:t>% of</w:t>
            </w:r>
          </w:p>
        </w:tc>
        <w:tc>
          <w:tcPr>
            <w:tcW w:w="3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00" w:type="dxa"/>
            <w:vAlign w:val="bottom"/>
          </w:tcPr>
          <w:p>
            <w:pPr>
              <w:jc w:val="center"/>
              <w:spacing w:after="0" w:line="133" w:lineRule="exact"/>
              <w:rPr>
                <w:sz w:val="20"/>
                <w:szCs w:val="20"/>
                <w:color w:val="auto"/>
              </w:rPr>
            </w:pPr>
            <w:r>
              <w:rPr>
                <w:rFonts w:ascii="Arial" w:cs="Arial" w:eastAsia="Arial" w:hAnsi="Arial"/>
                <w:sz w:val="14"/>
                <w:szCs w:val="14"/>
                <w:b w:val="1"/>
                <w:bCs w:val="1"/>
                <w:color w:val="auto"/>
              </w:rPr>
              <w:t>% of</w:t>
            </w:r>
          </w:p>
        </w:tc>
        <w:tc>
          <w:tcPr>
            <w:tcW w:w="2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25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1"/>
              </w:rPr>
              <w:t>Segment</w:t>
            </w:r>
          </w:p>
        </w:tc>
        <w:tc>
          <w:tcPr>
            <w:tcW w:w="2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1"/>
              </w:rPr>
              <w:t>Segment</w:t>
            </w:r>
          </w:p>
        </w:tc>
        <w:tc>
          <w:tcPr>
            <w:tcW w:w="2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1"/>
              </w:rPr>
              <w:t>Segment</w:t>
            </w:r>
          </w:p>
        </w:tc>
        <w:tc>
          <w:tcPr>
            <w:tcW w:w="3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7"/>
              </w:rPr>
              <w:t>Segment</w:t>
            </w:r>
          </w:p>
        </w:tc>
        <w:tc>
          <w:tcPr>
            <w:tcW w:w="2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5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0" w:type="dxa"/>
            <w:vAlign w:val="bottom"/>
            <w:gridSpan w:val="2"/>
            <w:vMerge w:val="restart"/>
          </w:tcPr>
          <w:p>
            <w:pPr>
              <w:jc w:val="right"/>
              <w:ind w:right="440"/>
              <w:spacing w:after="0"/>
              <w:rPr>
                <w:sz w:val="20"/>
                <w:szCs w:val="20"/>
                <w:color w:val="auto"/>
              </w:rPr>
            </w:pPr>
            <w:r>
              <w:rPr>
                <w:rFonts w:ascii="Arial" w:cs="Arial" w:eastAsia="Arial" w:hAnsi="Arial"/>
                <w:sz w:val="14"/>
                <w:szCs w:val="14"/>
                <w:b w:val="1"/>
                <w:bCs w:val="1"/>
                <w:color w:val="auto"/>
              </w:rPr>
              <w:t>Amount</w:t>
            </w:r>
          </w:p>
        </w:tc>
        <w:tc>
          <w:tcPr>
            <w:tcW w:w="6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7"/>
              </w:rPr>
              <w:t>Net</w:t>
            </w:r>
          </w:p>
        </w:tc>
        <w:tc>
          <w:tcPr>
            <w:tcW w:w="2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80" w:type="dxa"/>
            <w:vAlign w:val="bottom"/>
            <w:gridSpan w:val="3"/>
            <w:vMerge w:val="restart"/>
          </w:tcPr>
          <w:p>
            <w:pPr>
              <w:jc w:val="center"/>
              <w:ind w:right="460"/>
              <w:spacing w:after="0"/>
              <w:rPr>
                <w:sz w:val="20"/>
                <w:szCs w:val="20"/>
                <w:color w:val="auto"/>
              </w:rPr>
            </w:pPr>
            <w:r>
              <w:rPr>
                <w:rFonts w:ascii="Arial" w:cs="Arial" w:eastAsia="Arial" w:hAnsi="Arial"/>
                <w:sz w:val="14"/>
                <w:szCs w:val="14"/>
                <w:b w:val="1"/>
                <w:bCs w:val="1"/>
                <w:color w:val="auto"/>
                <w:w w:val="94"/>
              </w:rPr>
              <w:t>Amount</w:t>
            </w:r>
          </w:p>
        </w:tc>
        <w:tc>
          <w:tcPr>
            <w:tcW w:w="6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7"/>
              </w:rPr>
              <w:t>Net</w:t>
            </w:r>
          </w:p>
        </w:tc>
        <w:tc>
          <w:tcPr>
            <w:tcW w:w="2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20" w:type="dxa"/>
            <w:vAlign w:val="bottom"/>
            <w:gridSpan w:val="2"/>
            <w:vMerge w:val="restart"/>
          </w:tcPr>
          <w:p>
            <w:pPr>
              <w:jc w:val="center"/>
              <w:ind w:right="300"/>
              <w:spacing w:after="0"/>
              <w:rPr>
                <w:sz w:val="20"/>
                <w:szCs w:val="20"/>
                <w:color w:val="auto"/>
              </w:rPr>
            </w:pPr>
            <w:r>
              <w:rPr>
                <w:rFonts w:ascii="Arial" w:cs="Arial" w:eastAsia="Arial" w:hAnsi="Arial"/>
                <w:sz w:val="14"/>
                <w:szCs w:val="14"/>
                <w:b w:val="1"/>
                <w:bCs w:val="1"/>
                <w:color w:val="auto"/>
                <w:w w:val="94"/>
              </w:rPr>
              <w:t>Amount</w:t>
            </w:r>
          </w:p>
        </w:tc>
        <w:tc>
          <w:tcPr>
            <w:tcW w:w="80" w:type="dxa"/>
            <w:vAlign w:val="bottom"/>
          </w:tcPr>
          <w:p>
            <w:pPr>
              <w:spacing w:after="0"/>
              <w:rPr>
                <w:sz w:val="12"/>
                <w:szCs w:val="12"/>
                <w:color w:val="auto"/>
              </w:rPr>
            </w:pPr>
          </w:p>
        </w:tc>
        <w:tc>
          <w:tcPr>
            <w:tcW w:w="6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7"/>
              </w:rPr>
              <w:t>Net</w:t>
            </w:r>
          </w:p>
        </w:tc>
        <w:tc>
          <w:tcPr>
            <w:tcW w:w="3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80" w:type="dxa"/>
            <w:vAlign w:val="bottom"/>
            <w:gridSpan w:val="3"/>
            <w:vMerge w:val="restart"/>
          </w:tcPr>
          <w:p>
            <w:pPr>
              <w:jc w:val="center"/>
              <w:ind w:right="440"/>
              <w:spacing w:after="0"/>
              <w:rPr>
                <w:sz w:val="20"/>
                <w:szCs w:val="20"/>
                <w:color w:val="auto"/>
              </w:rPr>
            </w:pPr>
            <w:r>
              <w:rPr>
                <w:rFonts w:ascii="Arial" w:cs="Arial" w:eastAsia="Arial" w:hAnsi="Arial"/>
                <w:sz w:val="14"/>
                <w:szCs w:val="14"/>
                <w:b w:val="1"/>
                <w:bCs w:val="1"/>
                <w:color w:val="auto"/>
                <w:w w:val="98"/>
              </w:rPr>
              <w:t>Amount</w:t>
            </w:r>
          </w:p>
        </w:tc>
        <w:tc>
          <w:tcPr>
            <w:tcW w:w="7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7"/>
              </w:rPr>
              <w:t>Net</w:t>
            </w:r>
          </w:p>
        </w:tc>
        <w:tc>
          <w:tcPr>
            <w:tcW w:w="2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5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0" w:type="dxa"/>
            <w:vAlign w:val="bottom"/>
            <w:gridSpan w:val="2"/>
            <w:vMerge w:val="continue"/>
          </w:tcPr>
          <w:p>
            <w:pPr>
              <w:spacing w:after="0"/>
              <w:rPr>
                <w:sz w:val="12"/>
                <w:szCs w:val="12"/>
                <w:color w:val="auto"/>
              </w:rPr>
            </w:pPr>
          </w:p>
        </w:tc>
        <w:tc>
          <w:tcPr>
            <w:tcW w:w="6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Service</w:t>
            </w:r>
          </w:p>
        </w:tc>
        <w:tc>
          <w:tcPr>
            <w:tcW w:w="2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80" w:type="dxa"/>
            <w:vAlign w:val="bottom"/>
            <w:gridSpan w:val="3"/>
            <w:vMerge w:val="continue"/>
          </w:tcPr>
          <w:p>
            <w:pPr>
              <w:spacing w:after="0"/>
              <w:rPr>
                <w:sz w:val="12"/>
                <w:szCs w:val="12"/>
                <w:color w:val="auto"/>
              </w:rPr>
            </w:pPr>
          </w:p>
        </w:tc>
        <w:tc>
          <w:tcPr>
            <w:tcW w:w="6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Service</w:t>
            </w:r>
          </w:p>
        </w:tc>
        <w:tc>
          <w:tcPr>
            <w:tcW w:w="2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2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Service</w:t>
            </w:r>
          </w:p>
        </w:tc>
        <w:tc>
          <w:tcPr>
            <w:tcW w:w="3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80" w:type="dxa"/>
            <w:vAlign w:val="bottom"/>
            <w:gridSpan w:val="3"/>
            <w:vMerge w:val="continue"/>
          </w:tcPr>
          <w:p>
            <w:pPr>
              <w:spacing w:after="0"/>
              <w:rPr>
                <w:sz w:val="12"/>
                <w:szCs w:val="12"/>
                <w:color w:val="auto"/>
              </w:rPr>
            </w:pPr>
          </w:p>
        </w:tc>
        <w:tc>
          <w:tcPr>
            <w:tcW w:w="7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Service</w:t>
            </w:r>
          </w:p>
        </w:tc>
        <w:tc>
          <w:tcPr>
            <w:tcW w:w="2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520" w:type="dxa"/>
            <w:vAlign w:val="bottom"/>
          </w:tcPr>
          <w:p>
            <w:pPr>
              <w:spacing w:after="0"/>
              <w:rPr>
                <w:sz w:val="14"/>
                <w:szCs w:val="14"/>
                <w:color w:val="auto"/>
              </w:rPr>
            </w:pPr>
          </w:p>
        </w:tc>
        <w:tc>
          <w:tcPr>
            <w:tcW w:w="1220" w:type="dxa"/>
            <w:vAlign w:val="bottom"/>
            <w:gridSpan w:val="4"/>
          </w:tcPr>
          <w:p>
            <w:pPr>
              <w:ind w:left="60"/>
              <w:spacing w:after="0"/>
              <w:rPr>
                <w:sz w:val="20"/>
                <w:szCs w:val="20"/>
                <w:color w:val="auto"/>
              </w:rPr>
            </w:pPr>
            <w:r>
              <w:rPr>
                <w:rFonts w:ascii="Arial" w:cs="Arial" w:eastAsia="Arial" w:hAnsi="Arial"/>
                <w:sz w:val="14"/>
                <w:szCs w:val="14"/>
                <w:b w:val="1"/>
                <w:bCs w:val="1"/>
                <w:color w:val="auto"/>
              </w:rPr>
              <w:t>(in Thousands)</w:t>
            </w:r>
          </w:p>
        </w:tc>
        <w:tc>
          <w:tcPr>
            <w:tcW w:w="680" w:type="dxa"/>
            <w:vAlign w:val="bottom"/>
          </w:tcPr>
          <w:p>
            <w:pPr>
              <w:jc w:val="center"/>
              <w:spacing w:after="0"/>
              <w:rPr>
                <w:sz w:val="20"/>
                <w:szCs w:val="20"/>
                <w:color w:val="auto"/>
              </w:rPr>
            </w:pPr>
            <w:r>
              <w:rPr>
                <w:rFonts w:ascii="Arial" w:cs="Arial" w:eastAsia="Arial" w:hAnsi="Arial"/>
                <w:sz w:val="14"/>
                <w:szCs w:val="14"/>
                <w:b w:val="1"/>
                <w:bCs w:val="1"/>
                <w:color w:val="auto"/>
                <w:w w:val="87"/>
              </w:rPr>
              <w:t>Revenues</w:t>
            </w:r>
          </w:p>
        </w:tc>
        <w:tc>
          <w:tcPr>
            <w:tcW w:w="280" w:type="dxa"/>
            <w:vAlign w:val="bottom"/>
          </w:tcPr>
          <w:p>
            <w:pPr>
              <w:spacing w:after="0"/>
              <w:rPr>
                <w:sz w:val="14"/>
                <w:szCs w:val="14"/>
                <w:color w:val="auto"/>
              </w:rPr>
            </w:pPr>
          </w:p>
        </w:tc>
        <w:tc>
          <w:tcPr>
            <w:tcW w:w="1240" w:type="dxa"/>
            <w:vAlign w:val="bottom"/>
            <w:gridSpan w:val="4"/>
          </w:tcPr>
          <w:p>
            <w:pPr>
              <w:jc w:val="center"/>
              <w:ind w:right="320"/>
              <w:spacing w:after="0"/>
              <w:rPr>
                <w:sz w:val="20"/>
                <w:szCs w:val="20"/>
                <w:color w:val="auto"/>
              </w:rPr>
            </w:pPr>
            <w:r>
              <w:rPr>
                <w:rFonts w:ascii="Arial" w:cs="Arial" w:eastAsia="Arial" w:hAnsi="Arial"/>
                <w:sz w:val="14"/>
                <w:szCs w:val="14"/>
                <w:b w:val="1"/>
                <w:bCs w:val="1"/>
                <w:color w:val="auto"/>
                <w:w w:val="91"/>
              </w:rPr>
              <w:t>(in Thousands)</w:t>
            </w:r>
          </w:p>
        </w:tc>
        <w:tc>
          <w:tcPr>
            <w:tcW w:w="680" w:type="dxa"/>
            <w:vAlign w:val="bottom"/>
          </w:tcPr>
          <w:p>
            <w:pPr>
              <w:jc w:val="center"/>
              <w:spacing w:after="0"/>
              <w:rPr>
                <w:sz w:val="20"/>
                <w:szCs w:val="20"/>
                <w:color w:val="auto"/>
              </w:rPr>
            </w:pPr>
            <w:r>
              <w:rPr>
                <w:rFonts w:ascii="Arial" w:cs="Arial" w:eastAsia="Arial" w:hAnsi="Arial"/>
                <w:sz w:val="14"/>
                <w:szCs w:val="14"/>
                <w:b w:val="1"/>
                <w:bCs w:val="1"/>
                <w:color w:val="auto"/>
                <w:w w:val="87"/>
              </w:rPr>
              <w:t>Revenues</w:t>
            </w:r>
          </w:p>
        </w:tc>
        <w:tc>
          <w:tcPr>
            <w:tcW w:w="1360" w:type="dxa"/>
            <w:vAlign w:val="bottom"/>
            <w:gridSpan w:val="4"/>
          </w:tcPr>
          <w:p>
            <w:pPr>
              <w:jc w:val="center"/>
              <w:ind w:left="38"/>
              <w:spacing w:after="0"/>
              <w:rPr>
                <w:sz w:val="20"/>
                <w:szCs w:val="20"/>
                <w:color w:val="auto"/>
              </w:rPr>
            </w:pPr>
            <w:r>
              <w:rPr>
                <w:rFonts w:ascii="Arial" w:cs="Arial" w:eastAsia="Arial" w:hAnsi="Arial"/>
                <w:sz w:val="14"/>
                <w:szCs w:val="14"/>
                <w:b w:val="1"/>
                <w:bCs w:val="1"/>
                <w:color w:val="auto"/>
                <w:w w:val="91"/>
              </w:rPr>
              <w:t>(in Thousands)</w:t>
            </w:r>
          </w:p>
        </w:tc>
        <w:tc>
          <w:tcPr>
            <w:tcW w:w="80" w:type="dxa"/>
            <w:vAlign w:val="bottom"/>
          </w:tcPr>
          <w:p>
            <w:pPr>
              <w:spacing w:after="0"/>
              <w:rPr>
                <w:sz w:val="14"/>
                <w:szCs w:val="14"/>
                <w:color w:val="auto"/>
              </w:rPr>
            </w:pPr>
          </w:p>
        </w:tc>
        <w:tc>
          <w:tcPr>
            <w:tcW w:w="680" w:type="dxa"/>
            <w:vAlign w:val="bottom"/>
          </w:tcPr>
          <w:p>
            <w:pPr>
              <w:jc w:val="center"/>
              <w:spacing w:after="0"/>
              <w:rPr>
                <w:sz w:val="20"/>
                <w:szCs w:val="20"/>
                <w:color w:val="auto"/>
              </w:rPr>
            </w:pPr>
            <w:r>
              <w:rPr>
                <w:rFonts w:ascii="Arial" w:cs="Arial" w:eastAsia="Arial" w:hAnsi="Arial"/>
                <w:sz w:val="14"/>
                <w:szCs w:val="14"/>
                <w:b w:val="1"/>
                <w:bCs w:val="1"/>
                <w:color w:val="auto"/>
                <w:w w:val="87"/>
              </w:rPr>
              <w:t>Revenues</w:t>
            </w:r>
          </w:p>
        </w:tc>
        <w:tc>
          <w:tcPr>
            <w:tcW w:w="1520" w:type="dxa"/>
            <w:vAlign w:val="bottom"/>
            <w:gridSpan w:val="5"/>
          </w:tcPr>
          <w:p>
            <w:pPr>
              <w:jc w:val="center"/>
              <w:spacing w:after="0"/>
              <w:rPr>
                <w:sz w:val="20"/>
                <w:szCs w:val="20"/>
                <w:color w:val="auto"/>
              </w:rPr>
            </w:pPr>
            <w:r>
              <w:rPr>
                <w:rFonts w:ascii="Arial" w:cs="Arial" w:eastAsia="Arial" w:hAnsi="Arial"/>
                <w:sz w:val="14"/>
                <w:szCs w:val="14"/>
                <w:b w:val="1"/>
                <w:bCs w:val="1"/>
                <w:color w:val="auto"/>
                <w:w w:val="91"/>
              </w:rPr>
              <w:t>(in Thousands)</w:t>
            </w:r>
          </w:p>
        </w:tc>
        <w:tc>
          <w:tcPr>
            <w:tcW w:w="700" w:type="dxa"/>
            <w:vAlign w:val="bottom"/>
          </w:tcPr>
          <w:p>
            <w:pPr>
              <w:jc w:val="center"/>
              <w:spacing w:after="0"/>
              <w:rPr>
                <w:sz w:val="20"/>
                <w:szCs w:val="20"/>
                <w:color w:val="auto"/>
              </w:rPr>
            </w:pPr>
            <w:r>
              <w:rPr>
                <w:rFonts w:ascii="Arial" w:cs="Arial" w:eastAsia="Arial" w:hAnsi="Arial"/>
                <w:sz w:val="14"/>
                <w:szCs w:val="14"/>
                <w:b w:val="1"/>
                <w:bCs w:val="1"/>
                <w:color w:val="auto"/>
                <w:w w:val="87"/>
              </w:rPr>
              <w:t>Revenues</w:t>
            </w:r>
          </w:p>
        </w:tc>
        <w:tc>
          <w:tcPr>
            <w:tcW w:w="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25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Medicare</w:t>
            </w:r>
          </w:p>
        </w:tc>
        <w:tc>
          <w:tcPr>
            <w:tcW w:w="6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w:t>
            </w:r>
          </w:p>
        </w:tc>
        <w:tc>
          <w:tcPr>
            <w:tcW w:w="7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22,753</w:t>
            </w:r>
          </w:p>
        </w:tc>
        <w:tc>
          <w:tcPr>
            <w:tcW w:w="220" w:type="dxa"/>
            <w:vAlign w:val="bottom"/>
            <w:tcBorders>
              <w:top w:val="single" w:sz="8" w:color="CFF0FC"/>
            </w:tcBorders>
            <w:shd w:val="clear" w:color="auto" w:fill="CFF0FC"/>
          </w:tcPr>
          <w:p>
            <w:pPr>
              <w:spacing w:after="0"/>
              <w:rPr>
                <w:sz w:val="19"/>
                <w:szCs w:val="19"/>
                <w:color w:val="auto"/>
              </w:rPr>
            </w:pPr>
          </w:p>
        </w:tc>
        <w:tc>
          <w:tcPr>
            <w:tcW w:w="6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92.8</w:t>
            </w:r>
          </w:p>
        </w:tc>
        <w:tc>
          <w:tcPr>
            <w:tcW w:w="280" w:type="dxa"/>
            <w:vAlign w:val="bottom"/>
            <w:tcBorders>
              <w:top w:val="single" w:sz="8" w:color="CFF0FC"/>
            </w:tcBorders>
            <w:shd w:val="clear" w:color="auto" w:fill="CFF0FC"/>
          </w:tcPr>
          <w:p>
            <w:pPr>
              <w:jc w:val="center"/>
              <w:ind w:left="10"/>
              <w:spacing w:after="0"/>
              <w:rPr>
                <w:sz w:val="20"/>
                <w:szCs w:val="20"/>
                <w:color w:val="auto"/>
              </w:rPr>
            </w:pPr>
            <w:r>
              <w:rPr>
                <w:rFonts w:ascii="Arial" w:cs="Arial" w:eastAsia="Arial" w:hAnsi="Arial"/>
                <w:sz w:val="18"/>
                <w:szCs w:val="18"/>
                <w:color w:val="auto"/>
                <w:w w:val="87"/>
              </w:rPr>
              <w:t>%</w:t>
            </w:r>
          </w:p>
        </w:tc>
        <w:tc>
          <w:tcPr>
            <w:tcW w:w="1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7,808</w:t>
            </w:r>
          </w:p>
        </w:tc>
        <w:tc>
          <w:tcPr>
            <w:tcW w:w="10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spacing w:after="0"/>
              <w:rPr>
                <w:sz w:val="19"/>
                <w:szCs w:val="19"/>
                <w:color w:val="auto"/>
              </w:rPr>
            </w:pPr>
          </w:p>
        </w:tc>
        <w:tc>
          <w:tcPr>
            <w:tcW w:w="6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92.6</w:t>
            </w:r>
          </w:p>
        </w:tc>
        <w:tc>
          <w:tcPr>
            <w:tcW w:w="280" w:type="dxa"/>
            <w:vAlign w:val="bottom"/>
            <w:tcBorders>
              <w:top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45,971</w:t>
            </w:r>
          </w:p>
        </w:tc>
        <w:tc>
          <w:tcPr>
            <w:tcW w:w="14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6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92.4</w:t>
            </w:r>
          </w:p>
        </w:tc>
        <w:tc>
          <w:tcPr>
            <w:tcW w:w="300" w:type="dxa"/>
            <w:vAlign w:val="bottom"/>
            <w:tcBorders>
              <w:top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15,199</w:t>
            </w:r>
          </w:p>
        </w:tc>
        <w:tc>
          <w:tcPr>
            <w:tcW w:w="10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spacing w:after="0"/>
              <w:rPr>
                <w:sz w:val="19"/>
                <w:szCs w:val="19"/>
                <w:color w:val="auto"/>
              </w:rPr>
            </w:pPr>
          </w:p>
        </w:tc>
        <w:tc>
          <w:tcPr>
            <w:tcW w:w="7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92.9</w:t>
            </w:r>
          </w:p>
        </w:tc>
        <w:tc>
          <w:tcPr>
            <w:tcW w:w="280" w:type="dxa"/>
            <w:vAlign w:val="bottom"/>
            <w:tcBorders>
              <w:top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2520" w:type="dxa"/>
            <w:vAlign w:val="bottom"/>
          </w:tcPr>
          <w:p>
            <w:pPr>
              <w:spacing w:after="0"/>
              <w:rPr>
                <w:sz w:val="20"/>
                <w:szCs w:val="20"/>
                <w:color w:val="auto"/>
              </w:rPr>
            </w:pPr>
            <w:r>
              <w:rPr>
                <w:rFonts w:ascii="Arial" w:cs="Arial" w:eastAsia="Arial" w:hAnsi="Arial"/>
                <w:sz w:val="18"/>
                <w:szCs w:val="18"/>
                <w:color w:val="auto"/>
              </w:rPr>
              <w:t>Managed care organizations</w:t>
            </w: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1,198</w:t>
            </w:r>
          </w:p>
        </w:tc>
        <w:tc>
          <w:tcPr>
            <w:tcW w:w="22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4.9</w:t>
            </w:r>
          </w:p>
        </w:tc>
        <w:tc>
          <w:tcPr>
            <w:tcW w:w="2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474</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5.6</w:t>
            </w:r>
          </w:p>
        </w:tc>
        <w:tc>
          <w:tcPr>
            <w:tcW w:w="2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2,578</w:t>
            </w:r>
          </w:p>
        </w:tc>
        <w:tc>
          <w:tcPr>
            <w:tcW w:w="140" w:type="dxa"/>
            <w:vAlign w:val="bottom"/>
          </w:tcPr>
          <w:p>
            <w:pPr>
              <w:spacing w:after="0"/>
              <w:rPr>
                <w:sz w:val="19"/>
                <w:szCs w:val="19"/>
                <w:color w:val="auto"/>
              </w:rPr>
            </w:pP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5.2</w:t>
            </w:r>
          </w:p>
        </w:tc>
        <w:tc>
          <w:tcPr>
            <w:tcW w:w="3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835</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5.1</w:t>
            </w:r>
          </w:p>
        </w:tc>
        <w:tc>
          <w:tcPr>
            <w:tcW w:w="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520" w:type="dxa"/>
            <w:vAlign w:val="bottom"/>
            <w:shd w:val="clear" w:color="auto" w:fill="CFF0FC"/>
          </w:tcPr>
          <w:p>
            <w:pPr>
              <w:spacing w:after="0"/>
              <w:rPr>
                <w:sz w:val="20"/>
                <w:szCs w:val="20"/>
                <w:color w:val="auto"/>
              </w:rPr>
            </w:pPr>
            <w:r>
              <w:rPr>
                <w:rFonts w:ascii="Arial" w:cs="Arial" w:eastAsia="Arial" w:hAnsi="Arial"/>
                <w:sz w:val="18"/>
                <w:szCs w:val="18"/>
                <w:color w:val="auto"/>
              </w:rPr>
              <w:t>Other</w:t>
            </w:r>
          </w:p>
        </w:tc>
        <w:tc>
          <w:tcPr>
            <w:tcW w:w="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574</w:t>
            </w:r>
          </w:p>
        </w:tc>
        <w:tc>
          <w:tcPr>
            <w:tcW w:w="220" w:type="dxa"/>
            <w:vAlign w:val="bottom"/>
            <w:shd w:val="clear" w:color="auto" w:fill="CFF0FC"/>
          </w:tcPr>
          <w:p>
            <w:pPr>
              <w:spacing w:after="0"/>
              <w:rPr>
                <w:sz w:val="19"/>
                <w:szCs w:val="19"/>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w:t>
            </w:r>
          </w:p>
        </w:tc>
        <w:tc>
          <w:tcPr>
            <w:tcW w:w="2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155</w:t>
            </w:r>
          </w:p>
        </w:tc>
        <w:tc>
          <w:tcPr>
            <w:tcW w:w="1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w:t>
            </w:r>
          </w:p>
        </w:tc>
        <w:tc>
          <w:tcPr>
            <w:tcW w:w="2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1,188</w:t>
            </w:r>
          </w:p>
        </w:tc>
        <w:tc>
          <w:tcPr>
            <w:tcW w:w="140" w:type="dxa"/>
            <w:vAlign w:val="bottom"/>
            <w:shd w:val="clear" w:color="auto" w:fill="CFF0FC"/>
          </w:tcPr>
          <w:p>
            <w:pPr>
              <w:spacing w:after="0"/>
              <w:rPr>
                <w:sz w:val="19"/>
                <w:szCs w:val="19"/>
                <w:color w:val="auto"/>
              </w:rPr>
            </w:pPr>
          </w:p>
        </w:tc>
        <w:tc>
          <w:tcPr>
            <w:tcW w:w="7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2.4</w:t>
            </w:r>
          </w:p>
        </w:tc>
        <w:tc>
          <w:tcPr>
            <w:tcW w:w="3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320</w:t>
            </w:r>
          </w:p>
        </w:tc>
        <w:tc>
          <w:tcPr>
            <w:tcW w:w="1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w:t>
            </w:r>
          </w:p>
        </w:tc>
        <w:tc>
          <w:tcPr>
            <w:tcW w:w="2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2520" w:type="dxa"/>
            <w:vAlign w:val="bottom"/>
          </w:tcPr>
          <w:p>
            <w:pPr>
              <w:spacing w:after="0"/>
              <w:rPr>
                <w:sz w:val="20"/>
                <w:szCs w:val="20"/>
                <w:color w:val="auto"/>
              </w:rPr>
            </w:pPr>
            <w:r>
              <w:rPr>
                <w:rFonts w:ascii="Arial" w:cs="Arial" w:eastAsia="Arial" w:hAnsi="Arial"/>
                <w:sz w:val="18"/>
                <w:szCs w:val="18"/>
                <w:color w:val="auto"/>
                <w:w w:val="91"/>
              </w:rPr>
              <w:t>Total hospice segment net service</w:t>
            </w:r>
          </w:p>
        </w:tc>
        <w:tc>
          <w:tcPr>
            <w:tcW w:w="6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68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tcBorders>
              <w:top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520" w:type="dxa"/>
            <w:vAlign w:val="bottom"/>
          </w:tcPr>
          <w:p>
            <w:pPr>
              <w:spacing w:after="0"/>
              <w:rPr>
                <w:sz w:val="20"/>
                <w:szCs w:val="20"/>
                <w:color w:val="auto"/>
              </w:rPr>
            </w:pPr>
            <w:r>
              <w:rPr>
                <w:rFonts w:ascii="Arial" w:cs="Arial" w:eastAsia="Arial" w:hAnsi="Arial"/>
                <w:sz w:val="18"/>
                <w:szCs w:val="18"/>
                <w:color w:val="auto"/>
              </w:rPr>
              <w:t>revenues</w:t>
            </w: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24,525</w:t>
            </w:r>
          </w:p>
        </w:tc>
        <w:tc>
          <w:tcPr>
            <w:tcW w:w="22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100.0</w:t>
            </w:r>
          </w:p>
        </w:tc>
        <w:tc>
          <w:tcPr>
            <w:tcW w:w="440" w:type="dxa"/>
            <w:vAlign w:val="bottom"/>
            <w:gridSpan w:val="2"/>
          </w:tcPr>
          <w:p>
            <w:pPr>
              <w:jc w:val="right"/>
              <w:spacing w:after="0"/>
              <w:rPr>
                <w:sz w:val="20"/>
                <w:szCs w:val="20"/>
                <w:color w:val="auto"/>
              </w:rPr>
            </w:pPr>
            <w:r>
              <w:rPr>
                <w:rFonts w:ascii="Arial" w:cs="Arial" w:eastAsia="Arial" w:hAnsi="Arial"/>
                <w:sz w:val="18"/>
                <w:szCs w:val="18"/>
                <w:color w:val="auto"/>
              </w:rPr>
              <w:t>% $</w:t>
            </w:r>
          </w:p>
        </w:tc>
        <w:tc>
          <w:tcPr>
            <w:tcW w:w="780" w:type="dxa"/>
            <w:vAlign w:val="bottom"/>
          </w:tcPr>
          <w:p>
            <w:pPr>
              <w:jc w:val="right"/>
              <w:spacing w:after="0"/>
              <w:rPr>
                <w:sz w:val="20"/>
                <w:szCs w:val="20"/>
                <w:color w:val="auto"/>
              </w:rPr>
            </w:pPr>
            <w:r>
              <w:rPr>
                <w:rFonts w:ascii="Arial" w:cs="Arial" w:eastAsia="Arial" w:hAnsi="Arial"/>
                <w:sz w:val="18"/>
                <w:szCs w:val="18"/>
                <w:color w:val="auto"/>
              </w:rPr>
              <w:t>8,437</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100.0</w:t>
            </w:r>
          </w:p>
        </w:tc>
        <w:tc>
          <w:tcPr>
            <w:tcW w:w="440" w:type="dxa"/>
            <w:vAlign w:val="bottom"/>
            <w:gridSpan w:val="2"/>
          </w:tcPr>
          <w:p>
            <w:pPr>
              <w:jc w:val="right"/>
              <w:spacing w:after="0"/>
              <w:rPr>
                <w:sz w:val="20"/>
                <w:szCs w:val="20"/>
                <w:color w:val="auto"/>
              </w:rPr>
            </w:pPr>
            <w:r>
              <w:rPr>
                <w:rFonts w:ascii="Arial" w:cs="Arial" w:eastAsia="Arial" w:hAnsi="Arial"/>
                <w:sz w:val="18"/>
                <w:szCs w:val="18"/>
                <w:color w:val="auto"/>
              </w:rPr>
              <w:t>% $</w:t>
            </w:r>
          </w:p>
        </w:tc>
        <w:tc>
          <w:tcPr>
            <w:tcW w:w="780" w:type="dxa"/>
            <w:vAlign w:val="bottom"/>
          </w:tcPr>
          <w:p>
            <w:pPr>
              <w:jc w:val="right"/>
              <w:spacing w:after="0"/>
              <w:rPr>
                <w:sz w:val="20"/>
                <w:szCs w:val="20"/>
                <w:color w:val="auto"/>
              </w:rPr>
            </w:pPr>
            <w:r>
              <w:rPr>
                <w:rFonts w:ascii="Arial" w:cs="Arial" w:eastAsia="Arial" w:hAnsi="Arial"/>
                <w:sz w:val="18"/>
                <w:szCs w:val="18"/>
                <w:color w:val="auto"/>
              </w:rPr>
              <w:t>49,737</w:t>
            </w:r>
          </w:p>
        </w:tc>
        <w:tc>
          <w:tcPr>
            <w:tcW w:w="140" w:type="dxa"/>
            <w:vAlign w:val="bottom"/>
          </w:tcPr>
          <w:p>
            <w:pPr>
              <w:spacing w:after="0"/>
              <w:rPr>
                <w:sz w:val="20"/>
                <w:szCs w:val="20"/>
                <w:color w:val="auto"/>
              </w:rPr>
            </w:pP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100.0</w:t>
            </w:r>
          </w:p>
        </w:tc>
        <w:tc>
          <w:tcPr>
            <w:tcW w:w="440" w:type="dxa"/>
            <w:vAlign w:val="bottom"/>
            <w:gridSpan w:val="2"/>
          </w:tcPr>
          <w:p>
            <w:pPr>
              <w:jc w:val="right"/>
              <w:spacing w:after="0"/>
              <w:rPr>
                <w:sz w:val="20"/>
                <w:szCs w:val="20"/>
                <w:color w:val="auto"/>
              </w:rPr>
            </w:pPr>
            <w:r>
              <w:rPr>
                <w:rFonts w:ascii="Arial" w:cs="Arial" w:eastAsia="Arial" w:hAnsi="Arial"/>
                <w:sz w:val="18"/>
                <w:szCs w:val="18"/>
                <w:color w:val="auto"/>
              </w:rPr>
              <w:t>% $</w:t>
            </w:r>
          </w:p>
        </w:tc>
        <w:tc>
          <w:tcPr>
            <w:tcW w:w="800" w:type="dxa"/>
            <w:vAlign w:val="bottom"/>
          </w:tcPr>
          <w:p>
            <w:pPr>
              <w:jc w:val="right"/>
              <w:spacing w:after="0"/>
              <w:rPr>
                <w:sz w:val="20"/>
                <w:szCs w:val="20"/>
                <w:color w:val="auto"/>
              </w:rPr>
            </w:pPr>
            <w:r>
              <w:rPr>
                <w:rFonts w:ascii="Arial" w:cs="Arial" w:eastAsia="Arial" w:hAnsi="Arial"/>
                <w:sz w:val="18"/>
                <w:szCs w:val="18"/>
                <w:color w:val="auto"/>
              </w:rPr>
              <w:t>16,354</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100.0</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25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25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040" w:type="dxa"/>
            <w:vAlign w:val="bottom"/>
            <w:tcBorders>
              <w:bottom w:val="single" w:sz="8" w:color="auto"/>
            </w:tcBorders>
            <w:gridSpan w:val="5"/>
          </w:tcPr>
          <w:p>
            <w:pPr>
              <w:jc w:val="right"/>
              <w:ind w:right="660"/>
              <w:spacing w:after="0"/>
              <w:rPr>
                <w:sz w:val="20"/>
                <w:szCs w:val="20"/>
                <w:color w:val="auto"/>
              </w:rPr>
            </w:pPr>
            <w:r>
              <w:rPr>
                <w:rFonts w:ascii="Arial" w:cs="Arial" w:eastAsia="Arial" w:hAnsi="Arial"/>
                <w:sz w:val="14"/>
                <w:szCs w:val="14"/>
                <w:b w:val="1"/>
                <w:bCs w:val="1"/>
                <w:color w:val="auto"/>
              </w:rPr>
              <w:t>Home Health</w:t>
            </w:r>
          </w:p>
        </w:tc>
        <w:tc>
          <w:tcPr>
            <w:tcW w:w="8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56"/>
        </w:trPr>
        <w:tc>
          <w:tcPr>
            <w:tcW w:w="25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3200" w:type="dxa"/>
            <w:vAlign w:val="bottom"/>
            <w:tcBorders>
              <w:bottom w:val="single" w:sz="8" w:color="auto"/>
            </w:tcBorders>
            <w:gridSpan w:val="8"/>
          </w:tcPr>
          <w:p>
            <w:pPr>
              <w:jc w:val="center"/>
              <w:ind w:left="418"/>
              <w:spacing w:after="0" w:line="155" w:lineRule="exact"/>
              <w:rPr>
                <w:sz w:val="20"/>
                <w:szCs w:val="20"/>
                <w:color w:val="auto"/>
              </w:rPr>
            </w:pPr>
            <w:r>
              <w:rPr>
                <w:rFonts w:ascii="Arial" w:cs="Arial" w:eastAsia="Arial" w:hAnsi="Arial"/>
                <w:sz w:val="14"/>
                <w:szCs w:val="14"/>
                <w:b w:val="1"/>
                <w:bCs w:val="1"/>
                <w:color w:val="auto"/>
                <w:w w:val="93"/>
              </w:rPr>
              <w:t>For the Three Months Ended June 30,</w:t>
            </w:r>
          </w:p>
        </w:tc>
        <w:tc>
          <w:tcPr>
            <w:tcW w:w="680" w:type="dxa"/>
            <w:vAlign w:val="bottom"/>
            <w:tcBorders>
              <w:bottom w:val="single" w:sz="8" w:color="auto"/>
            </w:tcBorders>
          </w:tcPr>
          <w:p>
            <w:pPr>
              <w:spacing w:after="0"/>
              <w:rPr>
                <w:sz w:val="13"/>
                <w:szCs w:val="13"/>
                <w:color w:val="auto"/>
              </w:rPr>
            </w:pPr>
          </w:p>
        </w:tc>
        <w:tc>
          <w:tcPr>
            <w:tcW w:w="28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2280" w:type="dxa"/>
            <w:vAlign w:val="bottom"/>
            <w:tcBorders>
              <w:bottom w:val="single" w:sz="8" w:color="auto"/>
            </w:tcBorders>
            <w:gridSpan w:val="7"/>
          </w:tcPr>
          <w:p>
            <w:pPr>
              <w:jc w:val="right"/>
              <w:ind w:right="100"/>
              <w:spacing w:after="0" w:line="155" w:lineRule="exact"/>
              <w:rPr>
                <w:sz w:val="20"/>
                <w:szCs w:val="20"/>
                <w:color w:val="auto"/>
              </w:rPr>
            </w:pPr>
            <w:r>
              <w:rPr>
                <w:rFonts w:ascii="Arial" w:cs="Arial" w:eastAsia="Arial" w:hAnsi="Arial"/>
                <w:sz w:val="14"/>
                <w:szCs w:val="14"/>
                <w:b w:val="1"/>
                <w:bCs w:val="1"/>
                <w:color w:val="auto"/>
                <w:w w:val="92"/>
              </w:rPr>
              <w:t>For the Six Months Ended June 30,</w:t>
            </w:r>
          </w:p>
        </w:tc>
        <w:tc>
          <w:tcPr>
            <w:tcW w:w="700" w:type="dxa"/>
            <w:vAlign w:val="bottom"/>
            <w:tcBorders>
              <w:bottom w:val="single" w:sz="8" w:color="auto"/>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25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gridSpan w:val="2"/>
          </w:tcPr>
          <w:p>
            <w:pPr>
              <w:jc w:val="right"/>
              <w:ind w:right="100"/>
              <w:spacing w:after="0" w:line="155" w:lineRule="exact"/>
              <w:rPr>
                <w:sz w:val="20"/>
                <w:szCs w:val="20"/>
                <w:color w:val="auto"/>
              </w:rPr>
            </w:pPr>
            <w:r>
              <w:rPr>
                <w:rFonts w:ascii="Arial" w:cs="Arial" w:eastAsia="Arial" w:hAnsi="Arial"/>
                <w:sz w:val="14"/>
                <w:szCs w:val="14"/>
                <w:b w:val="1"/>
                <w:bCs w:val="1"/>
                <w:color w:val="auto"/>
              </w:rPr>
              <w:t>2020</w:t>
            </w:r>
          </w:p>
        </w:tc>
        <w:tc>
          <w:tcPr>
            <w:tcW w:w="680" w:type="dxa"/>
            <w:vAlign w:val="bottom"/>
            <w:tcBorders>
              <w:bottom w:val="single" w:sz="8" w:color="auto"/>
            </w:tcBorders>
          </w:tcPr>
          <w:p>
            <w:pPr>
              <w:spacing w:after="0"/>
              <w:rPr>
                <w:sz w:val="13"/>
                <w:szCs w:val="13"/>
                <w:color w:val="auto"/>
              </w:rPr>
            </w:pPr>
          </w:p>
        </w:tc>
        <w:tc>
          <w:tcPr>
            <w:tcW w:w="28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080" w:type="dxa"/>
            <w:vAlign w:val="bottom"/>
            <w:tcBorders>
              <w:bottom w:val="single" w:sz="8" w:color="auto"/>
            </w:tcBorders>
            <w:gridSpan w:val="3"/>
          </w:tcPr>
          <w:p>
            <w:pPr>
              <w:jc w:val="right"/>
              <w:ind w:right="140"/>
              <w:spacing w:after="0" w:line="155" w:lineRule="exact"/>
              <w:rPr>
                <w:sz w:val="20"/>
                <w:szCs w:val="20"/>
                <w:color w:val="auto"/>
              </w:rPr>
            </w:pPr>
            <w:r>
              <w:rPr>
                <w:rFonts w:ascii="Arial" w:cs="Arial" w:eastAsia="Arial" w:hAnsi="Arial"/>
                <w:sz w:val="14"/>
                <w:szCs w:val="14"/>
                <w:b w:val="1"/>
                <w:bCs w:val="1"/>
                <w:color w:val="auto"/>
              </w:rPr>
              <w:t>2019</w:t>
            </w:r>
          </w:p>
        </w:tc>
        <w:tc>
          <w:tcPr>
            <w:tcW w:w="680" w:type="dxa"/>
            <w:vAlign w:val="bottom"/>
            <w:tcBorders>
              <w:bottom w:val="single" w:sz="8" w:color="auto"/>
            </w:tcBorders>
          </w:tcPr>
          <w:p>
            <w:pPr>
              <w:spacing w:after="0"/>
              <w:rPr>
                <w:sz w:val="13"/>
                <w:szCs w:val="13"/>
                <w:color w:val="auto"/>
              </w:rPr>
            </w:pPr>
          </w:p>
        </w:tc>
        <w:tc>
          <w:tcPr>
            <w:tcW w:w="28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gridSpan w:val="2"/>
          </w:tcPr>
          <w:p>
            <w:pPr>
              <w:jc w:val="right"/>
              <w:ind w:right="20"/>
              <w:spacing w:after="0" w:line="155" w:lineRule="exact"/>
              <w:rPr>
                <w:sz w:val="20"/>
                <w:szCs w:val="20"/>
                <w:color w:val="auto"/>
              </w:rPr>
            </w:pPr>
            <w:r>
              <w:rPr>
                <w:rFonts w:ascii="Arial" w:cs="Arial" w:eastAsia="Arial" w:hAnsi="Arial"/>
                <w:sz w:val="14"/>
                <w:szCs w:val="14"/>
                <w:b w:val="1"/>
                <w:bCs w:val="1"/>
                <w:color w:val="auto"/>
              </w:rPr>
              <w:t>2020</w:t>
            </w:r>
          </w:p>
        </w:tc>
        <w:tc>
          <w:tcPr>
            <w:tcW w:w="8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tcPr>
          <w:p>
            <w:pPr>
              <w:spacing w:after="0"/>
              <w:rPr>
                <w:sz w:val="13"/>
                <w:szCs w:val="13"/>
                <w:color w:val="auto"/>
              </w:rPr>
            </w:pPr>
          </w:p>
        </w:tc>
        <w:tc>
          <w:tcPr>
            <w:tcW w:w="30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080" w:type="dxa"/>
            <w:vAlign w:val="bottom"/>
            <w:tcBorders>
              <w:bottom w:val="single" w:sz="8" w:color="auto"/>
            </w:tcBorders>
            <w:gridSpan w:val="3"/>
          </w:tcPr>
          <w:p>
            <w:pPr>
              <w:jc w:val="right"/>
              <w:ind w:right="120"/>
              <w:spacing w:after="0" w:line="155" w:lineRule="exact"/>
              <w:rPr>
                <w:sz w:val="20"/>
                <w:szCs w:val="20"/>
                <w:color w:val="auto"/>
              </w:rPr>
            </w:pPr>
            <w:r>
              <w:rPr>
                <w:rFonts w:ascii="Arial" w:cs="Arial" w:eastAsia="Arial" w:hAnsi="Arial"/>
                <w:sz w:val="14"/>
                <w:szCs w:val="14"/>
                <w:b w:val="1"/>
                <w:bCs w:val="1"/>
                <w:color w:val="auto"/>
              </w:rPr>
              <w:t>2019</w:t>
            </w:r>
          </w:p>
        </w:tc>
        <w:tc>
          <w:tcPr>
            <w:tcW w:w="700" w:type="dxa"/>
            <w:vAlign w:val="bottom"/>
            <w:tcBorders>
              <w:bottom w:val="single" w:sz="8" w:color="auto"/>
            </w:tcBorders>
          </w:tcPr>
          <w:p>
            <w:pPr>
              <w:spacing w:after="0"/>
              <w:rPr>
                <w:sz w:val="13"/>
                <w:szCs w:val="13"/>
                <w:color w:val="auto"/>
              </w:rPr>
            </w:pPr>
          </w:p>
        </w:tc>
        <w:tc>
          <w:tcPr>
            <w:tcW w:w="2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3"/>
        </w:trPr>
        <w:tc>
          <w:tcPr>
            <w:tcW w:w="2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80" w:type="dxa"/>
            <w:vAlign w:val="bottom"/>
          </w:tcPr>
          <w:p>
            <w:pPr>
              <w:jc w:val="center"/>
              <w:spacing w:after="0" w:line="133" w:lineRule="exact"/>
              <w:rPr>
                <w:sz w:val="20"/>
                <w:szCs w:val="20"/>
                <w:color w:val="auto"/>
              </w:rPr>
            </w:pPr>
            <w:r>
              <w:rPr>
                <w:rFonts w:ascii="Arial" w:cs="Arial" w:eastAsia="Arial" w:hAnsi="Arial"/>
                <w:sz w:val="14"/>
                <w:szCs w:val="14"/>
                <w:b w:val="1"/>
                <w:bCs w:val="1"/>
                <w:color w:val="auto"/>
              </w:rPr>
              <w:t>% of</w:t>
            </w:r>
          </w:p>
        </w:tc>
        <w:tc>
          <w:tcPr>
            <w:tcW w:w="2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80" w:type="dxa"/>
            <w:vAlign w:val="bottom"/>
          </w:tcPr>
          <w:p>
            <w:pPr>
              <w:jc w:val="center"/>
              <w:spacing w:after="0" w:line="133" w:lineRule="exact"/>
              <w:rPr>
                <w:sz w:val="20"/>
                <w:szCs w:val="20"/>
                <w:color w:val="auto"/>
              </w:rPr>
            </w:pPr>
            <w:r>
              <w:rPr>
                <w:rFonts w:ascii="Arial" w:cs="Arial" w:eastAsia="Arial" w:hAnsi="Arial"/>
                <w:sz w:val="14"/>
                <w:szCs w:val="14"/>
                <w:b w:val="1"/>
                <w:bCs w:val="1"/>
                <w:color w:val="auto"/>
              </w:rPr>
              <w:t>% of</w:t>
            </w:r>
          </w:p>
        </w:tc>
        <w:tc>
          <w:tcPr>
            <w:tcW w:w="2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jc w:val="center"/>
              <w:spacing w:after="0" w:line="133" w:lineRule="exact"/>
              <w:rPr>
                <w:sz w:val="20"/>
                <w:szCs w:val="20"/>
                <w:color w:val="auto"/>
              </w:rPr>
            </w:pPr>
            <w:r>
              <w:rPr>
                <w:rFonts w:ascii="Arial" w:cs="Arial" w:eastAsia="Arial" w:hAnsi="Arial"/>
                <w:sz w:val="14"/>
                <w:szCs w:val="14"/>
                <w:b w:val="1"/>
                <w:bCs w:val="1"/>
                <w:color w:val="auto"/>
              </w:rPr>
              <w:t>% of</w:t>
            </w:r>
          </w:p>
        </w:tc>
        <w:tc>
          <w:tcPr>
            <w:tcW w:w="3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00" w:type="dxa"/>
            <w:vAlign w:val="bottom"/>
          </w:tcPr>
          <w:p>
            <w:pPr>
              <w:jc w:val="center"/>
              <w:spacing w:after="0" w:line="133" w:lineRule="exact"/>
              <w:rPr>
                <w:sz w:val="20"/>
                <w:szCs w:val="20"/>
                <w:color w:val="auto"/>
              </w:rPr>
            </w:pPr>
            <w:r>
              <w:rPr>
                <w:rFonts w:ascii="Arial" w:cs="Arial" w:eastAsia="Arial" w:hAnsi="Arial"/>
                <w:sz w:val="14"/>
                <w:szCs w:val="14"/>
                <w:b w:val="1"/>
                <w:bCs w:val="1"/>
                <w:color w:val="auto"/>
              </w:rPr>
              <w:t>% of</w:t>
            </w:r>
          </w:p>
        </w:tc>
        <w:tc>
          <w:tcPr>
            <w:tcW w:w="2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25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1"/>
              </w:rPr>
              <w:t>Segment</w:t>
            </w:r>
          </w:p>
        </w:tc>
        <w:tc>
          <w:tcPr>
            <w:tcW w:w="2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1"/>
              </w:rPr>
              <w:t>Segment</w:t>
            </w:r>
          </w:p>
        </w:tc>
        <w:tc>
          <w:tcPr>
            <w:tcW w:w="2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1"/>
              </w:rPr>
              <w:t>Segment</w:t>
            </w:r>
          </w:p>
        </w:tc>
        <w:tc>
          <w:tcPr>
            <w:tcW w:w="3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7"/>
              </w:rPr>
              <w:t>Segment</w:t>
            </w:r>
          </w:p>
        </w:tc>
        <w:tc>
          <w:tcPr>
            <w:tcW w:w="2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5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0" w:type="dxa"/>
            <w:vAlign w:val="bottom"/>
            <w:gridSpan w:val="2"/>
            <w:vMerge w:val="restart"/>
          </w:tcPr>
          <w:p>
            <w:pPr>
              <w:jc w:val="right"/>
              <w:ind w:right="440"/>
              <w:spacing w:after="0"/>
              <w:rPr>
                <w:sz w:val="20"/>
                <w:szCs w:val="20"/>
                <w:color w:val="auto"/>
              </w:rPr>
            </w:pPr>
            <w:r>
              <w:rPr>
                <w:rFonts w:ascii="Arial" w:cs="Arial" w:eastAsia="Arial" w:hAnsi="Arial"/>
                <w:sz w:val="14"/>
                <w:szCs w:val="14"/>
                <w:b w:val="1"/>
                <w:bCs w:val="1"/>
                <w:color w:val="auto"/>
              </w:rPr>
              <w:t>Amount</w:t>
            </w:r>
          </w:p>
        </w:tc>
        <w:tc>
          <w:tcPr>
            <w:tcW w:w="6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7"/>
              </w:rPr>
              <w:t>Net</w:t>
            </w:r>
          </w:p>
        </w:tc>
        <w:tc>
          <w:tcPr>
            <w:tcW w:w="2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80" w:type="dxa"/>
            <w:vAlign w:val="bottom"/>
            <w:gridSpan w:val="3"/>
            <w:vMerge w:val="restart"/>
          </w:tcPr>
          <w:p>
            <w:pPr>
              <w:jc w:val="center"/>
              <w:ind w:right="460"/>
              <w:spacing w:after="0"/>
              <w:rPr>
                <w:sz w:val="20"/>
                <w:szCs w:val="20"/>
                <w:color w:val="auto"/>
              </w:rPr>
            </w:pPr>
            <w:r>
              <w:rPr>
                <w:rFonts w:ascii="Arial" w:cs="Arial" w:eastAsia="Arial" w:hAnsi="Arial"/>
                <w:sz w:val="14"/>
                <w:szCs w:val="14"/>
                <w:b w:val="1"/>
                <w:bCs w:val="1"/>
                <w:color w:val="auto"/>
                <w:w w:val="94"/>
              </w:rPr>
              <w:t>Amount</w:t>
            </w:r>
          </w:p>
        </w:tc>
        <w:tc>
          <w:tcPr>
            <w:tcW w:w="6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7"/>
              </w:rPr>
              <w:t>Net</w:t>
            </w:r>
          </w:p>
        </w:tc>
        <w:tc>
          <w:tcPr>
            <w:tcW w:w="2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20" w:type="dxa"/>
            <w:vAlign w:val="bottom"/>
            <w:gridSpan w:val="2"/>
            <w:vMerge w:val="restart"/>
          </w:tcPr>
          <w:p>
            <w:pPr>
              <w:jc w:val="center"/>
              <w:ind w:right="300"/>
              <w:spacing w:after="0"/>
              <w:rPr>
                <w:sz w:val="20"/>
                <w:szCs w:val="20"/>
                <w:color w:val="auto"/>
              </w:rPr>
            </w:pPr>
            <w:r>
              <w:rPr>
                <w:rFonts w:ascii="Arial" w:cs="Arial" w:eastAsia="Arial" w:hAnsi="Arial"/>
                <w:sz w:val="14"/>
                <w:szCs w:val="14"/>
                <w:b w:val="1"/>
                <w:bCs w:val="1"/>
                <w:color w:val="auto"/>
                <w:w w:val="94"/>
              </w:rPr>
              <w:t>Amount</w:t>
            </w:r>
          </w:p>
        </w:tc>
        <w:tc>
          <w:tcPr>
            <w:tcW w:w="80" w:type="dxa"/>
            <w:vAlign w:val="bottom"/>
          </w:tcPr>
          <w:p>
            <w:pPr>
              <w:spacing w:after="0"/>
              <w:rPr>
                <w:sz w:val="12"/>
                <w:szCs w:val="12"/>
                <w:color w:val="auto"/>
              </w:rPr>
            </w:pPr>
          </w:p>
        </w:tc>
        <w:tc>
          <w:tcPr>
            <w:tcW w:w="6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7"/>
              </w:rPr>
              <w:t>Net</w:t>
            </w:r>
          </w:p>
        </w:tc>
        <w:tc>
          <w:tcPr>
            <w:tcW w:w="3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80" w:type="dxa"/>
            <w:vAlign w:val="bottom"/>
            <w:gridSpan w:val="3"/>
            <w:vMerge w:val="restart"/>
          </w:tcPr>
          <w:p>
            <w:pPr>
              <w:jc w:val="center"/>
              <w:ind w:right="440"/>
              <w:spacing w:after="0"/>
              <w:rPr>
                <w:sz w:val="20"/>
                <w:szCs w:val="20"/>
                <w:color w:val="auto"/>
              </w:rPr>
            </w:pPr>
            <w:r>
              <w:rPr>
                <w:rFonts w:ascii="Arial" w:cs="Arial" w:eastAsia="Arial" w:hAnsi="Arial"/>
                <w:sz w:val="14"/>
                <w:szCs w:val="14"/>
                <w:b w:val="1"/>
                <w:bCs w:val="1"/>
                <w:color w:val="auto"/>
                <w:w w:val="98"/>
              </w:rPr>
              <w:t>Amount</w:t>
            </w:r>
          </w:p>
        </w:tc>
        <w:tc>
          <w:tcPr>
            <w:tcW w:w="7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7"/>
              </w:rPr>
              <w:t>Net</w:t>
            </w:r>
          </w:p>
        </w:tc>
        <w:tc>
          <w:tcPr>
            <w:tcW w:w="2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5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0" w:type="dxa"/>
            <w:vAlign w:val="bottom"/>
            <w:gridSpan w:val="2"/>
            <w:vMerge w:val="continue"/>
          </w:tcPr>
          <w:p>
            <w:pPr>
              <w:spacing w:after="0"/>
              <w:rPr>
                <w:sz w:val="12"/>
                <w:szCs w:val="12"/>
                <w:color w:val="auto"/>
              </w:rPr>
            </w:pPr>
          </w:p>
        </w:tc>
        <w:tc>
          <w:tcPr>
            <w:tcW w:w="6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Service</w:t>
            </w:r>
          </w:p>
        </w:tc>
        <w:tc>
          <w:tcPr>
            <w:tcW w:w="2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80" w:type="dxa"/>
            <w:vAlign w:val="bottom"/>
            <w:gridSpan w:val="3"/>
            <w:vMerge w:val="continue"/>
          </w:tcPr>
          <w:p>
            <w:pPr>
              <w:spacing w:after="0"/>
              <w:rPr>
                <w:sz w:val="12"/>
                <w:szCs w:val="12"/>
                <w:color w:val="auto"/>
              </w:rPr>
            </w:pPr>
          </w:p>
        </w:tc>
        <w:tc>
          <w:tcPr>
            <w:tcW w:w="6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Service</w:t>
            </w:r>
          </w:p>
        </w:tc>
        <w:tc>
          <w:tcPr>
            <w:tcW w:w="2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2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Service</w:t>
            </w:r>
          </w:p>
        </w:tc>
        <w:tc>
          <w:tcPr>
            <w:tcW w:w="3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80" w:type="dxa"/>
            <w:vAlign w:val="bottom"/>
            <w:gridSpan w:val="3"/>
            <w:vMerge w:val="continue"/>
          </w:tcPr>
          <w:p>
            <w:pPr>
              <w:spacing w:after="0"/>
              <w:rPr>
                <w:sz w:val="12"/>
                <w:szCs w:val="12"/>
                <w:color w:val="auto"/>
              </w:rPr>
            </w:pPr>
          </w:p>
        </w:tc>
        <w:tc>
          <w:tcPr>
            <w:tcW w:w="7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Service</w:t>
            </w:r>
          </w:p>
        </w:tc>
        <w:tc>
          <w:tcPr>
            <w:tcW w:w="2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520" w:type="dxa"/>
            <w:vAlign w:val="bottom"/>
          </w:tcPr>
          <w:p>
            <w:pPr>
              <w:spacing w:after="0"/>
              <w:rPr>
                <w:sz w:val="14"/>
                <w:szCs w:val="14"/>
                <w:color w:val="auto"/>
              </w:rPr>
            </w:pPr>
          </w:p>
        </w:tc>
        <w:tc>
          <w:tcPr>
            <w:tcW w:w="1220" w:type="dxa"/>
            <w:vAlign w:val="bottom"/>
            <w:gridSpan w:val="4"/>
          </w:tcPr>
          <w:p>
            <w:pPr>
              <w:ind w:left="60"/>
              <w:spacing w:after="0"/>
              <w:rPr>
                <w:sz w:val="20"/>
                <w:szCs w:val="20"/>
                <w:color w:val="auto"/>
              </w:rPr>
            </w:pPr>
            <w:r>
              <w:rPr>
                <w:rFonts w:ascii="Arial" w:cs="Arial" w:eastAsia="Arial" w:hAnsi="Arial"/>
                <w:sz w:val="14"/>
                <w:szCs w:val="14"/>
                <w:b w:val="1"/>
                <w:bCs w:val="1"/>
                <w:color w:val="auto"/>
              </w:rPr>
              <w:t>(in Thousands)</w:t>
            </w:r>
          </w:p>
        </w:tc>
        <w:tc>
          <w:tcPr>
            <w:tcW w:w="680" w:type="dxa"/>
            <w:vAlign w:val="bottom"/>
          </w:tcPr>
          <w:p>
            <w:pPr>
              <w:jc w:val="center"/>
              <w:spacing w:after="0"/>
              <w:rPr>
                <w:sz w:val="20"/>
                <w:szCs w:val="20"/>
                <w:color w:val="auto"/>
              </w:rPr>
            </w:pPr>
            <w:r>
              <w:rPr>
                <w:rFonts w:ascii="Arial" w:cs="Arial" w:eastAsia="Arial" w:hAnsi="Arial"/>
                <w:sz w:val="14"/>
                <w:szCs w:val="14"/>
                <w:b w:val="1"/>
                <w:bCs w:val="1"/>
                <w:color w:val="auto"/>
                <w:w w:val="87"/>
              </w:rPr>
              <w:t>Revenues</w:t>
            </w:r>
          </w:p>
        </w:tc>
        <w:tc>
          <w:tcPr>
            <w:tcW w:w="280" w:type="dxa"/>
            <w:vAlign w:val="bottom"/>
          </w:tcPr>
          <w:p>
            <w:pPr>
              <w:spacing w:after="0"/>
              <w:rPr>
                <w:sz w:val="14"/>
                <w:szCs w:val="14"/>
                <w:color w:val="auto"/>
              </w:rPr>
            </w:pPr>
          </w:p>
        </w:tc>
        <w:tc>
          <w:tcPr>
            <w:tcW w:w="1240" w:type="dxa"/>
            <w:vAlign w:val="bottom"/>
            <w:gridSpan w:val="4"/>
          </w:tcPr>
          <w:p>
            <w:pPr>
              <w:jc w:val="center"/>
              <w:ind w:right="320"/>
              <w:spacing w:after="0"/>
              <w:rPr>
                <w:sz w:val="20"/>
                <w:szCs w:val="20"/>
                <w:color w:val="auto"/>
              </w:rPr>
            </w:pPr>
            <w:r>
              <w:rPr>
                <w:rFonts w:ascii="Arial" w:cs="Arial" w:eastAsia="Arial" w:hAnsi="Arial"/>
                <w:sz w:val="14"/>
                <w:szCs w:val="14"/>
                <w:b w:val="1"/>
                <w:bCs w:val="1"/>
                <w:color w:val="auto"/>
                <w:w w:val="91"/>
              </w:rPr>
              <w:t>(in Thousands)</w:t>
            </w:r>
          </w:p>
        </w:tc>
        <w:tc>
          <w:tcPr>
            <w:tcW w:w="680" w:type="dxa"/>
            <w:vAlign w:val="bottom"/>
          </w:tcPr>
          <w:p>
            <w:pPr>
              <w:jc w:val="center"/>
              <w:spacing w:after="0"/>
              <w:rPr>
                <w:sz w:val="20"/>
                <w:szCs w:val="20"/>
                <w:color w:val="auto"/>
              </w:rPr>
            </w:pPr>
            <w:r>
              <w:rPr>
                <w:rFonts w:ascii="Arial" w:cs="Arial" w:eastAsia="Arial" w:hAnsi="Arial"/>
                <w:sz w:val="14"/>
                <w:szCs w:val="14"/>
                <w:b w:val="1"/>
                <w:bCs w:val="1"/>
                <w:color w:val="auto"/>
                <w:w w:val="87"/>
              </w:rPr>
              <w:t>Revenues</w:t>
            </w:r>
          </w:p>
        </w:tc>
        <w:tc>
          <w:tcPr>
            <w:tcW w:w="1360" w:type="dxa"/>
            <w:vAlign w:val="bottom"/>
            <w:gridSpan w:val="4"/>
          </w:tcPr>
          <w:p>
            <w:pPr>
              <w:jc w:val="center"/>
              <w:ind w:left="38"/>
              <w:spacing w:after="0"/>
              <w:rPr>
                <w:sz w:val="20"/>
                <w:szCs w:val="20"/>
                <w:color w:val="auto"/>
              </w:rPr>
            </w:pPr>
            <w:r>
              <w:rPr>
                <w:rFonts w:ascii="Arial" w:cs="Arial" w:eastAsia="Arial" w:hAnsi="Arial"/>
                <w:sz w:val="14"/>
                <w:szCs w:val="14"/>
                <w:b w:val="1"/>
                <w:bCs w:val="1"/>
                <w:color w:val="auto"/>
                <w:w w:val="91"/>
              </w:rPr>
              <w:t>(in Thousands)</w:t>
            </w:r>
          </w:p>
        </w:tc>
        <w:tc>
          <w:tcPr>
            <w:tcW w:w="80" w:type="dxa"/>
            <w:vAlign w:val="bottom"/>
          </w:tcPr>
          <w:p>
            <w:pPr>
              <w:spacing w:after="0"/>
              <w:rPr>
                <w:sz w:val="14"/>
                <w:szCs w:val="14"/>
                <w:color w:val="auto"/>
              </w:rPr>
            </w:pPr>
          </w:p>
        </w:tc>
        <w:tc>
          <w:tcPr>
            <w:tcW w:w="680" w:type="dxa"/>
            <w:vAlign w:val="bottom"/>
          </w:tcPr>
          <w:p>
            <w:pPr>
              <w:jc w:val="center"/>
              <w:spacing w:after="0"/>
              <w:rPr>
                <w:sz w:val="20"/>
                <w:szCs w:val="20"/>
                <w:color w:val="auto"/>
              </w:rPr>
            </w:pPr>
            <w:r>
              <w:rPr>
                <w:rFonts w:ascii="Arial" w:cs="Arial" w:eastAsia="Arial" w:hAnsi="Arial"/>
                <w:sz w:val="14"/>
                <w:szCs w:val="14"/>
                <w:b w:val="1"/>
                <w:bCs w:val="1"/>
                <w:color w:val="auto"/>
                <w:w w:val="87"/>
              </w:rPr>
              <w:t>Revenues</w:t>
            </w:r>
          </w:p>
        </w:tc>
        <w:tc>
          <w:tcPr>
            <w:tcW w:w="1520" w:type="dxa"/>
            <w:vAlign w:val="bottom"/>
            <w:gridSpan w:val="5"/>
          </w:tcPr>
          <w:p>
            <w:pPr>
              <w:jc w:val="center"/>
              <w:spacing w:after="0"/>
              <w:rPr>
                <w:sz w:val="20"/>
                <w:szCs w:val="20"/>
                <w:color w:val="auto"/>
              </w:rPr>
            </w:pPr>
            <w:r>
              <w:rPr>
                <w:rFonts w:ascii="Arial" w:cs="Arial" w:eastAsia="Arial" w:hAnsi="Arial"/>
                <w:sz w:val="14"/>
                <w:szCs w:val="14"/>
                <w:b w:val="1"/>
                <w:bCs w:val="1"/>
                <w:color w:val="auto"/>
                <w:w w:val="91"/>
              </w:rPr>
              <w:t>(in Thousands)</w:t>
            </w:r>
          </w:p>
        </w:tc>
        <w:tc>
          <w:tcPr>
            <w:tcW w:w="700" w:type="dxa"/>
            <w:vAlign w:val="bottom"/>
          </w:tcPr>
          <w:p>
            <w:pPr>
              <w:jc w:val="center"/>
              <w:spacing w:after="0"/>
              <w:rPr>
                <w:sz w:val="20"/>
                <w:szCs w:val="20"/>
                <w:color w:val="auto"/>
              </w:rPr>
            </w:pPr>
            <w:r>
              <w:rPr>
                <w:rFonts w:ascii="Arial" w:cs="Arial" w:eastAsia="Arial" w:hAnsi="Arial"/>
                <w:sz w:val="14"/>
                <w:szCs w:val="14"/>
                <w:b w:val="1"/>
                <w:bCs w:val="1"/>
                <w:color w:val="auto"/>
                <w:w w:val="87"/>
              </w:rPr>
              <w:t>Revenues</w:t>
            </w:r>
          </w:p>
        </w:tc>
        <w:tc>
          <w:tcPr>
            <w:tcW w:w="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25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Medicare</w:t>
            </w:r>
          </w:p>
        </w:tc>
        <w:tc>
          <w:tcPr>
            <w:tcW w:w="6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w:t>
            </w:r>
          </w:p>
        </w:tc>
        <w:tc>
          <w:tcPr>
            <w:tcW w:w="7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3,010</w:t>
            </w:r>
          </w:p>
        </w:tc>
        <w:tc>
          <w:tcPr>
            <w:tcW w:w="220" w:type="dxa"/>
            <w:vAlign w:val="bottom"/>
            <w:tcBorders>
              <w:top w:val="single" w:sz="8" w:color="CFF0FC"/>
            </w:tcBorders>
            <w:shd w:val="clear" w:color="auto" w:fill="CFF0FC"/>
          </w:tcPr>
          <w:p>
            <w:pPr>
              <w:spacing w:after="0"/>
              <w:rPr>
                <w:sz w:val="19"/>
                <w:szCs w:val="19"/>
                <w:color w:val="auto"/>
              </w:rPr>
            </w:pPr>
          </w:p>
        </w:tc>
        <w:tc>
          <w:tcPr>
            <w:tcW w:w="6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79.6</w:t>
            </w:r>
          </w:p>
        </w:tc>
        <w:tc>
          <w:tcPr>
            <w:tcW w:w="280" w:type="dxa"/>
            <w:vAlign w:val="bottom"/>
            <w:tcBorders>
              <w:top w:val="single" w:sz="8" w:color="CFF0FC"/>
            </w:tcBorders>
            <w:shd w:val="clear" w:color="auto" w:fill="CFF0FC"/>
          </w:tcPr>
          <w:p>
            <w:pPr>
              <w:jc w:val="center"/>
              <w:ind w:left="10"/>
              <w:spacing w:after="0"/>
              <w:rPr>
                <w:sz w:val="20"/>
                <w:szCs w:val="20"/>
                <w:color w:val="auto"/>
              </w:rPr>
            </w:pPr>
            <w:r>
              <w:rPr>
                <w:rFonts w:ascii="Arial" w:cs="Arial" w:eastAsia="Arial" w:hAnsi="Arial"/>
                <w:sz w:val="18"/>
                <w:szCs w:val="18"/>
                <w:color w:val="auto"/>
                <w:w w:val="87"/>
              </w:rPr>
              <w:t>%</w:t>
            </w:r>
          </w:p>
        </w:tc>
        <w:tc>
          <w:tcPr>
            <w:tcW w:w="1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2,436</w:t>
            </w:r>
          </w:p>
        </w:tc>
        <w:tc>
          <w:tcPr>
            <w:tcW w:w="10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spacing w:after="0"/>
              <w:rPr>
                <w:sz w:val="19"/>
                <w:szCs w:val="19"/>
                <w:color w:val="auto"/>
              </w:rPr>
            </w:pPr>
          </w:p>
        </w:tc>
        <w:tc>
          <w:tcPr>
            <w:tcW w:w="6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81.2</w:t>
            </w:r>
          </w:p>
        </w:tc>
        <w:tc>
          <w:tcPr>
            <w:tcW w:w="280" w:type="dxa"/>
            <w:vAlign w:val="bottom"/>
            <w:tcBorders>
              <w:top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6,480</w:t>
            </w:r>
          </w:p>
        </w:tc>
        <w:tc>
          <w:tcPr>
            <w:tcW w:w="14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6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79.8</w:t>
            </w:r>
          </w:p>
        </w:tc>
        <w:tc>
          <w:tcPr>
            <w:tcW w:w="300" w:type="dxa"/>
            <w:vAlign w:val="bottom"/>
            <w:tcBorders>
              <w:top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4,635</w:t>
            </w:r>
          </w:p>
        </w:tc>
        <w:tc>
          <w:tcPr>
            <w:tcW w:w="10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spacing w:after="0"/>
              <w:rPr>
                <w:sz w:val="19"/>
                <w:szCs w:val="19"/>
                <w:color w:val="auto"/>
              </w:rPr>
            </w:pPr>
          </w:p>
        </w:tc>
        <w:tc>
          <w:tcPr>
            <w:tcW w:w="7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81.4</w:t>
            </w:r>
          </w:p>
        </w:tc>
        <w:tc>
          <w:tcPr>
            <w:tcW w:w="280" w:type="dxa"/>
            <w:vAlign w:val="bottom"/>
            <w:tcBorders>
              <w:top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520" w:type="dxa"/>
            <w:vAlign w:val="bottom"/>
          </w:tcPr>
          <w:p>
            <w:pPr>
              <w:spacing w:after="0"/>
              <w:rPr>
                <w:sz w:val="20"/>
                <w:szCs w:val="20"/>
                <w:color w:val="auto"/>
              </w:rPr>
            </w:pPr>
            <w:r>
              <w:rPr>
                <w:rFonts w:ascii="Arial" w:cs="Arial" w:eastAsia="Arial" w:hAnsi="Arial"/>
                <w:sz w:val="18"/>
                <w:szCs w:val="18"/>
                <w:color w:val="auto"/>
              </w:rPr>
              <w:t>Managed care organizations</w:t>
            </w: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688</w:t>
            </w:r>
          </w:p>
        </w:tc>
        <w:tc>
          <w:tcPr>
            <w:tcW w:w="22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18.2</w:t>
            </w:r>
          </w:p>
        </w:tc>
        <w:tc>
          <w:tcPr>
            <w:tcW w:w="2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477</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15.9</w:t>
            </w:r>
          </w:p>
        </w:tc>
        <w:tc>
          <w:tcPr>
            <w:tcW w:w="2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1,495</w:t>
            </w:r>
          </w:p>
        </w:tc>
        <w:tc>
          <w:tcPr>
            <w:tcW w:w="140" w:type="dxa"/>
            <w:vAlign w:val="bottom"/>
          </w:tcPr>
          <w:p>
            <w:pPr>
              <w:spacing w:after="0"/>
              <w:rPr>
                <w:sz w:val="19"/>
                <w:szCs w:val="19"/>
                <w:color w:val="auto"/>
              </w:rPr>
            </w:pP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18.4</w:t>
            </w:r>
          </w:p>
        </w:tc>
        <w:tc>
          <w:tcPr>
            <w:tcW w:w="3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891</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15.6</w:t>
            </w:r>
          </w:p>
        </w:tc>
        <w:tc>
          <w:tcPr>
            <w:tcW w:w="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520" w:type="dxa"/>
            <w:vAlign w:val="bottom"/>
            <w:shd w:val="clear" w:color="auto" w:fill="CFF0FC"/>
          </w:tcPr>
          <w:p>
            <w:pPr>
              <w:spacing w:after="0"/>
              <w:rPr>
                <w:sz w:val="20"/>
                <w:szCs w:val="20"/>
                <w:color w:val="auto"/>
              </w:rPr>
            </w:pPr>
            <w:r>
              <w:rPr>
                <w:rFonts w:ascii="Arial" w:cs="Arial" w:eastAsia="Arial" w:hAnsi="Arial"/>
                <w:sz w:val="18"/>
                <w:szCs w:val="18"/>
                <w:color w:val="auto"/>
              </w:rPr>
              <w:t>Other</w:t>
            </w:r>
          </w:p>
        </w:tc>
        <w:tc>
          <w:tcPr>
            <w:tcW w:w="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85</w:t>
            </w:r>
          </w:p>
        </w:tc>
        <w:tc>
          <w:tcPr>
            <w:tcW w:w="220" w:type="dxa"/>
            <w:vAlign w:val="bottom"/>
            <w:shd w:val="clear" w:color="auto" w:fill="CFF0FC"/>
          </w:tcPr>
          <w:p>
            <w:pPr>
              <w:spacing w:after="0"/>
              <w:rPr>
                <w:sz w:val="19"/>
                <w:szCs w:val="19"/>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w:t>
            </w:r>
          </w:p>
        </w:tc>
        <w:tc>
          <w:tcPr>
            <w:tcW w:w="2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88</w:t>
            </w:r>
          </w:p>
        </w:tc>
        <w:tc>
          <w:tcPr>
            <w:tcW w:w="1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w:t>
            </w:r>
          </w:p>
        </w:tc>
        <w:tc>
          <w:tcPr>
            <w:tcW w:w="2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147</w:t>
            </w:r>
          </w:p>
        </w:tc>
        <w:tc>
          <w:tcPr>
            <w:tcW w:w="140" w:type="dxa"/>
            <w:vAlign w:val="bottom"/>
            <w:shd w:val="clear" w:color="auto" w:fill="CFF0FC"/>
          </w:tcPr>
          <w:p>
            <w:pPr>
              <w:spacing w:after="0"/>
              <w:rPr>
                <w:sz w:val="19"/>
                <w:szCs w:val="19"/>
                <w:color w:val="auto"/>
              </w:rPr>
            </w:pPr>
          </w:p>
        </w:tc>
        <w:tc>
          <w:tcPr>
            <w:tcW w:w="7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1.8</w:t>
            </w:r>
          </w:p>
        </w:tc>
        <w:tc>
          <w:tcPr>
            <w:tcW w:w="3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171</w:t>
            </w:r>
          </w:p>
        </w:tc>
        <w:tc>
          <w:tcPr>
            <w:tcW w:w="1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w:t>
            </w:r>
          </w:p>
        </w:tc>
        <w:tc>
          <w:tcPr>
            <w:tcW w:w="2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2520" w:type="dxa"/>
            <w:vAlign w:val="bottom"/>
          </w:tcPr>
          <w:p>
            <w:pPr>
              <w:spacing w:after="0"/>
              <w:rPr>
                <w:sz w:val="20"/>
                <w:szCs w:val="20"/>
                <w:color w:val="auto"/>
              </w:rPr>
            </w:pPr>
            <w:r>
              <w:rPr>
                <w:rFonts w:ascii="Arial" w:cs="Arial" w:eastAsia="Arial" w:hAnsi="Arial"/>
                <w:sz w:val="18"/>
                <w:szCs w:val="18"/>
                <w:color w:val="auto"/>
              </w:rPr>
              <w:t>Total home health segment net</w:t>
            </w:r>
          </w:p>
        </w:tc>
        <w:tc>
          <w:tcPr>
            <w:tcW w:w="6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68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tcBorders>
              <w:top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520" w:type="dxa"/>
            <w:vAlign w:val="bottom"/>
          </w:tcPr>
          <w:p>
            <w:pPr>
              <w:spacing w:after="0"/>
              <w:rPr>
                <w:sz w:val="20"/>
                <w:szCs w:val="20"/>
                <w:color w:val="auto"/>
              </w:rPr>
            </w:pPr>
            <w:r>
              <w:rPr>
                <w:rFonts w:ascii="Arial" w:cs="Arial" w:eastAsia="Arial" w:hAnsi="Arial"/>
                <w:sz w:val="18"/>
                <w:szCs w:val="18"/>
                <w:color w:val="auto"/>
              </w:rPr>
              <w:t>service revenues</w:t>
            </w:r>
          </w:p>
        </w:tc>
        <w:tc>
          <w:tcPr>
            <w:tcW w:w="220" w:type="dxa"/>
            <w:vAlign w:val="bottom"/>
            <w:gridSpan w:val="2"/>
          </w:tcPr>
          <w:p>
            <w:pPr>
              <w:ind w:left="60"/>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3,783</w:t>
            </w:r>
          </w:p>
        </w:tc>
        <w:tc>
          <w:tcPr>
            <w:tcW w:w="22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100.0</w:t>
            </w:r>
          </w:p>
        </w:tc>
        <w:tc>
          <w:tcPr>
            <w:tcW w:w="440" w:type="dxa"/>
            <w:vAlign w:val="bottom"/>
            <w:gridSpan w:val="2"/>
          </w:tcPr>
          <w:p>
            <w:pPr>
              <w:jc w:val="right"/>
              <w:spacing w:after="0"/>
              <w:rPr>
                <w:sz w:val="20"/>
                <w:szCs w:val="20"/>
                <w:color w:val="auto"/>
              </w:rPr>
            </w:pPr>
            <w:r>
              <w:rPr>
                <w:rFonts w:ascii="Arial" w:cs="Arial" w:eastAsia="Arial" w:hAnsi="Arial"/>
                <w:sz w:val="18"/>
                <w:szCs w:val="18"/>
                <w:color w:val="auto"/>
              </w:rPr>
              <w:t>% $</w:t>
            </w:r>
          </w:p>
        </w:tc>
        <w:tc>
          <w:tcPr>
            <w:tcW w:w="780" w:type="dxa"/>
            <w:vAlign w:val="bottom"/>
          </w:tcPr>
          <w:p>
            <w:pPr>
              <w:jc w:val="right"/>
              <w:spacing w:after="0"/>
              <w:rPr>
                <w:sz w:val="20"/>
                <w:szCs w:val="20"/>
                <w:color w:val="auto"/>
              </w:rPr>
            </w:pPr>
            <w:r>
              <w:rPr>
                <w:rFonts w:ascii="Arial" w:cs="Arial" w:eastAsia="Arial" w:hAnsi="Arial"/>
                <w:sz w:val="18"/>
                <w:szCs w:val="18"/>
                <w:color w:val="auto"/>
              </w:rPr>
              <w:t>3,001</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100.0</w:t>
            </w:r>
          </w:p>
        </w:tc>
        <w:tc>
          <w:tcPr>
            <w:tcW w:w="440" w:type="dxa"/>
            <w:vAlign w:val="bottom"/>
            <w:gridSpan w:val="2"/>
          </w:tcPr>
          <w:p>
            <w:pPr>
              <w:jc w:val="right"/>
              <w:spacing w:after="0"/>
              <w:rPr>
                <w:sz w:val="20"/>
                <w:szCs w:val="20"/>
                <w:color w:val="auto"/>
              </w:rPr>
            </w:pPr>
            <w:r>
              <w:rPr>
                <w:rFonts w:ascii="Arial" w:cs="Arial" w:eastAsia="Arial" w:hAnsi="Arial"/>
                <w:sz w:val="18"/>
                <w:szCs w:val="18"/>
                <w:color w:val="auto"/>
              </w:rPr>
              <w:t>% $</w:t>
            </w:r>
          </w:p>
        </w:tc>
        <w:tc>
          <w:tcPr>
            <w:tcW w:w="780" w:type="dxa"/>
            <w:vAlign w:val="bottom"/>
          </w:tcPr>
          <w:p>
            <w:pPr>
              <w:jc w:val="right"/>
              <w:spacing w:after="0"/>
              <w:rPr>
                <w:sz w:val="20"/>
                <w:szCs w:val="20"/>
                <w:color w:val="auto"/>
              </w:rPr>
            </w:pPr>
            <w:r>
              <w:rPr>
                <w:rFonts w:ascii="Arial" w:cs="Arial" w:eastAsia="Arial" w:hAnsi="Arial"/>
                <w:sz w:val="18"/>
                <w:szCs w:val="18"/>
                <w:color w:val="auto"/>
              </w:rPr>
              <w:t>8,122</w:t>
            </w:r>
          </w:p>
        </w:tc>
        <w:tc>
          <w:tcPr>
            <w:tcW w:w="140" w:type="dxa"/>
            <w:vAlign w:val="bottom"/>
          </w:tcPr>
          <w:p>
            <w:pPr>
              <w:spacing w:after="0"/>
              <w:rPr>
                <w:sz w:val="20"/>
                <w:szCs w:val="20"/>
                <w:color w:val="auto"/>
              </w:rPr>
            </w:pP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100.0</w:t>
            </w:r>
          </w:p>
        </w:tc>
        <w:tc>
          <w:tcPr>
            <w:tcW w:w="440" w:type="dxa"/>
            <w:vAlign w:val="bottom"/>
            <w:gridSpan w:val="2"/>
          </w:tcPr>
          <w:p>
            <w:pPr>
              <w:jc w:val="right"/>
              <w:spacing w:after="0"/>
              <w:rPr>
                <w:sz w:val="20"/>
                <w:szCs w:val="20"/>
                <w:color w:val="auto"/>
              </w:rPr>
            </w:pPr>
            <w:r>
              <w:rPr>
                <w:rFonts w:ascii="Arial" w:cs="Arial" w:eastAsia="Arial" w:hAnsi="Arial"/>
                <w:sz w:val="18"/>
                <w:szCs w:val="18"/>
                <w:color w:val="auto"/>
              </w:rPr>
              <w:t>% $</w:t>
            </w:r>
          </w:p>
        </w:tc>
        <w:tc>
          <w:tcPr>
            <w:tcW w:w="800" w:type="dxa"/>
            <w:vAlign w:val="bottom"/>
          </w:tcPr>
          <w:p>
            <w:pPr>
              <w:jc w:val="right"/>
              <w:spacing w:after="0"/>
              <w:rPr>
                <w:sz w:val="20"/>
                <w:szCs w:val="20"/>
                <w:color w:val="auto"/>
              </w:rPr>
            </w:pPr>
            <w:r>
              <w:rPr>
                <w:rFonts w:ascii="Arial" w:cs="Arial" w:eastAsia="Arial" w:hAnsi="Arial"/>
                <w:sz w:val="18"/>
                <w:szCs w:val="18"/>
                <w:color w:val="auto"/>
              </w:rPr>
              <w:t>5,697</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100.0</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25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8" w:lineRule="exact"/>
        <w:rPr>
          <w:sz w:val="20"/>
          <w:szCs w:val="20"/>
          <w:color w:val="auto"/>
        </w:rPr>
      </w:pPr>
    </w:p>
    <w:p>
      <w:pPr>
        <w:ind w:right="280" w:firstLine="476"/>
        <w:spacing w:after="0" w:line="308" w:lineRule="auto"/>
        <w:rPr>
          <w:sz w:val="20"/>
          <w:szCs w:val="20"/>
          <w:color w:val="auto"/>
        </w:rPr>
      </w:pPr>
      <w:r>
        <w:rPr>
          <w:rFonts w:ascii="Arial" w:cs="Arial" w:eastAsia="Arial" w:hAnsi="Arial"/>
          <w:sz w:val="17"/>
          <w:szCs w:val="17"/>
          <w:color w:val="auto"/>
        </w:rPr>
        <w:t>The Company derives a significant amount of its revenue from its operations in Illinois, New York and New Mexico. The percentages of segment revenue for each of these significant states for the three and six months ended June 30, 2020 and 2019 were as follows:</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160" w:type="dxa"/>
            <w:vAlign w:val="bottom"/>
            <w:tcBorders>
              <w:bottom w:val="single" w:sz="8" w:color="auto"/>
            </w:tcBorders>
            <w:gridSpan w:val="8"/>
          </w:tcPr>
          <w:p>
            <w:pPr>
              <w:jc w:val="center"/>
              <w:ind w:right="400"/>
              <w:spacing w:after="0"/>
              <w:rPr>
                <w:sz w:val="20"/>
                <w:szCs w:val="20"/>
                <w:color w:val="auto"/>
              </w:rPr>
            </w:pPr>
            <w:r>
              <w:rPr>
                <w:rFonts w:ascii="Arial" w:cs="Arial" w:eastAsia="Arial" w:hAnsi="Arial"/>
                <w:sz w:val="14"/>
                <w:szCs w:val="14"/>
                <w:b w:val="1"/>
                <w:bCs w:val="1"/>
                <w:color w:val="auto"/>
                <w:w w:val="93"/>
              </w:rPr>
              <w:t>Personal Care</w:t>
            </w:r>
          </w:p>
        </w:tc>
        <w:tc>
          <w:tcPr>
            <w:tcW w:w="70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22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600" w:type="dxa"/>
            <w:vAlign w:val="bottom"/>
            <w:tcBorders>
              <w:bottom w:val="single" w:sz="8" w:color="auto"/>
            </w:tcBorders>
          </w:tcPr>
          <w:p>
            <w:pPr>
              <w:spacing w:after="0"/>
              <w:rPr>
                <w:sz w:val="13"/>
                <w:szCs w:val="13"/>
                <w:color w:val="auto"/>
              </w:rPr>
            </w:pPr>
          </w:p>
        </w:tc>
        <w:tc>
          <w:tcPr>
            <w:tcW w:w="2420" w:type="dxa"/>
            <w:vAlign w:val="bottom"/>
            <w:tcBorders>
              <w:bottom w:val="single" w:sz="8" w:color="auto"/>
            </w:tcBorders>
            <w:gridSpan w:val="13"/>
          </w:tcPr>
          <w:p>
            <w:pPr>
              <w:jc w:val="center"/>
              <w:spacing w:after="0" w:line="155" w:lineRule="exact"/>
              <w:rPr>
                <w:sz w:val="20"/>
                <w:szCs w:val="20"/>
                <w:color w:val="auto"/>
              </w:rPr>
            </w:pPr>
            <w:r>
              <w:rPr>
                <w:rFonts w:ascii="Arial" w:cs="Arial" w:eastAsia="Arial" w:hAnsi="Arial"/>
                <w:sz w:val="14"/>
                <w:szCs w:val="14"/>
                <w:b w:val="1"/>
                <w:bCs w:val="1"/>
                <w:color w:val="auto"/>
                <w:w w:val="94"/>
              </w:rPr>
              <w:t>For the Three Months Ended June 30,</w:t>
            </w:r>
          </w:p>
        </w:tc>
        <w:tc>
          <w:tcPr>
            <w:tcW w:w="10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spacing w:after="0"/>
              <w:rPr>
                <w:sz w:val="13"/>
                <w:szCs w:val="13"/>
                <w:color w:val="auto"/>
              </w:rPr>
            </w:pPr>
          </w:p>
        </w:tc>
        <w:tc>
          <w:tcPr>
            <w:tcW w:w="2300" w:type="dxa"/>
            <w:vAlign w:val="bottom"/>
            <w:tcBorders>
              <w:bottom w:val="single" w:sz="8" w:color="auto"/>
            </w:tcBorders>
            <w:gridSpan w:val="9"/>
          </w:tcPr>
          <w:p>
            <w:pPr>
              <w:jc w:val="center"/>
              <w:ind w:right="220"/>
              <w:spacing w:after="0"/>
              <w:rPr>
                <w:sz w:val="20"/>
                <w:szCs w:val="20"/>
                <w:color w:val="auto"/>
              </w:rPr>
            </w:pPr>
            <w:r>
              <w:rPr>
                <w:rFonts w:ascii="Arial" w:cs="Arial" w:eastAsia="Arial" w:hAnsi="Arial"/>
                <w:sz w:val="13"/>
                <w:szCs w:val="13"/>
                <w:b w:val="1"/>
                <w:bCs w:val="1"/>
                <w:color w:val="auto"/>
                <w:w w:val="94"/>
              </w:rPr>
              <w:t>For the Six Months Ended June 30,</w:t>
            </w:r>
          </w:p>
        </w:tc>
        <w:tc>
          <w:tcPr>
            <w:tcW w:w="2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spacing w:after="0"/>
              <w:rPr>
                <w:sz w:val="13"/>
                <w:szCs w:val="13"/>
                <w:color w:val="auto"/>
              </w:rPr>
            </w:pPr>
          </w:p>
        </w:tc>
        <w:tc>
          <w:tcPr>
            <w:tcW w:w="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22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gridSpan w:val="5"/>
          </w:tcPr>
          <w:p>
            <w:pPr>
              <w:jc w:val="right"/>
              <w:spacing w:after="0" w:line="155" w:lineRule="exact"/>
              <w:rPr>
                <w:sz w:val="20"/>
                <w:szCs w:val="20"/>
                <w:color w:val="auto"/>
              </w:rPr>
            </w:pPr>
            <w:r>
              <w:rPr>
                <w:rFonts w:ascii="Arial" w:cs="Arial" w:eastAsia="Arial" w:hAnsi="Arial"/>
                <w:sz w:val="14"/>
                <w:szCs w:val="14"/>
                <w:b w:val="1"/>
                <w:bCs w:val="1"/>
                <w:color w:val="auto"/>
              </w:rPr>
              <w:t>2020</w:t>
            </w:r>
          </w:p>
        </w:tc>
        <w:tc>
          <w:tcPr>
            <w:tcW w:w="58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gridSpan w:val="4"/>
          </w:tcPr>
          <w:p>
            <w:pPr>
              <w:ind w:left="660"/>
              <w:spacing w:after="0" w:line="155" w:lineRule="exact"/>
              <w:rPr>
                <w:sz w:val="20"/>
                <w:szCs w:val="20"/>
                <w:color w:val="auto"/>
              </w:rPr>
            </w:pPr>
            <w:r>
              <w:rPr>
                <w:rFonts w:ascii="Arial" w:cs="Arial" w:eastAsia="Arial" w:hAnsi="Arial"/>
                <w:sz w:val="14"/>
                <w:szCs w:val="14"/>
                <w:b w:val="1"/>
                <w:bCs w:val="1"/>
                <w:color w:val="auto"/>
              </w:rPr>
              <w:t>2019</w:t>
            </w:r>
          </w:p>
        </w:tc>
        <w:tc>
          <w:tcPr>
            <w:tcW w:w="68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gridSpan w:val="3"/>
          </w:tcPr>
          <w:p>
            <w:pPr>
              <w:ind w:left="620"/>
              <w:spacing w:after="0"/>
              <w:rPr>
                <w:sz w:val="20"/>
                <w:szCs w:val="20"/>
                <w:color w:val="auto"/>
              </w:rPr>
            </w:pPr>
            <w:r>
              <w:rPr>
                <w:rFonts w:ascii="Arial" w:cs="Arial" w:eastAsia="Arial" w:hAnsi="Arial"/>
                <w:sz w:val="13"/>
                <w:szCs w:val="13"/>
                <w:b w:val="1"/>
                <w:bCs w:val="1"/>
                <w:color w:val="auto"/>
              </w:rPr>
              <w:t>2020</w:t>
            </w:r>
          </w:p>
        </w:tc>
        <w:tc>
          <w:tcPr>
            <w:tcW w:w="700" w:type="dxa"/>
            <w:vAlign w:val="bottom"/>
            <w:tcBorders>
              <w:bottom w:val="single" w:sz="8" w:color="auto"/>
            </w:tcBorders>
          </w:tcPr>
          <w:p>
            <w:pPr>
              <w:spacing w:after="0"/>
              <w:rPr>
                <w:sz w:val="13"/>
                <w:szCs w:val="13"/>
                <w:color w:val="auto"/>
              </w:rPr>
            </w:pPr>
          </w:p>
        </w:tc>
        <w:tc>
          <w:tcPr>
            <w:tcW w:w="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gridSpan w:val="2"/>
          </w:tcPr>
          <w:p>
            <w:pPr>
              <w:jc w:val="right"/>
              <w:ind w:right="40"/>
              <w:spacing w:after="0"/>
              <w:rPr>
                <w:sz w:val="20"/>
                <w:szCs w:val="20"/>
                <w:color w:val="auto"/>
              </w:rPr>
            </w:pPr>
            <w:r>
              <w:rPr>
                <w:rFonts w:ascii="Arial" w:cs="Arial" w:eastAsia="Arial" w:hAnsi="Arial"/>
                <w:sz w:val="13"/>
                <w:szCs w:val="13"/>
                <w:b w:val="1"/>
                <w:bCs w:val="1"/>
                <w:color w:val="auto"/>
              </w:rPr>
              <w:t>2019</w:t>
            </w:r>
          </w:p>
        </w:tc>
        <w:tc>
          <w:tcPr>
            <w:tcW w:w="2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spacing w:after="0"/>
              <w:rPr>
                <w:sz w:val="13"/>
                <w:szCs w:val="13"/>
                <w:color w:val="auto"/>
              </w:rPr>
            </w:pPr>
          </w:p>
        </w:tc>
        <w:tc>
          <w:tcPr>
            <w:tcW w:w="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3"/>
        </w:trPr>
        <w:tc>
          <w:tcPr>
            <w:tcW w:w="22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00" w:type="dxa"/>
            <w:vAlign w:val="bottom"/>
            <w:gridSpan w:val="2"/>
          </w:tcPr>
          <w:p>
            <w:pPr>
              <w:jc w:val="center"/>
              <w:spacing w:after="0" w:line="133" w:lineRule="exact"/>
              <w:rPr>
                <w:sz w:val="20"/>
                <w:szCs w:val="20"/>
                <w:color w:val="auto"/>
              </w:rPr>
            </w:pPr>
            <w:r>
              <w:rPr>
                <w:rFonts w:ascii="Arial" w:cs="Arial" w:eastAsia="Arial" w:hAnsi="Arial"/>
                <w:sz w:val="14"/>
                <w:szCs w:val="14"/>
                <w:b w:val="1"/>
                <w:bCs w:val="1"/>
                <w:color w:val="auto"/>
              </w:rPr>
              <w:t>% of</w:t>
            </w:r>
          </w:p>
        </w:tc>
        <w:tc>
          <w:tcPr>
            <w:tcW w:w="1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gridSpan w:val="2"/>
          </w:tcPr>
          <w:p>
            <w:pPr>
              <w:jc w:val="center"/>
              <w:spacing w:after="0" w:line="133" w:lineRule="exact"/>
              <w:rPr>
                <w:sz w:val="20"/>
                <w:szCs w:val="20"/>
                <w:color w:val="auto"/>
              </w:rPr>
            </w:pPr>
            <w:r>
              <w:rPr>
                <w:rFonts w:ascii="Arial" w:cs="Arial" w:eastAsia="Arial" w:hAnsi="Arial"/>
                <w:sz w:val="14"/>
                <w:szCs w:val="14"/>
                <w:b w:val="1"/>
                <w:bCs w:val="1"/>
                <w:color w:val="auto"/>
              </w:rPr>
              <w:t>% of</w:t>
            </w:r>
          </w:p>
        </w:tc>
        <w:tc>
          <w:tcPr>
            <w:tcW w:w="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Pr>
          <w:p>
            <w:pPr>
              <w:jc w:val="center"/>
              <w:spacing w:after="0" w:line="133" w:lineRule="exact"/>
              <w:rPr>
                <w:sz w:val="20"/>
                <w:szCs w:val="20"/>
                <w:color w:val="auto"/>
              </w:rPr>
            </w:pPr>
            <w:r>
              <w:rPr>
                <w:rFonts w:ascii="Arial" w:cs="Arial" w:eastAsia="Arial" w:hAnsi="Arial"/>
                <w:sz w:val="14"/>
                <w:szCs w:val="14"/>
                <w:b w:val="1"/>
                <w:bCs w:val="1"/>
                <w:color w:val="auto"/>
              </w:rPr>
              <w:t>% of</w:t>
            </w:r>
          </w:p>
        </w:tc>
        <w:tc>
          <w:tcPr>
            <w:tcW w:w="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00" w:type="dxa"/>
            <w:vAlign w:val="bottom"/>
          </w:tcPr>
          <w:p>
            <w:pPr>
              <w:jc w:val="center"/>
              <w:spacing w:after="0" w:line="133" w:lineRule="exact"/>
              <w:rPr>
                <w:sz w:val="20"/>
                <w:szCs w:val="20"/>
                <w:color w:val="auto"/>
              </w:rPr>
            </w:pPr>
            <w:r>
              <w:rPr>
                <w:rFonts w:ascii="Arial" w:cs="Arial" w:eastAsia="Arial" w:hAnsi="Arial"/>
                <w:sz w:val="14"/>
                <w:szCs w:val="14"/>
                <w:b w:val="1"/>
                <w:bCs w:val="1"/>
                <w:color w:val="auto"/>
              </w:rPr>
              <w:t>% of</w:t>
            </w: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2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gridSpan w:val="3"/>
            <w:vMerge w:val="restart"/>
          </w:tcPr>
          <w:p>
            <w:pPr>
              <w:jc w:val="right"/>
              <w:ind w:right="200"/>
              <w:spacing w:after="0"/>
              <w:rPr>
                <w:sz w:val="20"/>
                <w:szCs w:val="20"/>
                <w:color w:val="auto"/>
              </w:rPr>
            </w:pPr>
            <w:r>
              <w:rPr>
                <w:rFonts w:ascii="Arial" w:cs="Arial" w:eastAsia="Arial" w:hAnsi="Arial"/>
                <w:sz w:val="14"/>
                <w:szCs w:val="14"/>
                <w:b w:val="1"/>
                <w:bCs w:val="1"/>
                <w:color w:val="auto"/>
              </w:rPr>
              <w:t>Amount</w:t>
            </w: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0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1"/>
              </w:rPr>
              <w:t>Segment</w:t>
            </w:r>
          </w:p>
        </w:tc>
        <w:tc>
          <w:tcPr>
            <w:tcW w:w="1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gridSpan w:val="3"/>
            <w:vMerge w:val="restart"/>
          </w:tcPr>
          <w:p>
            <w:pPr>
              <w:ind w:left="100"/>
              <w:spacing w:after="0"/>
              <w:rPr>
                <w:sz w:val="20"/>
                <w:szCs w:val="20"/>
                <w:color w:val="auto"/>
              </w:rPr>
            </w:pPr>
            <w:r>
              <w:rPr>
                <w:rFonts w:ascii="Arial" w:cs="Arial" w:eastAsia="Arial" w:hAnsi="Arial"/>
                <w:sz w:val="14"/>
                <w:szCs w:val="14"/>
                <w:b w:val="1"/>
                <w:bCs w:val="1"/>
                <w:color w:val="auto"/>
              </w:rPr>
              <w:t>Amount</w:t>
            </w:r>
          </w:p>
        </w:tc>
        <w:tc>
          <w:tcPr>
            <w:tcW w:w="100" w:type="dxa"/>
            <w:vAlign w:val="bottom"/>
          </w:tcPr>
          <w:p>
            <w:pPr>
              <w:spacing w:after="0"/>
              <w:rPr>
                <w:sz w:val="12"/>
                <w:szCs w:val="12"/>
                <w:color w:val="auto"/>
              </w:rPr>
            </w:pPr>
          </w:p>
        </w:tc>
        <w:tc>
          <w:tcPr>
            <w:tcW w:w="70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1"/>
              </w:rPr>
              <w:t>Segment</w:t>
            </w:r>
          </w:p>
        </w:tc>
        <w:tc>
          <w:tcPr>
            <w:tcW w:w="3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60" w:type="dxa"/>
            <w:vAlign w:val="bottom"/>
            <w:gridSpan w:val="3"/>
            <w:vMerge w:val="restart"/>
          </w:tcPr>
          <w:p>
            <w:pPr>
              <w:ind w:left="60"/>
              <w:spacing w:after="0"/>
              <w:rPr>
                <w:sz w:val="20"/>
                <w:szCs w:val="20"/>
                <w:color w:val="auto"/>
              </w:rPr>
            </w:pPr>
            <w:r>
              <w:rPr>
                <w:rFonts w:ascii="Arial" w:cs="Arial" w:eastAsia="Arial" w:hAnsi="Arial"/>
                <w:sz w:val="14"/>
                <w:szCs w:val="14"/>
                <w:b w:val="1"/>
                <w:bCs w:val="1"/>
                <w:color w:val="auto"/>
              </w:rPr>
              <w:t>Amount</w:t>
            </w:r>
          </w:p>
        </w:tc>
        <w:tc>
          <w:tcPr>
            <w:tcW w:w="760" w:type="dxa"/>
            <w:vAlign w:val="bottom"/>
            <w:gridSpan w:val="2"/>
          </w:tcPr>
          <w:p>
            <w:pPr>
              <w:jc w:val="center"/>
              <w:ind w:right="60"/>
              <w:spacing w:after="0" w:line="149" w:lineRule="exact"/>
              <w:rPr>
                <w:sz w:val="20"/>
                <w:szCs w:val="20"/>
                <w:color w:val="auto"/>
              </w:rPr>
            </w:pPr>
            <w:r>
              <w:rPr>
                <w:rFonts w:ascii="Arial" w:cs="Arial" w:eastAsia="Arial" w:hAnsi="Arial"/>
                <w:sz w:val="14"/>
                <w:szCs w:val="14"/>
                <w:b w:val="1"/>
                <w:bCs w:val="1"/>
                <w:color w:val="auto"/>
                <w:w w:val="91"/>
              </w:rPr>
              <w:t>Segment</w:t>
            </w:r>
          </w:p>
        </w:tc>
        <w:tc>
          <w:tcPr>
            <w:tcW w:w="3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20" w:type="dxa"/>
            <w:vAlign w:val="bottom"/>
            <w:gridSpan w:val="2"/>
            <w:vMerge w:val="restart"/>
          </w:tcPr>
          <w:p>
            <w:pPr>
              <w:jc w:val="center"/>
              <w:ind w:right="320"/>
              <w:spacing w:after="0"/>
              <w:rPr>
                <w:sz w:val="20"/>
                <w:szCs w:val="20"/>
                <w:color w:val="auto"/>
              </w:rPr>
            </w:pPr>
            <w:r>
              <w:rPr>
                <w:rFonts w:ascii="Arial" w:cs="Arial" w:eastAsia="Arial" w:hAnsi="Arial"/>
                <w:sz w:val="14"/>
                <w:szCs w:val="14"/>
                <w:b w:val="1"/>
                <w:bCs w:val="1"/>
                <w:color w:val="auto"/>
                <w:w w:val="98"/>
              </w:rPr>
              <w:t>Amount</w:t>
            </w:r>
          </w:p>
        </w:tc>
        <w:tc>
          <w:tcPr>
            <w:tcW w:w="20" w:type="dxa"/>
            <w:vAlign w:val="bottom"/>
          </w:tcPr>
          <w:p>
            <w:pPr>
              <w:spacing w:after="0"/>
              <w:rPr>
                <w:sz w:val="12"/>
                <w:szCs w:val="12"/>
                <w:color w:val="auto"/>
              </w:rPr>
            </w:pPr>
          </w:p>
        </w:tc>
        <w:tc>
          <w:tcPr>
            <w:tcW w:w="740" w:type="dxa"/>
            <w:vAlign w:val="bottom"/>
            <w:gridSpan w:val="2"/>
          </w:tcPr>
          <w:p>
            <w:pPr>
              <w:jc w:val="center"/>
              <w:ind w:right="40"/>
              <w:spacing w:after="0" w:line="149" w:lineRule="exact"/>
              <w:rPr>
                <w:sz w:val="20"/>
                <w:szCs w:val="20"/>
                <w:color w:val="auto"/>
              </w:rPr>
            </w:pPr>
            <w:r>
              <w:rPr>
                <w:rFonts w:ascii="Arial" w:cs="Arial" w:eastAsia="Arial" w:hAnsi="Arial"/>
                <w:sz w:val="14"/>
                <w:szCs w:val="14"/>
                <w:b w:val="1"/>
                <w:bCs w:val="1"/>
                <w:color w:val="auto"/>
                <w:w w:val="91"/>
              </w:rPr>
              <w:t>Segment</w:t>
            </w:r>
          </w:p>
        </w:tc>
        <w:tc>
          <w:tcPr>
            <w:tcW w:w="2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gridSpan w:val="3"/>
            <w:vMerge w:val="continue"/>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0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1"/>
              </w:rPr>
              <w:t>Net Service</w:t>
            </w:r>
          </w:p>
        </w:tc>
        <w:tc>
          <w:tcPr>
            <w:tcW w:w="1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gridSpan w:val="3"/>
            <w:vMerge w:val="continue"/>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1"/>
              </w:rPr>
              <w:t>Net Service</w:t>
            </w:r>
          </w:p>
        </w:tc>
        <w:tc>
          <w:tcPr>
            <w:tcW w:w="3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60" w:type="dxa"/>
            <w:vAlign w:val="bottom"/>
            <w:gridSpan w:val="3"/>
            <w:vMerge w:val="continue"/>
          </w:tcPr>
          <w:p>
            <w:pPr>
              <w:spacing w:after="0"/>
              <w:rPr>
                <w:sz w:val="12"/>
                <w:szCs w:val="12"/>
                <w:color w:val="auto"/>
              </w:rPr>
            </w:pPr>
          </w:p>
        </w:tc>
        <w:tc>
          <w:tcPr>
            <w:tcW w:w="760" w:type="dxa"/>
            <w:vAlign w:val="bottom"/>
            <w:gridSpan w:val="2"/>
          </w:tcPr>
          <w:p>
            <w:pPr>
              <w:jc w:val="center"/>
              <w:ind w:right="60"/>
              <w:spacing w:after="0" w:line="149" w:lineRule="exact"/>
              <w:rPr>
                <w:sz w:val="20"/>
                <w:szCs w:val="20"/>
                <w:color w:val="auto"/>
              </w:rPr>
            </w:pPr>
            <w:r>
              <w:rPr>
                <w:rFonts w:ascii="Arial" w:cs="Arial" w:eastAsia="Arial" w:hAnsi="Arial"/>
                <w:sz w:val="14"/>
                <w:szCs w:val="14"/>
                <w:b w:val="1"/>
                <w:bCs w:val="1"/>
                <w:color w:val="auto"/>
                <w:w w:val="91"/>
              </w:rPr>
              <w:t>Net Service</w:t>
            </w:r>
          </w:p>
        </w:tc>
        <w:tc>
          <w:tcPr>
            <w:tcW w:w="3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20" w:type="dxa"/>
            <w:vAlign w:val="bottom"/>
            <w:gridSpan w:val="2"/>
            <w:vMerge w:val="continue"/>
          </w:tcPr>
          <w:p>
            <w:pPr>
              <w:spacing w:after="0"/>
              <w:rPr>
                <w:sz w:val="12"/>
                <w:szCs w:val="12"/>
                <w:color w:val="auto"/>
              </w:rPr>
            </w:pPr>
          </w:p>
        </w:tc>
        <w:tc>
          <w:tcPr>
            <w:tcW w:w="20" w:type="dxa"/>
            <w:vAlign w:val="bottom"/>
          </w:tcPr>
          <w:p>
            <w:pPr>
              <w:spacing w:after="0"/>
              <w:rPr>
                <w:sz w:val="12"/>
                <w:szCs w:val="12"/>
                <w:color w:val="auto"/>
              </w:rPr>
            </w:pPr>
          </w:p>
        </w:tc>
        <w:tc>
          <w:tcPr>
            <w:tcW w:w="740" w:type="dxa"/>
            <w:vAlign w:val="bottom"/>
            <w:gridSpan w:val="2"/>
          </w:tcPr>
          <w:p>
            <w:pPr>
              <w:jc w:val="center"/>
              <w:ind w:right="40"/>
              <w:spacing w:after="0" w:line="149" w:lineRule="exact"/>
              <w:rPr>
                <w:sz w:val="20"/>
                <w:szCs w:val="20"/>
                <w:color w:val="auto"/>
              </w:rPr>
            </w:pPr>
            <w:r>
              <w:rPr>
                <w:rFonts w:ascii="Arial" w:cs="Arial" w:eastAsia="Arial" w:hAnsi="Arial"/>
                <w:sz w:val="14"/>
                <w:szCs w:val="14"/>
                <w:b w:val="1"/>
                <w:bCs w:val="1"/>
                <w:color w:val="auto"/>
                <w:w w:val="91"/>
              </w:rPr>
              <w:t>Net Service</w:t>
            </w:r>
          </w:p>
        </w:tc>
        <w:tc>
          <w:tcPr>
            <w:tcW w:w="2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20" w:type="dxa"/>
            <w:vAlign w:val="bottom"/>
            <w:gridSpan w:val="4"/>
          </w:tcPr>
          <w:p>
            <w:pPr>
              <w:spacing w:after="0"/>
              <w:rPr>
                <w:sz w:val="20"/>
                <w:szCs w:val="20"/>
                <w:color w:val="auto"/>
              </w:rPr>
            </w:pPr>
            <w:r>
              <w:rPr>
                <w:rFonts w:ascii="Arial" w:cs="Arial" w:eastAsia="Arial" w:hAnsi="Arial"/>
                <w:sz w:val="14"/>
                <w:szCs w:val="14"/>
                <w:b w:val="1"/>
                <w:bCs w:val="1"/>
                <w:color w:val="auto"/>
                <w:w w:val="89"/>
              </w:rPr>
              <w:t>(in Thousands)</w:t>
            </w: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00" w:type="dxa"/>
            <w:vAlign w:val="bottom"/>
            <w:gridSpan w:val="2"/>
          </w:tcPr>
          <w:p>
            <w:pPr>
              <w:jc w:val="center"/>
              <w:spacing w:after="0"/>
              <w:rPr>
                <w:sz w:val="20"/>
                <w:szCs w:val="20"/>
                <w:color w:val="auto"/>
              </w:rPr>
            </w:pPr>
            <w:r>
              <w:rPr>
                <w:rFonts w:ascii="Arial" w:cs="Arial" w:eastAsia="Arial" w:hAnsi="Arial"/>
                <w:sz w:val="14"/>
                <w:szCs w:val="14"/>
                <w:b w:val="1"/>
                <w:bCs w:val="1"/>
                <w:color w:val="auto"/>
                <w:w w:val="87"/>
              </w:rPr>
              <w:t>Revenues</w:t>
            </w:r>
          </w:p>
        </w:tc>
        <w:tc>
          <w:tcPr>
            <w:tcW w:w="1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gridSpan w:val="4"/>
          </w:tcPr>
          <w:p>
            <w:pPr>
              <w:spacing w:after="0"/>
              <w:rPr>
                <w:sz w:val="20"/>
                <w:szCs w:val="20"/>
                <w:color w:val="auto"/>
              </w:rPr>
            </w:pPr>
            <w:r>
              <w:rPr>
                <w:rFonts w:ascii="Arial" w:cs="Arial" w:eastAsia="Arial" w:hAnsi="Arial"/>
                <w:sz w:val="14"/>
                <w:szCs w:val="14"/>
                <w:b w:val="1"/>
                <w:bCs w:val="1"/>
                <w:color w:val="auto"/>
                <w:w w:val="97"/>
              </w:rPr>
              <w:t>(in Thousands)</w:t>
            </w:r>
          </w:p>
        </w:tc>
        <w:tc>
          <w:tcPr>
            <w:tcW w:w="100" w:type="dxa"/>
            <w:vAlign w:val="bottom"/>
          </w:tcPr>
          <w:p>
            <w:pPr>
              <w:spacing w:after="0"/>
              <w:rPr>
                <w:sz w:val="14"/>
                <w:szCs w:val="14"/>
                <w:color w:val="auto"/>
              </w:rPr>
            </w:pPr>
          </w:p>
        </w:tc>
        <w:tc>
          <w:tcPr>
            <w:tcW w:w="700" w:type="dxa"/>
            <w:vAlign w:val="bottom"/>
            <w:gridSpan w:val="2"/>
          </w:tcPr>
          <w:p>
            <w:pPr>
              <w:jc w:val="center"/>
              <w:spacing w:after="0"/>
              <w:rPr>
                <w:sz w:val="20"/>
                <w:szCs w:val="20"/>
                <w:color w:val="auto"/>
              </w:rPr>
            </w:pPr>
            <w:r>
              <w:rPr>
                <w:rFonts w:ascii="Arial" w:cs="Arial" w:eastAsia="Arial" w:hAnsi="Arial"/>
                <w:sz w:val="14"/>
                <w:szCs w:val="14"/>
                <w:b w:val="1"/>
                <w:bCs w:val="1"/>
                <w:color w:val="auto"/>
                <w:w w:val="87"/>
              </w:rPr>
              <w:t>Revenues</w:t>
            </w:r>
          </w:p>
        </w:tc>
        <w:tc>
          <w:tcPr>
            <w:tcW w:w="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100" w:type="dxa"/>
            <w:vAlign w:val="bottom"/>
            <w:gridSpan w:val="4"/>
          </w:tcPr>
          <w:p>
            <w:pPr>
              <w:spacing w:after="0"/>
              <w:rPr>
                <w:sz w:val="20"/>
                <w:szCs w:val="20"/>
                <w:color w:val="auto"/>
              </w:rPr>
            </w:pPr>
            <w:r>
              <w:rPr>
                <w:rFonts w:ascii="Arial" w:cs="Arial" w:eastAsia="Arial" w:hAnsi="Arial"/>
                <w:sz w:val="14"/>
                <w:szCs w:val="14"/>
                <w:b w:val="1"/>
                <w:bCs w:val="1"/>
                <w:color w:val="auto"/>
              </w:rPr>
              <w:t>(in Thousands)</w:t>
            </w:r>
          </w:p>
        </w:tc>
        <w:tc>
          <w:tcPr>
            <w:tcW w:w="76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w w:val="87"/>
              </w:rPr>
              <w:t>Revenues</w:t>
            </w:r>
          </w:p>
        </w:tc>
        <w:tc>
          <w:tcPr>
            <w:tcW w:w="300" w:type="dxa"/>
            <w:vAlign w:val="bottom"/>
          </w:tcPr>
          <w:p>
            <w:pPr>
              <w:spacing w:after="0"/>
              <w:rPr>
                <w:sz w:val="14"/>
                <w:szCs w:val="14"/>
                <w:color w:val="auto"/>
              </w:rPr>
            </w:pPr>
          </w:p>
        </w:tc>
        <w:tc>
          <w:tcPr>
            <w:tcW w:w="1080" w:type="dxa"/>
            <w:vAlign w:val="bottom"/>
            <w:gridSpan w:val="4"/>
          </w:tcPr>
          <w:p>
            <w:pPr>
              <w:spacing w:after="0"/>
              <w:rPr>
                <w:sz w:val="20"/>
                <w:szCs w:val="20"/>
                <w:color w:val="auto"/>
              </w:rPr>
            </w:pPr>
            <w:r>
              <w:rPr>
                <w:rFonts w:ascii="Arial" w:cs="Arial" w:eastAsia="Arial" w:hAnsi="Arial"/>
                <w:sz w:val="14"/>
                <w:szCs w:val="14"/>
                <w:b w:val="1"/>
                <w:bCs w:val="1"/>
                <w:color w:val="auto"/>
              </w:rPr>
              <w:t>(in Thousands)</w:t>
            </w:r>
          </w:p>
        </w:tc>
        <w:tc>
          <w:tcPr>
            <w:tcW w:w="20" w:type="dxa"/>
            <w:vAlign w:val="bottom"/>
          </w:tcPr>
          <w:p>
            <w:pPr>
              <w:spacing w:after="0"/>
              <w:rPr>
                <w:sz w:val="14"/>
                <w:szCs w:val="14"/>
                <w:color w:val="auto"/>
              </w:rPr>
            </w:pPr>
          </w:p>
        </w:tc>
        <w:tc>
          <w:tcPr>
            <w:tcW w:w="740" w:type="dxa"/>
            <w:vAlign w:val="bottom"/>
            <w:gridSpan w:val="2"/>
          </w:tcPr>
          <w:p>
            <w:pPr>
              <w:jc w:val="center"/>
              <w:ind w:right="40"/>
              <w:spacing w:after="0"/>
              <w:rPr>
                <w:sz w:val="20"/>
                <w:szCs w:val="20"/>
                <w:color w:val="auto"/>
              </w:rPr>
            </w:pPr>
            <w:r>
              <w:rPr>
                <w:rFonts w:ascii="Arial" w:cs="Arial" w:eastAsia="Arial" w:hAnsi="Arial"/>
                <w:sz w:val="14"/>
                <w:szCs w:val="14"/>
                <w:b w:val="1"/>
                <w:bCs w:val="1"/>
                <w:color w:val="auto"/>
                <w:w w:val="87"/>
              </w:rPr>
              <w:t>Revenues</w:t>
            </w:r>
          </w:p>
        </w:tc>
        <w:tc>
          <w:tcPr>
            <w:tcW w:w="2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22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Illinois</w:t>
            </w:r>
          </w:p>
        </w:tc>
        <w:tc>
          <w:tcPr>
            <w:tcW w:w="200" w:type="dxa"/>
            <w:vAlign w:val="bottom"/>
            <w:tcBorders>
              <w:top w:val="single" w:sz="8" w:color="CFF0FC"/>
            </w:tcBorders>
            <w:shd w:val="clear" w:color="auto" w:fill="CFF0FC"/>
          </w:tcPr>
          <w:p>
            <w:pPr>
              <w:spacing w:after="0"/>
              <w:rPr>
                <w:sz w:val="19"/>
                <w:szCs w:val="19"/>
                <w:color w:val="auto"/>
              </w:rPr>
            </w:pPr>
          </w:p>
        </w:tc>
        <w:tc>
          <w:tcPr>
            <w:tcW w:w="28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w:t>
            </w:r>
          </w:p>
        </w:tc>
        <w:tc>
          <w:tcPr>
            <w:tcW w:w="780" w:type="dxa"/>
            <w:vAlign w:val="bottom"/>
            <w:tcBorders>
              <w:top w:val="single" w:sz="8" w:color="auto"/>
            </w:tcBorders>
            <w:gridSpan w:val="3"/>
            <w:shd w:val="clear" w:color="auto" w:fill="CFF0FC"/>
          </w:tcPr>
          <w:p>
            <w:pPr>
              <w:jc w:val="right"/>
              <w:spacing w:after="0"/>
              <w:rPr>
                <w:sz w:val="20"/>
                <w:szCs w:val="20"/>
                <w:color w:val="auto"/>
              </w:rPr>
            </w:pPr>
            <w:r>
              <w:rPr>
                <w:rFonts w:ascii="Arial" w:cs="Arial" w:eastAsia="Arial" w:hAnsi="Arial"/>
                <w:sz w:val="18"/>
                <w:szCs w:val="18"/>
                <w:color w:val="auto"/>
              </w:rPr>
              <w:t>69,052</w:t>
            </w:r>
          </w:p>
        </w:tc>
        <w:tc>
          <w:tcPr>
            <w:tcW w:w="20" w:type="dxa"/>
            <w:vAlign w:val="bottom"/>
            <w:tcBorders>
              <w:top w:val="single" w:sz="8" w:color="auto"/>
            </w:tcBorders>
            <w:shd w:val="clear" w:color="auto" w:fill="CFF0FC"/>
          </w:tcPr>
          <w:p>
            <w:pPr>
              <w:spacing w:after="0"/>
              <w:rPr>
                <w:sz w:val="19"/>
                <w:szCs w:val="19"/>
                <w:color w:val="auto"/>
              </w:rPr>
            </w:pPr>
          </w:p>
        </w:tc>
        <w:tc>
          <w:tcPr>
            <w:tcW w:w="160" w:type="dxa"/>
            <w:vAlign w:val="bottom"/>
            <w:tcBorders>
              <w:top w:val="single" w:sz="8" w:color="CFF0FC"/>
            </w:tcBorders>
            <w:shd w:val="clear" w:color="auto" w:fill="CFF0FC"/>
          </w:tcPr>
          <w:p>
            <w:pPr>
              <w:spacing w:after="0"/>
              <w:rPr>
                <w:sz w:val="19"/>
                <w:szCs w:val="19"/>
                <w:color w:val="auto"/>
              </w:rPr>
            </w:pPr>
          </w:p>
        </w:tc>
        <w:tc>
          <w:tcPr>
            <w:tcW w:w="700" w:type="dxa"/>
            <w:vAlign w:val="bottom"/>
            <w:tcBorders>
              <w:top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color w:val="auto"/>
              </w:rPr>
              <w:t>44.2</w:t>
            </w:r>
          </w:p>
        </w:tc>
        <w:tc>
          <w:tcPr>
            <w:tcW w:w="360" w:type="dxa"/>
            <w:vAlign w:val="bottom"/>
            <w:tcBorders>
              <w:top w:val="single" w:sz="8" w:color="CFF0FC"/>
            </w:tcBorders>
            <w:gridSpan w:val="3"/>
            <w:shd w:val="clear" w:color="auto" w:fill="CFF0FC"/>
          </w:tcPr>
          <w:p>
            <w:pPr>
              <w:jc w:val="center"/>
              <w:spacing w:after="0"/>
              <w:rPr>
                <w:sz w:val="20"/>
                <w:szCs w:val="20"/>
                <w:color w:val="auto"/>
              </w:rPr>
            </w:pPr>
            <w:r>
              <w:rPr>
                <w:rFonts w:ascii="Arial" w:cs="Arial" w:eastAsia="Arial" w:hAnsi="Arial"/>
                <w:sz w:val="18"/>
                <w:szCs w:val="18"/>
                <w:color w:val="auto"/>
                <w:w w:val="99"/>
              </w:rPr>
              <w:t>%</w:t>
            </w:r>
          </w:p>
        </w:tc>
        <w:tc>
          <w:tcPr>
            <w:tcW w:w="10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tcBorders>
            <w:gridSpan w:val="2"/>
            <w:shd w:val="clear" w:color="auto" w:fill="CFF0FC"/>
          </w:tcPr>
          <w:p>
            <w:pPr>
              <w:ind w:left="340"/>
              <w:spacing w:after="0"/>
              <w:rPr>
                <w:sz w:val="20"/>
                <w:szCs w:val="20"/>
                <w:color w:val="auto"/>
              </w:rPr>
            </w:pPr>
            <w:r>
              <w:rPr>
                <w:rFonts w:ascii="Arial" w:cs="Arial" w:eastAsia="Arial" w:hAnsi="Arial"/>
                <w:sz w:val="18"/>
                <w:szCs w:val="18"/>
                <w:color w:val="auto"/>
                <w:w w:val="87"/>
              </w:rPr>
              <w:t>59,114</w:t>
            </w:r>
          </w:p>
        </w:tc>
        <w:tc>
          <w:tcPr>
            <w:tcW w:w="6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700" w:type="dxa"/>
            <w:vAlign w:val="bottom"/>
            <w:tcBorders>
              <w:top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color w:val="auto"/>
              </w:rPr>
              <w:t>43.0</w:t>
            </w:r>
          </w:p>
        </w:tc>
        <w:tc>
          <w:tcPr>
            <w:tcW w:w="340" w:type="dxa"/>
            <w:vAlign w:val="bottom"/>
            <w:tcBorders>
              <w:top w:val="single" w:sz="8" w:color="CFF0FC"/>
            </w:tcBorders>
            <w:shd w:val="clear" w:color="auto" w:fill="CFF0FC"/>
          </w:tcPr>
          <w:p>
            <w:pPr>
              <w:jc w:val="center"/>
              <w:spacing w:after="0"/>
              <w:rPr>
                <w:sz w:val="20"/>
                <w:szCs w:val="20"/>
                <w:color w:val="auto"/>
              </w:rPr>
            </w:pPr>
            <w:r>
              <w:rPr>
                <w:rFonts w:ascii="Arial" w:cs="Arial" w:eastAsia="Arial" w:hAnsi="Arial"/>
                <w:sz w:val="18"/>
                <w:szCs w:val="18"/>
                <w:color w:val="auto"/>
                <w:w w:val="99"/>
              </w:rPr>
              <w:t>%</w:t>
            </w:r>
          </w:p>
        </w:tc>
        <w:tc>
          <w:tcPr>
            <w:tcW w:w="2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w:t>
            </w:r>
          </w:p>
        </w:tc>
        <w:tc>
          <w:tcPr>
            <w:tcW w:w="8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140,598</w:t>
            </w:r>
          </w:p>
        </w:tc>
        <w:tc>
          <w:tcPr>
            <w:tcW w:w="4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7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44.4</w:t>
            </w:r>
          </w:p>
        </w:tc>
        <w:tc>
          <w:tcPr>
            <w:tcW w:w="60" w:type="dxa"/>
            <w:vAlign w:val="bottom"/>
            <w:tcBorders>
              <w:top w:val="single" w:sz="8" w:color="CFF0FC"/>
            </w:tcBorders>
            <w:shd w:val="clear" w:color="auto" w:fill="CFF0FC"/>
          </w:tcPr>
          <w:p>
            <w:pPr>
              <w:spacing w:after="0"/>
              <w:rPr>
                <w:sz w:val="19"/>
                <w:szCs w:val="19"/>
                <w:color w:val="auto"/>
              </w:rPr>
            </w:pPr>
          </w:p>
        </w:tc>
        <w:tc>
          <w:tcPr>
            <w:tcW w:w="300" w:type="dxa"/>
            <w:vAlign w:val="bottom"/>
            <w:tcBorders>
              <w:top w:val="single" w:sz="8" w:color="CFF0FC"/>
            </w:tcBorders>
            <w:shd w:val="clear" w:color="auto" w:fill="CFF0FC"/>
          </w:tcPr>
          <w:p>
            <w:pPr>
              <w:jc w:val="center"/>
              <w:spacing w:after="0"/>
              <w:rPr>
                <w:sz w:val="20"/>
                <w:szCs w:val="20"/>
                <w:color w:val="auto"/>
              </w:rPr>
            </w:pPr>
            <w:r>
              <w:rPr>
                <w:rFonts w:ascii="Arial" w:cs="Arial" w:eastAsia="Arial" w:hAnsi="Arial"/>
                <w:sz w:val="18"/>
                <w:szCs w:val="18"/>
                <w:color w:val="auto"/>
                <w:w w:val="99"/>
              </w:rPr>
              <w:t>%</w:t>
            </w:r>
          </w:p>
        </w:tc>
        <w:tc>
          <w:tcPr>
            <w:tcW w:w="160" w:type="dxa"/>
            <w:vAlign w:val="bottom"/>
            <w:tcBorders>
              <w:top w:val="single" w:sz="8" w:color="auto"/>
            </w:tcBorders>
            <w:gridSpan w:val="2"/>
            <w:shd w:val="clear" w:color="auto" w:fill="CFF0FC"/>
          </w:tcPr>
          <w:p>
            <w:pPr>
              <w:spacing w:after="0"/>
              <w:rPr>
                <w:sz w:val="20"/>
                <w:szCs w:val="20"/>
                <w:color w:val="auto"/>
              </w:rPr>
            </w:pPr>
            <w:r>
              <w:rPr>
                <w:rFonts w:ascii="Arial" w:cs="Arial" w:eastAsia="Arial" w:hAnsi="Arial"/>
                <w:sz w:val="18"/>
                <w:szCs w:val="18"/>
                <w:color w:val="auto"/>
              </w:rPr>
              <w:t>$</w:t>
            </w:r>
          </w:p>
        </w:tc>
        <w:tc>
          <w:tcPr>
            <w:tcW w:w="7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115,963</w:t>
            </w:r>
          </w:p>
        </w:tc>
        <w:tc>
          <w:tcPr>
            <w:tcW w:w="14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7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43.7</w:t>
            </w:r>
          </w:p>
        </w:tc>
        <w:tc>
          <w:tcPr>
            <w:tcW w:w="40" w:type="dxa"/>
            <w:vAlign w:val="bottom"/>
            <w:tcBorders>
              <w:top w:val="single" w:sz="8" w:color="CFF0FC"/>
            </w:tcBorders>
            <w:shd w:val="clear" w:color="auto" w:fill="CFF0FC"/>
          </w:tcPr>
          <w:p>
            <w:pPr>
              <w:spacing w:after="0"/>
              <w:rPr>
                <w:sz w:val="19"/>
                <w:szCs w:val="19"/>
                <w:color w:val="auto"/>
              </w:rPr>
            </w:pPr>
          </w:p>
        </w:tc>
        <w:tc>
          <w:tcPr>
            <w:tcW w:w="240" w:type="dxa"/>
            <w:vAlign w:val="bottom"/>
            <w:tcBorders>
              <w:top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2200" w:type="dxa"/>
            <w:vAlign w:val="bottom"/>
          </w:tcPr>
          <w:p>
            <w:pPr>
              <w:spacing w:after="0"/>
              <w:rPr>
                <w:sz w:val="20"/>
                <w:szCs w:val="20"/>
                <w:color w:val="auto"/>
              </w:rPr>
            </w:pPr>
            <w:r>
              <w:rPr>
                <w:rFonts w:ascii="Arial" w:cs="Arial" w:eastAsia="Arial" w:hAnsi="Arial"/>
                <w:sz w:val="18"/>
                <w:szCs w:val="18"/>
                <w:color w:val="auto"/>
              </w:rPr>
              <w:t>New York</w:t>
            </w:r>
          </w:p>
        </w:tc>
        <w:tc>
          <w:tcPr>
            <w:tcW w:w="2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80" w:type="dxa"/>
            <w:vAlign w:val="bottom"/>
            <w:gridSpan w:val="3"/>
          </w:tcPr>
          <w:p>
            <w:pPr>
              <w:jc w:val="right"/>
              <w:spacing w:after="0"/>
              <w:rPr>
                <w:sz w:val="20"/>
                <w:szCs w:val="20"/>
                <w:color w:val="auto"/>
              </w:rPr>
            </w:pPr>
            <w:r>
              <w:rPr>
                <w:rFonts w:ascii="Arial" w:cs="Arial" w:eastAsia="Arial" w:hAnsi="Arial"/>
                <w:sz w:val="18"/>
                <w:szCs w:val="18"/>
                <w:color w:val="auto"/>
              </w:rPr>
              <w:t>27,244</w:t>
            </w:r>
          </w:p>
        </w:tc>
        <w:tc>
          <w:tcPr>
            <w:tcW w:w="880" w:type="dxa"/>
            <w:vAlign w:val="bottom"/>
            <w:gridSpan w:val="4"/>
          </w:tcPr>
          <w:p>
            <w:pPr>
              <w:jc w:val="right"/>
              <w:spacing w:after="0"/>
              <w:rPr>
                <w:sz w:val="20"/>
                <w:szCs w:val="20"/>
                <w:color w:val="auto"/>
              </w:rPr>
            </w:pPr>
            <w:r>
              <w:rPr>
                <w:rFonts w:ascii="Arial" w:cs="Arial" w:eastAsia="Arial" w:hAnsi="Arial"/>
                <w:sz w:val="18"/>
                <w:szCs w:val="18"/>
                <w:color w:val="auto"/>
              </w:rPr>
              <w:t>17.4</w:t>
            </w:r>
          </w:p>
        </w:tc>
        <w:tc>
          <w:tcPr>
            <w:tcW w:w="1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40" w:type="dxa"/>
            <w:vAlign w:val="bottom"/>
            <w:gridSpan w:val="2"/>
          </w:tcPr>
          <w:p>
            <w:pPr>
              <w:ind w:left="320"/>
              <w:spacing w:after="0"/>
              <w:rPr>
                <w:sz w:val="20"/>
                <w:szCs w:val="20"/>
                <w:color w:val="auto"/>
              </w:rPr>
            </w:pPr>
            <w:r>
              <w:rPr>
                <w:rFonts w:ascii="Arial" w:cs="Arial" w:eastAsia="Arial" w:hAnsi="Arial"/>
                <w:sz w:val="18"/>
                <w:szCs w:val="18"/>
                <w:color w:val="auto"/>
                <w:w w:val="90"/>
              </w:rPr>
              <w:t>23,020</w:t>
            </w:r>
          </w:p>
        </w:tc>
        <w:tc>
          <w:tcPr>
            <w:tcW w:w="60" w:type="dxa"/>
            <w:vAlign w:val="bottom"/>
          </w:tcPr>
          <w:p>
            <w:pPr>
              <w:spacing w:after="0"/>
              <w:rPr>
                <w:sz w:val="19"/>
                <w:szCs w:val="19"/>
                <w:color w:val="auto"/>
              </w:rPr>
            </w:pPr>
          </w:p>
        </w:tc>
        <w:tc>
          <w:tcPr>
            <w:tcW w:w="800" w:type="dxa"/>
            <w:vAlign w:val="bottom"/>
            <w:gridSpan w:val="3"/>
          </w:tcPr>
          <w:p>
            <w:pPr>
              <w:jc w:val="right"/>
              <w:spacing w:after="0"/>
              <w:rPr>
                <w:sz w:val="20"/>
                <w:szCs w:val="20"/>
                <w:color w:val="auto"/>
              </w:rPr>
            </w:pPr>
            <w:r>
              <w:rPr>
                <w:rFonts w:ascii="Arial" w:cs="Arial" w:eastAsia="Arial" w:hAnsi="Arial"/>
                <w:sz w:val="18"/>
                <w:szCs w:val="18"/>
                <w:color w:val="auto"/>
              </w:rPr>
              <w:t>16.7</w:t>
            </w:r>
          </w:p>
        </w:tc>
        <w:tc>
          <w:tcPr>
            <w:tcW w:w="3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59,082</w:t>
            </w: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18.6</w:t>
            </w:r>
          </w:p>
        </w:tc>
        <w:tc>
          <w:tcPr>
            <w:tcW w:w="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40,833</w:t>
            </w:r>
          </w:p>
        </w:tc>
        <w:tc>
          <w:tcPr>
            <w:tcW w:w="140" w:type="dxa"/>
            <w:vAlign w:val="bottom"/>
          </w:tcPr>
          <w:p>
            <w:pPr>
              <w:spacing w:after="0"/>
              <w:rPr>
                <w:sz w:val="19"/>
                <w:szCs w:val="19"/>
                <w:color w:val="auto"/>
              </w:rPr>
            </w:pP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15.4</w:t>
            </w:r>
          </w:p>
        </w:tc>
        <w:tc>
          <w:tcPr>
            <w:tcW w:w="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200" w:type="dxa"/>
            <w:vAlign w:val="bottom"/>
            <w:shd w:val="clear" w:color="auto" w:fill="CFF0FC"/>
          </w:tcPr>
          <w:p>
            <w:pPr>
              <w:spacing w:after="0"/>
              <w:rPr>
                <w:sz w:val="20"/>
                <w:szCs w:val="20"/>
                <w:color w:val="auto"/>
              </w:rPr>
            </w:pPr>
            <w:r>
              <w:rPr>
                <w:rFonts w:ascii="Arial" w:cs="Arial" w:eastAsia="Arial" w:hAnsi="Arial"/>
                <w:sz w:val="18"/>
                <w:szCs w:val="18"/>
                <w:color w:val="auto"/>
              </w:rPr>
              <w:t>New Mexico</w:t>
            </w:r>
          </w:p>
        </w:tc>
        <w:tc>
          <w:tcPr>
            <w:tcW w:w="2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780" w:type="dxa"/>
            <w:vAlign w:val="bottom"/>
            <w:gridSpan w:val="3"/>
            <w:shd w:val="clear" w:color="auto" w:fill="CFF0FC"/>
          </w:tcPr>
          <w:p>
            <w:pPr>
              <w:jc w:val="right"/>
              <w:spacing w:after="0"/>
              <w:rPr>
                <w:sz w:val="20"/>
                <w:szCs w:val="20"/>
                <w:color w:val="auto"/>
              </w:rPr>
            </w:pPr>
            <w:r>
              <w:rPr>
                <w:rFonts w:ascii="Arial" w:cs="Arial" w:eastAsia="Arial" w:hAnsi="Arial"/>
                <w:sz w:val="18"/>
                <w:szCs w:val="18"/>
                <w:color w:val="auto"/>
              </w:rPr>
              <w:t>21,831</w:t>
            </w:r>
          </w:p>
        </w:tc>
        <w:tc>
          <w:tcPr>
            <w:tcW w:w="880" w:type="dxa"/>
            <w:vAlign w:val="bottom"/>
            <w:gridSpan w:val="4"/>
            <w:shd w:val="clear" w:color="auto" w:fill="CFF0FC"/>
          </w:tcPr>
          <w:p>
            <w:pPr>
              <w:jc w:val="right"/>
              <w:spacing w:after="0"/>
              <w:rPr>
                <w:sz w:val="20"/>
                <w:szCs w:val="20"/>
                <w:color w:val="auto"/>
              </w:rPr>
            </w:pPr>
            <w:r>
              <w:rPr>
                <w:rFonts w:ascii="Arial" w:cs="Arial" w:eastAsia="Arial" w:hAnsi="Arial"/>
                <w:sz w:val="18"/>
                <w:szCs w:val="18"/>
                <w:color w:val="auto"/>
              </w:rPr>
              <w:t>14.0</w:t>
            </w:r>
          </w:p>
        </w:tc>
        <w:tc>
          <w:tcPr>
            <w:tcW w:w="18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40" w:type="dxa"/>
            <w:vAlign w:val="bottom"/>
            <w:gridSpan w:val="2"/>
            <w:shd w:val="clear" w:color="auto" w:fill="CFF0FC"/>
          </w:tcPr>
          <w:p>
            <w:pPr>
              <w:ind w:left="320"/>
              <w:spacing w:after="0"/>
              <w:rPr>
                <w:sz w:val="20"/>
                <w:szCs w:val="20"/>
                <w:color w:val="auto"/>
              </w:rPr>
            </w:pPr>
            <w:r>
              <w:rPr>
                <w:rFonts w:ascii="Arial" w:cs="Arial" w:eastAsia="Arial" w:hAnsi="Arial"/>
                <w:sz w:val="18"/>
                <w:szCs w:val="18"/>
                <w:color w:val="auto"/>
                <w:w w:val="90"/>
              </w:rPr>
              <w:t>18,135</w:t>
            </w:r>
          </w:p>
        </w:tc>
        <w:tc>
          <w:tcPr>
            <w:tcW w:w="60" w:type="dxa"/>
            <w:vAlign w:val="bottom"/>
            <w:shd w:val="clear" w:color="auto" w:fill="CFF0FC"/>
          </w:tcPr>
          <w:p>
            <w:pPr>
              <w:spacing w:after="0"/>
              <w:rPr>
                <w:sz w:val="19"/>
                <w:szCs w:val="19"/>
                <w:color w:val="auto"/>
              </w:rPr>
            </w:pPr>
          </w:p>
        </w:tc>
        <w:tc>
          <w:tcPr>
            <w:tcW w:w="800" w:type="dxa"/>
            <w:vAlign w:val="bottom"/>
            <w:gridSpan w:val="3"/>
            <w:shd w:val="clear" w:color="auto" w:fill="CFF0FC"/>
          </w:tcPr>
          <w:p>
            <w:pPr>
              <w:jc w:val="right"/>
              <w:spacing w:after="0"/>
              <w:rPr>
                <w:sz w:val="20"/>
                <w:szCs w:val="20"/>
                <w:color w:val="auto"/>
              </w:rPr>
            </w:pPr>
            <w:r>
              <w:rPr>
                <w:rFonts w:ascii="Arial" w:cs="Arial" w:eastAsia="Arial" w:hAnsi="Arial"/>
                <w:sz w:val="18"/>
                <w:szCs w:val="18"/>
                <w:color w:val="auto"/>
              </w:rPr>
              <w:t>13.2</w:t>
            </w:r>
          </w:p>
        </w:tc>
        <w:tc>
          <w:tcPr>
            <w:tcW w:w="3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42,525</w:t>
            </w:r>
          </w:p>
        </w:tc>
        <w:tc>
          <w:tcPr>
            <w:tcW w:w="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13.4</w:t>
            </w:r>
          </w:p>
        </w:tc>
        <w:tc>
          <w:tcPr>
            <w:tcW w:w="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35,343</w:t>
            </w:r>
          </w:p>
        </w:tc>
        <w:tc>
          <w:tcPr>
            <w:tcW w:w="140" w:type="dxa"/>
            <w:vAlign w:val="bottom"/>
            <w:shd w:val="clear" w:color="auto" w:fill="CFF0FC"/>
          </w:tcPr>
          <w:p>
            <w:pPr>
              <w:spacing w:after="0"/>
              <w:rPr>
                <w:sz w:val="19"/>
                <w:szCs w:val="19"/>
                <w:color w:val="auto"/>
              </w:rPr>
            </w:pPr>
          </w:p>
        </w:tc>
        <w:tc>
          <w:tcPr>
            <w:tcW w:w="7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13.3</w:t>
            </w:r>
          </w:p>
        </w:tc>
        <w:tc>
          <w:tcPr>
            <w:tcW w:w="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200" w:type="dxa"/>
            <w:vAlign w:val="bottom"/>
          </w:tcPr>
          <w:p>
            <w:pPr>
              <w:spacing w:after="0"/>
              <w:rPr>
                <w:sz w:val="20"/>
                <w:szCs w:val="20"/>
                <w:color w:val="auto"/>
              </w:rPr>
            </w:pPr>
            <w:r>
              <w:rPr>
                <w:rFonts w:ascii="Arial" w:cs="Arial" w:eastAsia="Arial" w:hAnsi="Arial"/>
                <w:sz w:val="18"/>
                <w:szCs w:val="18"/>
                <w:color w:val="auto"/>
              </w:rPr>
              <w:t>All other states</w:t>
            </w:r>
          </w:p>
        </w:tc>
        <w:tc>
          <w:tcPr>
            <w:tcW w:w="2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80" w:type="dxa"/>
            <w:vAlign w:val="bottom"/>
            <w:gridSpan w:val="3"/>
          </w:tcPr>
          <w:p>
            <w:pPr>
              <w:jc w:val="right"/>
              <w:spacing w:after="0"/>
              <w:rPr>
                <w:sz w:val="20"/>
                <w:szCs w:val="20"/>
                <w:color w:val="auto"/>
              </w:rPr>
            </w:pPr>
            <w:r>
              <w:rPr>
                <w:rFonts w:ascii="Arial" w:cs="Arial" w:eastAsia="Arial" w:hAnsi="Arial"/>
                <w:sz w:val="18"/>
                <w:szCs w:val="18"/>
                <w:color w:val="auto"/>
              </w:rPr>
              <w:t>38,141</w:t>
            </w:r>
          </w:p>
        </w:tc>
        <w:tc>
          <w:tcPr>
            <w:tcW w:w="880" w:type="dxa"/>
            <w:vAlign w:val="bottom"/>
            <w:gridSpan w:val="4"/>
          </w:tcPr>
          <w:p>
            <w:pPr>
              <w:jc w:val="right"/>
              <w:spacing w:after="0"/>
              <w:rPr>
                <w:sz w:val="20"/>
                <w:szCs w:val="20"/>
                <w:color w:val="auto"/>
              </w:rPr>
            </w:pPr>
            <w:r>
              <w:rPr>
                <w:rFonts w:ascii="Arial" w:cs="Arial" w:eastAsia="Arial" w:hAnsi="Arial"/>
                <w:sz w:val="18"/>
                <w:szCs w:val="18"/>
                <w:color w:val="auto"/>
              </w:rPr>
              <w:t>24.4</w:t>
            </w:r>
          </w:p>
        </w:tc>
        <w:tc>
          <w:tcPr>
            <w:tcW w:w="1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40" w:type="dxa"/>
            <w:vAlign w:val="bottom"/>
            <w:gridSpan w:val="2"/>
          </w:tcPr>
          <w:p>
            <w:pPr>
              <w:ind w:left="320"/>
              <w:spacing w:after="0"/>
              <w:rPr>
                <w:sz w:val="20"/>
                <w:szCs w:val="20"/>
                <w:color w:val="auto"/>
              </w:rPr>
            </w:pPr>
            <w:r>
              <w:rPr>
                <w:rFonts w:ascii="Arial" w:cs="Arial" w:eastAsia="Arial" w:hAnsi="Arial"/>
                <w:sz w:val="18"/>
                <w:szCs w:val="18"/>
                <w:color w:val="auto"/>
                <w:w w:val="90"/>
              </w:rPr>
              <w:t>37,208</w:t>
            </w:r>
          </w:p>
        </w:tc>
        <w:tc>
          <w:tcPr>
            <w:tcW w:w="60" w:type="dxa"/>
            <w:vAlign w:val="bottom"/>
          </w:tcPr>
          <w:p>
            <w:pPr>
              <w:spacing w:after="0"/>
              <w:rPr>
                <w:sz w:val="19"/>
                <w:szCs w:val="19"/>
                <w:color w:val="auto"/>
              </w:rPr>
            </w:pPr>
          </w:p>
        </w:tc>
        <w:tc>
          <w:tcPr>
            <w:tcW w:w="800" w:type="dxa"/>
            <w:vAlign w:val="bottom"/>
            <w:gridSpan w:val="3"/>
          </w:tcPr>
          <w:p>
            <w:pPr>
              <w:jc w:val="right"/>
              <w:spacing w:after="0"/>
              <w:rPr>
                <w:sz w:val="20"/>
                <w:szCs w:val="20"/>
                <w:color w:val="auto"/>
              </w:rPr>
            </w:pPr>
            <w:r>
              <w:rPr>
                <w:rFonts w:ascii="Arial" w:cs="Arial" w:eastAsia="Arial" w:hAnsi="Arial"/>
                <w:sz w:val="18"/>
                <w:szCs w:val="18"/>
                <w:color w:val="auto"/>
              </w:rPr>
              <w:t>27.1</w:t>
            </w:r>
          </w:p>
        </w:tc>
        <w:tc>
          <w:tcPr>
            <w:tcW w:w="3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74,728</w:t>
            </w: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23.6</w:t>
            </w:r>
          </w:p>
        </w:tc>
        <w:tc>
          <w:tcPr>
            <w:tcW w:w="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73,232</w:t>
            </w:r>
          </w:p>
        </w:tc>
        <w:tc>
          <w:tcPr>
            <w:tcW w:w="140" w:type="dxa"/>
            <w:vAlign w:val="bottom"/>
          </w:tcPr>
          <w:p>
            <w:pPr>
              <w:spacing w:after="0"/>
              <w:rPr>
                <w:sz w:val="19"/>
                <w:szCs w:val="19"/>
                <w:color w:val="auto"/>
              </w:rPr>
            </w:pP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27.6</w:t>
            </w:r>
          </w:p>
        </w:tc>
        <w:tc>
          <w:tcPr>
            <w:tcW w:w="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22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w w:val="95"/>
              </w:rPr>
              <w:t>Total personal care segment</w:t>
            </w:r>
          </w:p>
        </w:tc>
        <w:tc>
          <w:tcPr>
            <w:tcW w:w="200" w:type="dxa"/>
            <w:vAlign w:val="bottom"/>
            <w:tcBorders>
              <w:top w:val="single" w:sz="8" w:color="CFF0FC"/>
            </w:tcBorders>
            <w:shd w:val="clear" w:color="auto" w:fill="CFF0FC"/>
          </w:tcPr>
          <w:p>
            <w:pPr>
              <w:spacing w:after="0"/>
              <w:rPr>
                <w:sz w:val="18"/>
                <w:szCs w:val="18"/>
                <w:color w:val="auto"/>
              </w:rPr>
            </w:pPr>
          </w:p>
        </w:tc>
        <w:tc>
          <w:tcPr>
            <w:tcW w:w="280" w:type="dxa"/>
            <w:vAlign w:val="bottom"/>
            <w:tcBorders>
              <w:top w:val="single" w:sz="8" w:color="CFF0FC"/>
            </w:tcBorders>
            <w:shd w:val="clear" w:color="auto" w:fill="CFF0FC"/>
          </w:tcPr>
          <w:p>
            <w:pPr>
              <w:spacing w:after="0"/>
              <w:rPr>
                <w:sz w:val="18"/>
                <w:szCs w:val="18"/>
                <w:color w:val="auto"/>
              </w:rPr>
            </w:pPr>
          </w:p>
        </w:tc>
        <w:tc>
          <w:tcPr>
            <w:tcW w:w="140" w:type="dxa"/>
            <w:vAlign w:val="bottom"/>
            <w:tcBorders>
              <w:top w:val="single" w:sz="8" w:color="auto"/>
            </w:tcBorders>
            <w:shd w:val="clear" w:color="auto" w:fill="CFF0FC"/>
          </w:tcPr>
          <w:p>
            <w:pPr>
              <w:spacing w:after="0"/>
              <w:rPr>
                <w:sz w:val="18"/>
                <w:szCs w:val="18"/>
                <w:color w:val="auto"/>
              </w:rPr>
            </w:pPr>
          </w:p>
        </w:tc>
        <w:tc>
          <w:tcPr>
            <w:tcW w:w="600" w:type="dxa"/>
            <w:vAlign w:val="bottom"/>
            <w:tcBorders>
              <w:top w:val="single" w:sz="8" w:color="auto"/>
            </w:tcBorders>
            <w:shd w:val="clear" w:color="auto" w:fill="CFF0FC"/>
          </w:tcPr>
          <w:p>
            <w:pPr>
              <w:spacing w:after="0"/>
              <w:rPr>
                <w:sz w:val="18"/>
                <w:szCs w:val="18"/>
                <w:color w:val="auto"/>
              </w:rPr>
            </w:pPr>
          </w:p>
        </w:tc>
        <w:tc>
          <w:tcPr>
            <w:tcW w:w="160" w:type="dxa"/>
            <w:vAlign w:val="bottom"/>
            <w:tcBorders>
              <w:top w:val="single" w:sz="8" w:color="auto"/>
            </w:tcBorders>
            <w:shd w:val="clear" w:color="auto" w:fill="CFF0FC"/>
          </w:tcPr>
          <w:p>
            <w:pPr>
              <w:spacing w:after="0"/>
              <w:rPr>
                <w:sz w:val="18"/>
                <w:szCs w:val="18"/>
                <w:color w:val="auto"/>
              </w:rPr>
            </w:pPr>
          </w:p>
        </w:tc>
        <w:tc>
          <w:tcPr>
            <w:tcW w:w="20" w:type="dxa"/>
            <w:vAlign w:val="bottom"/>
            <w:tcBorders>
              <w:top w:val="single" w:sz="8" w:color="auto"/>
            </w:tcBorders>
            <w:shd w:val="clear" w:color="auto" w:fill="CFF0FC"/>
          </w:tcPr>
          <w:p>
            <w:pPr>
              <w:spacing w:after="0"/>
              <w:rPr>
                <w:sz w:val="18"/>
                <w:szCs w:val="18"/>
                <w:color w:val="auto"/>
              </w:rPr>
            </w:pPr>
          </w:p>
        </w:tc>
        <w:tc>
          <w:tcPr>
            <w:tcW w:w="20" w:type="dxa"/>
            <w:vAlign w:val="bottom"/>
            <w:tcBorders>
              <w:top w:val="single" w:sz="8" w:color="auto"/>
            </w:tcBorders>
            <w:shd w:val="clear" w:color="auto" w:fill="CFF0FC"/>
          </w:tcPr>
          <w:p>
            <w:pPr>
              <w:spacing w:after="0"/>
              <w:rPr>
                <w:sz w:val="18"/>
                <w:szCs w:val="18"/>
                <w:color w:val="auto"/>
              </w:rPr>
            </w:pPr>
          </w:p>
        </w:tc>
        <w:tc>
          <w:tcPr>
            <w:tcW w:w="160" w:type="dxa"/>
            <w:vAlign w:val="bottom"/>
            <w:tcBorders>
              <w:top w:val="single" w:sz="8" w:color="CFF0FC"/>
            </w:tcBorders>
            <w:shd w:val="clear" w:color="auto" w:fill="CFF0FC"/>
          </w:tcPr>
          <w:p>
            <w:pPr>
              <w:spacing w:after="0"/>
              <w:rPr>
                <w:sz w:val="18"/>
                <w:szCs w:val="18"/>
                <w:color w:val="auto"/>
              </w:rPr>
            </w:pPr>
          </w:p>
        </w:tc>
        <w:tc>
          <w:tcPr>
            <w:tcW w:w="580" w:type="dxa"/>
            <w:vAlign w:val="bottom"/>
            <w:tcBorders>
              <w:top w:val="single" w:sz="8" w:color="auto"/>
            </w:tcBorders>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spacing w:after="0"/>
              <w:rPr>
                <w:sz w:val="18"/>
                <w:szCs w:val="18"/>
                <w:color w:val="auto"/>
              </w:rPr>
            </w:pPr>
          </w:p>
        </w:tc>
        <w:tc>
          <w:tcPr>
            <w:tcW w:w="180" w:type="dxa"/>
            <w:vAlign w:val="bottom"/>
            <w:tcBorders>
              <w:top w:val="single" w:sz="8" w:color="CFF0FC"/>
            </w:tcBorders>
            <w:shd w:val="clear" w:color="auto" w:fill="CFF0FC"/>
          </w:tcPr>
          <w:p>
            <w:pPr>
              <w:spacing w:after="0"/>
              <w:rPr>
                <w:sz w:val="18"/>
                <w:szCs w:val="18"/>
                <w:color w:val="auto"/>
              </w:rPr>
            </w:pPr>
          </w:p>
        </w:tc>
        <w:tc>
          <w:tcPr>
            <w:tcW w:w="60" w:type="dxa"/>
            <w:vAlign w:val="bottom"/>
            <w:tcBorders>
              <w:top w:val="single" w:sz="8" w:color="CFF0FC"/>
            </w:tcBorders>
            <w:shd w:val="clear" w:color="auto" w:fill="CFF0FC"/>
          </w:tcPr>
          <w:p>
            <w:pPr>
              <w:spacing w:after="0"/>
              <w:rPr>
                <w:sz w:val="18"/>
                <w:szCs w:val="18"/>
                <w:color w:val="auto"/>
              </w:rPr>
            </w:pPr>
          </w:p>
        </w:tc>
        <w:tc>
          <w:tcPr>
            <w:tcW w:w="120" w:type="dxa"/>
            <w:vAlign w:val="bottom"/>
            <w:tcBorders>
              <w:top w:val="single" w:sz="8" w:color="CFF0FC"/>
            </w:tcBorders>
            <w:shd w:val="clear" w:color="auto" w:fill="CFF0FC"/>
          </w:tcPr>
          <w:p>
            <w:pPr>
              <w:spacing w:after="0"/>
              <w:rPr>
                <w:sz w:val="18"/>
                <w:szCs w:val="18"/>
                <w:color w:val="auto"/>
              </w:rPr>
            </w:pPr>
          </w:p>
        </w:tc>
        <w:tc>
          <w:tcPr>
            <w:tcW w:w="100" w:type="dxa"/>
            <w:vAlign w:val="bottom"/>
            <w:tcBorders>
              <w:top w:val="single" w:sz="8" w:color="auto"/>
            </w:tcBorders>
            <w:shd w:val="clear" w:color="auto" w:fill="CFF0FC"/>
          </w:tcPr>
          <w:p>
            <w:pPr>
              <w:spacing w:after="0"/>
              <w:rPr>
                <w:sz w:val="18"/>
                <w:szCs w:val="18"/>
                <w:color w:val="auto"/>
              </w:rPr>
            </w:pPr>
          </w:p>
        </w:tc>
        <w:tc>
          <w:tcPr>
            <w:tcW w:w="740" w:type="dxa"/>
            <w:vAlign w:val="bottom"/>
            <w:tcBorders>
              <w:top w:val="single" w:sz="8" w:color="auto"/>
            </w:tcBorders>
            <w:shd w:val="clear" w:color="auto" w:fill="CFF0FC"/>
          </w:tcPr>
          <w:p>
            <w:pPr>
              <w:spacing w:after="0"/>
              <w:rPr>
                <w:sz w:val="18"/>
                <w:szCs w:val="18"/>
                <w:color w:val="auto"/>
              </w:rPr>
            </w:pPr>
          </w:p>
        </w:tc>
        <w:tc>
          <w:tcPr>
            <w:tcW w:w="100" w:type="dxa"/>
            <w:vAlign w:val="bottom"/>
            <w:tcBorders>
              <w:top w:val="single" w:sz="8" w:color="auto"/>
            </w:tcBorders>
            <w:shd w:val="clear" w:color="auto" w:fill="CFF0FC"/>
          </w:tcPr>
          <w:p>
            <w:pPr>
              <w:spacing w:after="0"/>
              <w:rPr>
                <w:sz w:val="18"/>
                <w:szCs w:val="18"/>
                <w:color w:val="auto"/>
              </w:rPr>
            </w:pPr>
          </w:p>
        </w:tc>
        <w:tc>
          <w:tcPr>
            <w:tcW w:w="60" w:type="dxa"/>
            <w:vAlign w:val="bottom"/>
            <w:tcBorders>
              <w:top w:val="single" w:sz="8" w:color="CFF0FC"/>
            </w:tcBorders>
            <w:shd w:val="clear" w:color="auto" w:fill="CFF0FC"/>
          </w:tcPr>
          <w:p>
            <w:pPr>
              <w:spacing w:after="0"/>
              <w:rPr>
                <w:sz w:val="18"/>
                <w:szCs w:val="18"/>
                <w:color w:val="auto"/>
              </w:rPr>
            </w:pPr>
          </w:p>
        </w:tc>
        <w:tc>
          <w:tcPr>
            <w:tcW w:w="100" w:type="dxa"/>
            <w:vAlign w:val="bottom"/>
            <w:tcBorders>
              <w:top w:val="single" w:sz="8" w:color="CFF0FC"/>
            </w:tcBorders>
            <w:shd w:val="clear" w:color="auto" w:fill="CFF0FC"/>
          </w:tcPr>
          <w:p>
            <w:pPr>
              <w:spacing w:after="0"/>
              <w:rPr>
                <w:sz w:val="18"/>
                <w:szCs w:val="18"/>
                <w:color w:val="auto"/>
              </w:rPr>
            </w:pPr>
          </w:p>
        </w:tc>
        <w:tc>
          <w:tcPr>
            <w:tcW w:w="680" w:type="dxa"/>
            <w:vAlign w:val="bottom"/>
            <w:tcBorders>
              <w:top w:val="single" w:sz="8" w:color="auto"/>
            </w:tcBorders>
            <w:shd w:val="clear" w:color="auto" w:fill="CFF0FC"/>
          </w:tcPr>
          <w:p>
            <w:pPr>
              <w:spacing w:after="0"/>
              <w:rPr>
                <w:sz w:val="18"/>
                <w:szCs w:val="18"/>
                <w:color w:val="auto"/>
              </w:rPr>
            </w:pPr>
          </w:p>
        </w:tc>
        <w:tc>
          <w:tcPr>
            <w:tcW w:w="20" w:type="dxa"/>
            <w:vAlign w:val="bottom"/>
            <w:tcBorders>
              <w:top w:val="single" w:sz="8" w:color="auto"/>
            </w:tcBorders>
            <w:shd w:val="clear" w:color="auto" w:fill="CFF0FC"/>
          </w:tcPr>
          <w:p>
            <w:pPr>
              <w:spacing w:after="0"/>
              <w:rPr>
                <w:sz w:val="18"/>
                <w:szCs w:val="18"/>
                <w:color w:val="auto"/>
              </w:rPr>
            </w:pPr>
          </w:p>
        </w:tc>
        <w:tc>
          <w:tcPr>
            <w:tcW w:w="340" w:type="dxa"/>
            <w:vAlign w:val="bottom"/>
            <w:tcBorders>
              <w:top w:val="single" w:sz="8" w:color="CFF0FC"/>
            </w:tcBorders>
            <w:shd w:val="clear" w:color="auto" w:fill="CFF0FC"/>
          </w:tcPr>
          <w:p>
            <w:pPr>
              <w:spacing w:after="0"/>
              <w:rPr>
                <w:sz w:val="18"/>
                <w:szCs w:val="18"/>
                <w:color w:val="auto"/>
              </w:rPr>
            </w:pPr>
          </w:p>
        </w:tc>
        <w:tc>
          <w:tcPr>
            <w:tcW w:w="20" w:type="dxa"/>
            <w:vAlign w:val="bottom"/>
            <w:tcBorders>
              <w:top w:val="single" w:sz="8" w:color="CFF0FC"/>
            </w:tcBorders>
            <w:shd w:val="clear" w:color="auto" w:fill="CFF0FC"/>
          </w:tcPr>
          <w:p>
            <w:pPr>
              <w:spacing w:after="0"/>
              <w:rPr>
                <w:sz w:val="18"/>
                <w:szCs w:val="18"/>
                <w:color w:val="auto"/>
              </w:rPr>
            </w:pPr>
          </w:p>
        </w:tc>
        <w:tc>
          <w:tcPr>
            <w:tcW w:w="140" w:type="dxa"/>
            <w:vAlign w:val="bottom"/>
            <w:tcBorders>
              <w:top w:val="single" w:sz="8" w:color="auto"/>
            </w:tcBorders>
            <w:shd w:val="clear" w:color="auto" w:fill="CFF0FC"/>
          </w:tcPr>
          <w:p>
            <w:pPr>
              <w:spacing w:after="0"/>
              <w:rPr>
                <w:sz w:val="18"/>
                <w:szCs w:val="18"/>
                <w:color w:val="auto"/>
              </w:rPr>
            </w:pPr>
          </w:p>
        </w:tc>
        <w:tc>
          <w:tcPr>
            <w:tcW w:w="800" w:type="dxa"/>
            <w:vAlign w:val="bottom"/>
            <w:tcBorders>
              <w:top w:val="single" w:sz="8" w:color="auto"/>
            </w:tcBorders>
            <w:shd w:val="clear" w:color="auto" w:fill="CFF0FC"/>
          </w:tcPr>
          <w:p>
            <w:pPr>
              <w:spacing w:after="0"/>
              <w:rPr>
                <w:sz w:val="18"/>
                <w:szCs w:val="18"/>
                <w:color w:val="auto"/>
              </w:rPr>
            </w:pPr>
          </w:p>
        </w:tc>
        <w:tc>
          <w:tcPr>
            <w:tcW w:w="40" w:type="dxa"/>
            <w:vAlign w:val="bottom"/>
            <w:tcBorders>
              <w:top w:val="single" w:sz="8" w:color="CFF0FC"/>
            </w:tcBorders>
            <w:shd w:val="clear" w:color="auto" w:fill="CFF0FC"/>
          </w:tcPr>
          <w:p>
            <w:pPr>
              <w:spacing w:after="0"/>
              <w:rPr>
                <w:sz w:val="18"/>
                <w:szCs w:val="18"/>
                <w:color w:val="auto"/>
              </w:rPr>
            </w:pPr>
          </w:p>
        </w:tc>
        <w:tc>
          <w:tcPr>
            <w:tcW w:w="120" w:type="dxa"/>
            <w:vAlign w:val="bottom"/>
            <w:tcBorders>
              <w:top w:val="single" w:sz="8" w:color="CFF0FC"/>
            </w:tcBorders>
            <w:shd w:val="clear" w:color="auto" w:fill="CFF0FC"/>
          </w:tcPr>
          <w:p>
            <w:pPr>
              <w:spacing w:after="0"/>
              <w:rPr>
                <w:sz w:val="18"/>
                <w:szCs w:val="18"/>
                <w:color w:val="auto"/>
              </w:rPr>
            </w:pPr>
          </w:p>
        </w:tc>
        <w:tc>
          <w:tcPr>
            <w:tcW w:w="700" w:type="dxa"/>
            <w:vAlign w:val="bottom"/>
            <w:tcBorders>
              <w:top w:val="single" w:sz="8" w:color="auto"/>
            </w:tcBorders>
            <w:shd w:val="clear" w:color="auto" w:fill="CFF0FC"/>
          </w:tcPr>
          <w:p>
            <w:pPr>
              <w:spacing w:after="0"/>
              <w:rPr>
                <w:sz w:val="18"/>
                <w:szCs w:val="18"/>
                <w:color w:val="auto"/>
              </w:rPr>
            </w:pPr>
          </w:p>
        </w:tc>
        <w:tc>
          <w:tcPr>
            <w:tcW w:w="60" w:type="dxa"/>
            <w:vAlign w:val="bottom"/>
            <w:tcBorders>
              <w:top w:val="single" w:sz="8" w:color="CFF0FC"/>
            </w:tcBorders>
            <w:shd w:val="clear" w:color="auto" w:fill="CFF0FC"/>
          </w:tcPr>
          <w:p>
            <w:pPr>
              <w:spacing w:after="0"/>
              <w:rPr>
                <w:sz w:val="18"/>
                <w:szCs w:val="18"/>
                <w:color w:val="auto"/>
              </w:rPr>
            </w:pPr>
          </w:p>
        </w:tc>
        <w:tc>
          <w:tcPr>
            <w:tcW w:w="300" w:type="dxa"/>
            <w:vAlign w:val="bottom"/>
            <w:tcBorders>
              <w:top w:val="single" w:sz="8" w:color="CFF0FC"/>
            </w:tcBorders>
            <w:shd w:val="clear" w:color="auto" w:fill="CFF0FC"/>
          </w:tcPr>
          <w:p>
            <w:pPr>
              <w:spacing w:after="0"/>
              <w:rPr>
                <w:sz w:val="18"/>
                <w:szCs w:val="18"/>
                <w:color w:val="auto"/>
              </w:rPr>
            </w:pPr>
          </w:p>
        </w:tc>
        <w:tc>
          <w:tcPr>
            <w:tcW w:w="20" w:type="dxa"/>
            <w:vAlign w:val="bottom"/>
            <w:tcBorders>
              <w:top w:val="single" w:sz="8" w:color="auto"/>
            </w:tcBorders>
            <w:shd w:val="clear" w:color="auto" w:fill="CFF0FC"/>
          </w:tcPr>
          <w:p>
            <w:pPr>
              <w:spacing w:after="0"/>
              <w:rPr>
                <w:sz w:val="18"/>
                <w:szCs w:val="18"/>
                <w:color w:val="auto"/>
              </w:rPr>
            </w:pPr>
          </w:p>
        </w:tc>
        <w:tc>
          <w:tcPr>
            <w:tcW w:w="140" w:type="dxa"/>
            <w:vAlign w:val="bottom"/>
            <w:tcBorders>
              <w:top w:val="single" w:sz="8" w:color="auto"/>
            </w:tcBorders>
            <w:shd w:val="clear" w:color="auto" w:fill="CFF0FC"/>
          </w:tcPr>
          <w:p>
            <w:pPr>
              <w:spacing w:after="0"/>
              <w:rPr>
                <w:sz w:val="18"/>
                <w:szCs w:val="18"/>
                <w:color w:val="auto"/>
              </w:rPr>
            </w:pPr>
          </w:p>
        </w:tc>
        <w:tc>
          <w:tcPr>
            <w:tcW w:w="780" w:type="dxa"/>
            <w:vAlign w:val="bottom"/>
            <w:tcBorders>
              <w:top w:val="single" w:sz="8" w:color="auto"/>
            </w:tcBorders>
            <w:shd w:val="clear" w:color="auto" w:fill="CFF0FC"/>
          </w:tcPr>
          <w:p>
            <w:pPr>
              <w:spacing w:after="0"/>
              <w:rPr>
                <w:sz w:val="18"/>
                <w:szCs w:val="18"/>
                <w:color w:val="auto"/>
              </w:rPr>
            </w:pPr>
          </w:p>
        </w:tc>
        <w:tc>
          <w:tcPr>
            <w:tcW w:w="140" w:type="dxa"/>
            <w:vAlign w:val="bottom"/>
            <w:tcBorders>
              <w:top w:val="single" w:sz="8" w:color="CFF0FC"/>
            </w:tcBorders>
            <w:shd w:val="clear" w:color="auto" w:fill="CFF0FC"/>
          </w:tcPr>
          <w:p>
            <w:pPr>
              <w:spacing w:after="0"/>
              <w:rPr>
                <w:sz w:val="18"/>
                <w:szCs w:val="18"/>
                <w:color w:val="auto"/>
              </w:rPr>
            </w:pPr>
          </w:p>
        </w:tc>
        <w:tc>
          <w:tcPr>
            <w:tcW w:w="20" w:type="dxa"/>
            <w:vAlign w:val="bottom"/>
            <w:tcBorders>
              <w:top w:val="single" w:sz="8" w:color="CFF0FC"/>
            </w:tcBorders>
            <w:shd w:val="clear" w:color="auto" w:fill="CFF0FC"/>
          </w:tcPr>
          <w:p>
            <w:pPr>
              <w:spacing w:after="0"/>
              <w:rPr>
                <w:sz w:val="18"/>
                <w:szCs w:val="18"/>
                <w:color w:val="auto"/>
              </w:rPr>
            </w:pPr>
          </w:p>
        </w:tc>
        <w:tc>
          <w:tcPr>
            <w:tcW w:w="700" w:type="dxa"/>
            <w:vAlign w:val="bottom"/>
            <w:tcBorders>
              <w:top w:val="single" w:sz="8" w:color="auto"/>
            </w:tcBorders>
            <w:shd w:val="clear" w:color="auto" w:fill="CFF0FC"/>
          </w:tcPr>
          <w:p>
            <w:pPr>
              <w:spacing w:after="0"/>
              <w:rPr>
                <w:sz w:val="18"/>
                <w:szCs w:val="18"/>
                <w:color w:val="auto"/>
              </w:rPr>
            </w:pPr>
          </w:p>
        </w:tc>
        <w:tc>
          <w:tcPr>
            <w:tcW w:w="40" w:type="dxa"/>
            <w:vAlign w:val="bottom"/>
            <w:tcBorders>
              <w:top w:val="single" w:sz="8" w:color="CFF0FC"/>
            </w:tcBorders>
            <w:shd w:val="clear" w:color="auto" w:fill="CFF0FC"/>
          </w:tcPr>
          <w:p>
            <w:pPr>
              <w:spacing w:after="0"/>
              <w:rPr>
                <w:sz w:val="18"/>
                <w:szCs w:val="18"/>
                <w:color w:val="auto"/>
              </w:rPr>
            </w:pPr>
          </w:p>
        </w:tc>
        <w:tc>
          <w:tcPr>
            <w:tcW w:w="240" w:type="dxa"/>
            <w:vAlign w:val="bottom"/>
            <w:tcBorders>
              <w:top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200" w:type="dxa"/>
            <w:vAlign w:val="bottom"/>
            <w:tcBorders>
              <w:bottom w:val="single" w:sz="8" w:color="CFF0FC"/>
            </w:tcBorders>
            <w:shd w:val="clear" w:color="auto" w:fill="CFF0FC"/>
          </w:tcPr>
          <w:p>
            <w:pPr>
              <w:ind w:left="140"/>
              <w:spacing w:after="0"/>
              <w:rPr>
                <w:sz w:val="20"/>
                <w:szCs w:val="20"/>
                <w:color w:val="auto"/>
              </w:rPr>
            </w:pPr>
            <w:r>
              <w:rPr>
                <w:rFonts w:ascii="Arial" w:cs="Arial" w:eastAsia="Arial" w:hAnsi="Arial"/>
                <w:sz w:val="18"/>
                <w:szCs w:val="18"/>
                <w:color w:val="auto"/>
              </w:rPr>
              <w:t>net service revenues</w:t>
            </w:r>
          </w:p>
        </w:tc>
        <w:tc>
          <w:tcPr>
            <w:tcW w:w="480" w:type="dxa"/>
            <w:vAlign w:val="bottom"/>
            <w:tcBorders>
              <w:bottom w:val="single" w:sz="8" w:color="CFF0FC"/>
            </w:tcBorders>
            <w:gridSpan w:val="2"/>
            <w:shd w:val="clear" w:color="auto" w:fill="CFF0FC"/>
          </w:tcPr>
          <w:p>
            <w:pPr>
              <w:spacing w:after="0"/>
              <w:rPr>
                <w:sz w:val="20"/>
                <w:szCs w:val="20"/>
                <w:color w:val="auto"/>
              </w:rPr>
            </w:pPr>
          </w:p>
        </w:tc>
        <w:tc>
          <w:tcPr>
            <w:tcW w:w="140" w:type="dxa"/>
            <w:vAlign w:val="bottom"/>
            <w:tcBorders>
              <w:bottom w:val="single" w:sz="8" w:color="auto"/>
            </w:tcBorders>
            <w:shd w:val="clear" w:color="auto" w:fill="CFF0FC"/>
          </w:tcPr>
          <w:p>
            <w:pPr>
              <w:spacing w:after="0"/>
              <w:rPr>
                <w:sz w:val="20"/>
                <w:szCs w:val="20"/>
                <w:color w:val="auto"/>
              </w:rPr>
            </w:pPr>
            <w:r>
              <w:rPr>
                <w:rFonts w:ascii="Arial" w:cs="Arial" w:eastAsia="Arial" w:hAnsi="Arial"/>
                <w:sz w:val="18"/>
                <w:szCs w:val="18"/>
                <w:color w:val="auto"/>
              </w:rPr>
              <w:t>$</w:t>
            </w:r>
          </w:p>
        </w:tc>
        <w:tc>
          <w:tcPr>
            <w:tcW w:w="780" w:type="dxa"/>
            <w:vAlign w:val="bottom"/>
            <w:tcBorders>
              <w:bottom w:val="single" w:sz="8" w:color="auto"/>
            </w:tcBorders>
            <w:gridSpan w:val="3"/>
            <w:shd w:val="clear" w:color="auto" w:fill="CFF0FC"/>
          </w:tcPr>
          <w:p>
            <w:pPr>
              <w:jc w:val="right"/>
              <w:spacing w:after="0"/>
              <w:rPr>
                <w:sz w:val="20"/>
                <w:szCs w:val="20"/>
                <w:color w:val="auto"/>
              </w:rPr>
            </w:pPr>
            <w:r>
              <w:rPr>
                <w:rFonts w:ascii="Arial" w:cs="Arial" w:eastAsia="Arial" w:hAnsi="Arial"/>
                <w:sz w:val="18"/>
                <w:szCs w:val="18"/>
                <w:color w:val="auto"/>
              </w:rPr>
              <w:t>156,268</w:t>
            </w:r>
          </w:p>
        </w:tc>
        <w:tc>
          <w:tcPr>
            <w:tcW w:w="20" w:type="dxa"/>
            <w:vAlign w:val="bottom"/>
            <w:tcBorders>
              <w:bottom w:val="single" w:sz="8" w:color="auto"/>
            </w:tcBorders>
            <w:shd w:val="clear" w:color="auto" w:fill="CFF0FC"/>
          </w:tcPr>
          <w:p>
            <w:pPr>
              <w:spacing w:after="0"/>
              <w:rPr>
                <w:sz w:val="20"/>
                <w:szCs w:val="20"/>
                <w:color w:val="auto"/>
              </w:rPr>
            </w:pPr>
          </w:p>
        </w:tc>
        <w:tc>
          <w:tcPr>
            <w:tcW w:w="160" w:type="dxa"/>
            <w:vAlign w:val="bottom"/>
            <w:tcBorders>
              <w:bottom w:val="single" w:sz="8" w:color="CFF0FC"/>
            </w:tcBorders>
            <w:shd w:val="clear" w:color="auto" w:fill="CFF0FC"/>
          </w:tcPr>
          <w:p>
            <w:pPr>
              <w:spacing w:after="0"/>
              <w:rPr>
                <w:sz w:val="20"/>
                <w:szCs w:val="20"/>
                <w:color w:val="auto"/>
              </w:rPr>
            </w:pPr>
          </w:p>
        </w:tc>
        <w:tc>
          <w:tcPr>
            <w:tcW w:w="700" w:type="dxa"/>
            <w:vAlign w:val="bottom"/>
            <w:tcBorders>
              <w:bottom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color w:val="auto"/>
              </w:rPr>
              <w:t>100.0</w:t>
            </w:r>
          </w:p>
        </w:tc>
        <w:tc>
          <w:tcPr>
            <w:tcW w:w="360" w:type="dxa"/>
            <w:vAlign w:val="bottom"/>
            <w:tcBorders>
              <w:bottom w:val="single" w:sz="8" w:color="CFF0FC"/>
            </w:tcBorders>
            <w:gridSpan w:val="3"/>
            <w:shd w:val="clear" w:color="auto" w:fill="CFF0FC"/>
          </w:tcPr>
          <w:p>
            <w:pPr>
              <w:jc w:val="center"/>
              <w:spacing w:after="0"/>
              <w:rPr>
                <w:sz w:val="20"/>
                <w:szCs w:val="20"/>
                <w:color w:val="auto"/>
              </w:rPr>
            </w:pPr>
            <w:r>
              <w:rPr>
                <w:rFonts w:ascii="Arial" w:cs="Arial" w:eastAsia="Arial" w:hAnsi="Arial"/>
                <w:sz w:val="18"/>
                <w:szCs w:val="18"/>
                <w:color w:val="auto"/>
                <w:w w:val="99"/>
              </w:rPr>
              <w:t>%</w:t>
            </w:r>
          </w:p>
        </w:tc>
        <w:tc>
          <w:tcPr>
            <w:tcW w:w="100" w:type="dxa"/>
            <w:vAlign w:val="bottom"/>
            <w:tcBorders>
              <w:bottom w:val="single" w:sz="8" w:color="auto"/>
            </w:tcBorders>
            <w:shd w:val="clear" w:color="auto" w:fill="CFF0FC"/>
          </w:tcPr>
          <w:p>
            <w:pPr>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auto"/>
            </w:tcBorders>
            <w:gridSpan w:val="2"/>
            <w:shd w:val="clear" w:color="auto" w:fill="CFF0FC"/>
          </w:tcPr>
          <w:p>
            <w:pPr>
              <w:ind w:left="240"/>
              <w:spacing w:after="0"/>
              <w:rPr>
                <w:sz w:val="20"/>
                <w:szCs w:val="20"/>
                <w:color w:val="auto"/>
              </w:rPr>
            </w:pPr>
            <w:r>
              <w:rPr>
                <w:rFonts w:ascii="Arial" w:cs="Arial" w:eastAsia="Arial" w:hAnsi="Arial"/>
                <w:sz w:val="18"/>
                <w:szCs w:val="18"/>
                <w:color w:val="auto"/>
                <w:w w:val="89"/>
              </w:rPr>
              <w:t>137,477</w:t>
            </w:r>
          </w:p>
        </w:tc>
        <w:tc>
          <w:tcPr>
            <w:tcW w:w="60" w:type="dxa"/>
            <w:vAlign w:val="bottom"/>
            <w:tcBorders>
              <w:bottom w:val="single" w:sz="8" w:color="CFF0FC"/>
            </w:tcBorders>
            <w:shd w:val="clear" w:color="auto" w:fill="CFF0FC"/>
          </w:tcPr>
          <w:p>
            <w:pPr>
              <w:spacing w:after="0"/>
              <w:rPr>
                <w:sz w:val="20"/>
                <w:szCs w:val="20"/>
                <w:color w:val="auto"/>
              </w:rPr>
            </w:pPr>
          </w:p>
        </w:tc>
        <w:tc>
          <w:tcPr>
            <w:tcW w:w="100" w:type="dxa"/>
            <w:vAlign w:val="bottom"/>
            <w:tcBorders>
              <w:bottom w:val="single" w:sz="8" w:color="CFF0FC"/>
            </w:tcBorders>
            <w:shd w:val="clear" w:color="auto" w:fill="CFF0FC"/>
          </w:tcPr>
          <w:p>
            <w:pPr>
              <w:spacing w:after="0"/>
              <w:rPr>
                <w:sz w:val="20"/>
                <w:szCs w:val="20"/>
                <w:color w:val="auto"/>
              </w:rPr>
            </w:pPr>
          </w:p>
        </w:tc>
        <w:tc>
          <w:tcPr>
            <w:tcW w:w="700" w:type="dxa"/>
            <w:vAlign w:val="bottom"/>
            <w:tcBorders>
              <w:bottom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color w:val="auto"/>
              </w:rPr>
              <w:t>100.0</w:t>
            </w:r>
          </w:p>
        </w:tc>
        <w:tc>
          <w:tcPr>
            <w:tcW w:w="340" w:type="dxa"/>
            <w:vAlign w:val="bottom"/>
            <w:tcBorders>
              <w:bottom w:val="single" w:sz="8" w:color="CFF0FC"/>
            </w:tcBorders>
            <w:shd w:val="clear" w:color="auto" w:fill="CFF0FC"/>
          </w:tcPr>
          <w:p>
            <w:pPr>
              <w:jc w:val="center"/>
              <w:spacing w:after="0"/>
              <w:rPr>
                <w:sz w:val="20"/>
                <w:szCs w:val="20"/>
                <w:color w:val="auto"/>
              </w:rPr>
            </w:pPr>
            <w:r>
              <w:rPr>
                <w:rFonts w:ascii="Arial" w:cs="Arial" w:eastAsia="Arial" w:hAnsi="Arial"/>
                <w:sz w:val="18"/>
                <w:szCs w:val="18"/>
                <w:color w:val="auto"/>
                <w:w w:val="99"/>
              </w:rPr>
              <w:t>%</w:t>
            </w:r>
          </w:p>
        </w:tc>
        <w:tc>
          <w:tcPr>
            <w:tcW w:w="20" w:type="dxa"/>
            <w:vAlign w:val="bottom"/>
            <w:tcBorders>
              <w:bottom w:val="single" w:sz="8" w:color="CFF0FC"/>
            </w:tcBorders>
            <w:shd w:val="clear" w:color="auto" w:fill="CFF0FC"/>
          </w:tcPr>
          <w:p>
            <w:pPr>
              <w:spacing w:after="0"/>
              <w:rPr>
                <w:sz w:val="20"/>
                <w:szCs w:val="20"/>
                <w:color w:val="auto"/>
              </w:rPr>
            </w:pPr>
          </w:p>
        </w:tc>
        <w:tc>
          <w:tcPr>
            <w:tcW w:w="140" w:type="dxa"/>
            <w:vAlign w:val="bottom"/>
            <w:tcBorders>
              <w:bottom w:val="single" w:sz="8" w:color="auto"/>
            </w:tcBorders>
            <w:shd w:val="clear" w:color="auto" w:fill="CFF0FC"/>
          </w:tcPr>
          <w:p>
            <w:pPr>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316,933</w:t>
            </w:r>
          </w:p>
        </w:tc>
        <w:tc>
          <w:tcPr>
            <w:tcW w:w="40" w:type="dxa"/>
            <w:vAlign w:val="bottom"/>
            <w:tcBorders>
              <w:bottom w:val="single" w:sz="8" w:color="CFF0FC"/>
            </w:tcBorders>
            <w:shd w:val="clear" w:color="auto" w:fill="CFF0FC"/>
          </w:tcPr>
          <w:p>
            <w:pPr>
              <w:spacing w:after="0"/>
              <w:rPr>
                <w:sz w:val="20"/>
                <w:szCs w:val="20"/>
                <w:color w:val="auto"/>
              </w:rPr>
            </w:pPr>
          </w:p>
        </w:tc>
        <w:tc>
          <w:tcPr>
            <w:tcW w:w="120" w:type="dxa"/>
            <w:vAlign w:val="bottom"/>
            <w:tcBorders>
              <w:bottom w:val="single" w:sz="8" w:color="CFF0FC"/>
            </w:tcBorders>
            <w:shd w:val="clear" w:color="auto" w:fill="CFF0FC"/>
          </w:tcPr>
          <w:p>
            <w:pPr>
              <w:spacing w:after="0"/>
              <w:rPr>
                <w:sz w:val="20"/>
                <w:szCs w:val="20"/>
                <w:color w:val="auto"/>
              </w:rPr>
            </w:pPr>
          </w:p>
        </w:tc>
        <w:tc>
          <w:tcPr>
            <w:tcW w:w="7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100.0</w:t>
            </w:r>
          </w:p>
        </w:tc>
        <w:tc>
          <w:tcPr>
            <w:tcW w:w="60" w:type="dxa"/>
            <w:vAlign w:val="bottom"/>
            <w:tcBorders>
              <w:bottom w:val="single" w:sz="8" w:color="CFF0FC"/>
            </w:tcBorders>
            <w:shd w:val="clear" w:color="auto" w:fill="CFF0FC"/>
          </w:tcPr>
          <w:p>
            <w:pPr>
              <w:spacing w:after="0"/>
              <w:rPr>
                <w:sz w:val="20"/>
                <w:szCs w:val="20"/>
                <w:color w:val="auto"/>
              </w:rPr>
            </w:pPr>
          </w:p>
        </w:tc>
        <w:tc>
          <w:tcPr>
            <w:tcW w:w="300" w:type="dxa"/>
            <w:vAlign w:val="bottom"/>
            <w:tcBorders>
              <w:bottom w:val="single" w:sz="8" w:color="CFF0FC"/>
            </w:tcBorders>
            <w:shd w:val="clear" w:color="auto" w:fill="CFF0FC"/>
          </w:tcPr>
          <w:p>
            <w:pPr>
              <w:jc w:val="center"/>
              <w:spacing w:after="0"/>
              <w:rPr>
                <w:sz w:val="20"/>
                <w:szCs w:val="20"/>
                <w:color w:val="auto"/>
              </w:rPr>
            </w:pPr>
            <w:r>
              <w:rPr>
                <w:rFonts w:ascii="Arial" w:cs="Arial" w:eastAsia="Arial" w:hAnsi="Arial"/>
                <w:sz w:val="18"/>
                <w:szCs w:val="18"/>
                <w:color w:val="auto"/>
                <w:w w:val="99"/>
              </w:rPr>
              <w:t>%</w:t>
            </w:r>
          </w:p>
        </w:tc>
        <w:tc>
          <w:tcPr>
            <w:tcW w:w="160" w:type="dxa"/>
            <w:vAlign w:val="bottom"/>
            <w:tcBorders>
              <w:bottom w:val="single" w:sz="8" w:color="auto"/>
            </w:tcBorders>
            <w:gridSpan w:val="2"/>
            <w:shd w:val="clear" w:color="auto" w:fill="CFF0FC"/>
          </w:tcPr>
          <w:p>
            <w:pPr>
              <w:spacing w:after="0"/>
              <w:rPr>
                <w:sz w:val="20"/>
                <w:szCs w:val="20"/>
                <w:color w:val="auto"/>
              </w:rPr>
            </w:pPr>
            <w:r>
              <w:rPr>
                <w:rFonts w:ascii="Arial" w:cs="Arial" w:eastAsia="Arial" w:hAnsi="Arial"/>
                <w:sz w:val="18"/>
                <w:szCs w:val="18"/>
                <w:color w:val="auto"/>
              </w:rPr>
              <w:t>$</w:t>
            </w:r>
          </w:p>
        </w:tc>
        <w:tc>
          <w:tcPr>
            <w:tcW w:w="7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265,371</w:t>
            </w:r>
          </w:p>
        </w:tc>
        <w:tc>
          <w:tcPr>
            <w:tcW w:w="140" w:type="dxa"/>
            <w:vAlign w:val="bottom"/>
            <w:tcBorders>
              <w:bottom w:val="single" w:sz="8" w:color="CFF0FC"/>
            </w:tcBorders>
            <w:shd w:val="clear" w:color="auto" w:fill="CFF0FC"/>
          </w:tcPr>
          <w:p>
            <w:pPr>
              <w:spacing w:after="0"/>
              <w:rPr>
                <w:sz w:val="20"/>
                <w:szCs w:val="20"/>
                <w:color w:val="auto"/>
              </w:rPr>
            </w:pPr>
          </w:p>
        </w:tc>
        <w:tc>
          <w:tcPr>
            <w:tcW w:w="20" w:type="dxa"/>
            <w:vAlign w:val="bottom"/>
            <w:tcBorders>
              <w:bottom w:val="single" w:sz="8" w:color="CFF0FC"/>
            </w:tcBorders>
            <w:shd w:val="clear" w:color="auto" w:fill="CFF0FC"/>
          </w:tcPr>
          <w:p>
            <w:pPr>
              <w:spacing w:after="0"/>
              <w:rPr>
                <w:sz w:val="20"/>
                <w:szCs w:val="20"/>
                <w:color w:val="auto"/>
              </w:rPr>
            </w:pPr>
          </w:p>
        </w:tc>
        <w:tc>
          <w:tcPr>
            <w:tcW w:w="7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100.0</w:t>
            </w:r>
          </w:p>
        </w:tc>
        <w:tc>
          <w:tcPr>
            <w:tcW w:w="40" w:type="dxa"/>
            <w:vAlign w:val="bottom"/>
            <w:tcBorders>
              <w:bottom w:val="single" w:sz="8" w:color="CFF0FC"/>
            </w:tcBorders>
            <w:shd w:val="clear" w:color="auto" w:fill="CFF0FC"/>
          </w:tcPr>
          <w:p>
            <w:pPr>
              <w:spacing w:after="0"/>
              <w:rPr>
                <w:sz w:val="20"/>
                <w:szCs w:val="20"/>
                <w:color w:val="auto"/>
              </w:rPr>
            </w:pPr>
          </w:p>
        </w:tc>
        <w:tc>
          <w:tcPr>
            <w:tcW w:w="24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2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2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Hospice</w:t>
            </w:r>
          </w:p>
        </w:tc>
        <w:tc>
          <w:tcPr>
            <w:tcW w:w="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5"/>
        </w:trPr>
        <w:tc>
          <w:tcPr>
            <w:tcW w:w="22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3020" w:type="dxa"/>
            <w:vAlign w:val="bottom"/>
            <w:tcBorders>
              <w:bottom w:val="single" w:sz="8" w:color="auto"/>
            </w:tcBorders>
            <w:gridSpan w:val="14"/>
          </w:tcPr>
          <w:p>
            <w:pPr>
              <w:ind w:left="520"/>
              <w:spacing w:after="0" w:line="155" w:lineRule="exact"/>
              <w:rPr>
                <w:sz w:val="20"/>
                <w:szCs w:val="20"/>
                <w:color w:val="auto"/>
              </w:rPr>
            </w:pPr>
            <w:r>
              <w:rPr>
                <w:rFonts w:ascii="Arial" w:cs="Arial" w:eastAsia="Arial" w:hAnsi="Arial"/>
                <w:sz w:val="14"/>
                <w:szCs w:val="14"/>
                <w:b w:val="1"/>
                <w:bCs w:val="1"/>
                <w:color w:val="auto"/>
                <w:w w:val="99"/>
              </w:rPr>
              <w:t>For the Three Months Ended June 30,</w:t>
            </w:r>
          </w:p>
        </w:tc>
        <w:tc>
          <w:tcPr>
            <w:tcW w:w="10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tcPr>
          <w:p>
            <w:pPr>
              <w:spacing w:after="0"/>
              <w:rPr>
                <w:sz w:val="13"/>
                <w:szCs w:val="13"/>
                <w:color w:val="auto"/>
              </w:rPr>
            </w:pPr>
          </w:p>
        </w:tc>
        <w:tc>
          <w:tcPr>
            <w:tcW w:w="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3100" w:type="dxa"/>
            <w:vAlign w:val="bottom"/>
            <w:tcBorders>
              <w:bottom w:val="single" w:sz="8" w:color="auto"/>
            </w:tcBorders>
            <w:gridSpan w:val="10"/>
          </w:tcPr>
          <w:p>
            <w:pPr>
              <w:jc w:val="center"/>
              <w:ind w:left="497"/>
              <w:spacing w:after="0" w:line="155" w:lineRule="exact"/>
              <w:rPr>
                <w:sz w:val="20"/>
                <w:szCs w:val="20"/>
                <w:color w:val="auto"/>
              </w:rPr>
            </w:pPr>
            <w:r>
              <w:rPr>
                <w:rFonts w:ascii="Arial" w:cs="Arial" w:eastAsia="Arial" w:hAnsi="Arial"/>
                <w:sz w:val="14"/>
                <w:szCs w:val="14"/>
                <w:b w:val="1"/>
                <w:bCs w:val="1"/>
                <w:color w:val="auto"/>
                <w:w w:val="92"/>
              </w:rPr>
              <w:t>For the Six Months Ended June 30,</w:t>
            </w:r>
          </w:p>
        </w:tc>
        <w:tc>
          <w:tcPr>
            <w:tcW w:w="2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spacing w:after="0"/>
              <w:rPr>
                <w:sz w:val="13"/>
                <w:szCs w:val="13"/>
                <w:color w:val="auto"/>
              </w:rPr>
            </w:pPr>
          </w:p>
        </w:tc>
        <w:tc>
          <w:tcPr>
            <w:tcW w:w="40" w:type="dxa"/>
            <w:vAlign w:val="bottom"/>
            <w:tcBorders>
              <w:bottom w:val="single" w:sz="8" w:color="auto"/>
            </w:tcBorders>
          </w:tcPr>
          <w:p>
            <w:pPr>
              <w:spacing w:after="0"/>
              <w:rPr>
                <w:sz w:val="13"/>
                <w:szCs w:val="13"/>
                <w:color w:val="auto"/>
              </w:rPr>
            </w:pPr>
          </w:p>
        </w:tc>
        <w:tc>
          <w:tcPr>
            <w:tcW w:w="2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22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gridSpan w:val="2"/>
          </w:tcPr>
          <w:p>
            <w:pPr>
              <w:jc w:val="right"/>
              <w:spacing w:after="0" w:line="155" w:lineRule="exact"/>
              <w:rPr>
                <w:sz w:val="20"/>
                <w:szCs w:val="20"/>
                <w:color w:val="auto"/>
              </w:rPr>
            </w:pPr>
            <w:r>
              <w:rPr>
                <w:rFonts w:ascii="Arial" w:cs="Arial" w:eastAsia="Arial" w:hAnsi="Arial"/>
                <w:sz w:val="14"/>
                <w:szCs w:val="14"/>
                <w:b w:val="1"/>
                <w:bCs w:val="1"/>
                <w:color w:val="auto"/>
              </w:rPr>
              <w:t>2020</w:t>
            </w:r>
          </w:p>
        </w:tc>
        <w:tc>
          <w:tcPr>
            <w:tcW w:w="2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580" w:type="dxa"/>
            <w:vAlign w:val="bottom"/>
            <w:tcBorders>
              <w:bottom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gridSpan w:val="3"/>
          </w:tcPr>
          <w:p>
            <w:pPr>
              <w:ind w:left="580"/>
              <w:spacing w:after="0"/>
              <w:rPr>
                <w:sz w:val="20"/>
                <w:szCs w:val="20"/>
                <w:color w:val="auto"/>
              </w:rPr>
            </w:pPr>
            <w:r>
              <w:rPr>
                <w:rFonts w:ascii="Arial" w:cs="Arial" w:eastAsia="Arial" w:hAnsi="Arial"/>
                <w:sz w:val="13"/>
                <w:szCs w:val="13"/>
                <w:b w:val="1"/>
                <w:bCs w:val="1"/>
                <w:color w:val="auto"/>
              </w:rPr>
              <w:t>2019</w:t>
            </w:r>
          </w:p>
        </w:tc>
        <w:tc>
          <w:tcPr>
            <w:tcW w:w="10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tcPr>
          <w:p>
            <w:pPr>
              <w:spacing w:after="0"/>
              <w:rPr>
                <w:sz w:val="13"/>
                <w:szCs w:val="13"/>
                <w:color w:val="auto"/>
              </w:rPr>
            </w:pPr>
          </w:p>
        </w:tc>
        <w:tc>
          <w:tcPr>
            <w:tcW w:w="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gridSpan w:val="3"/>
          </w:tcPr>
          <w:p>
            <w:pPr>
              <w:ind w:left="620"/>
              <w:spacing w:after="0" w:line="155" w:lineRule="exact"/>
              <w:rPr>
                <w:sz w:val="20"/>
                <w:szCs w:val="20"/>
                <w:color w:val="auto"/>
              </w:rPr>
            </w:pPr>
            <w:r>
              <w:rPr>
                <w:rFonts w:ascii="Arial" w:cs="Arial" w:eastAsia="Arial" w:hAnsi="Arial"/>
                <w:sz w:val="14"/>
                <w:szCs w:val="14"/>
                <w:b w:val="1"/>
                <w:bCs w:val="1"/>
                <w:color w:val="auto"/>
              </w:rPr>
              <w:t>2020</w:t>
            </w:r>
          </w:p>
        </w:tc>
        <w:tc>
          <w:tcPr>
            <w:tcW w:w="700" w:type="dxa"/>
            <w:vAlign w:val="bottom"/>
            <w:tcBorders>
              <w:bottom w:val="single" w:sz="8" w:color="auto"/>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3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3"/>
                <w:szCs w:val="13"/>
                <w:b w:val="1"/>
                <w:bCs w:val="1"/>
                <w:color w:val="auto"/>
              </w:rPr>
              <w:t>2019</w:t>
            </w:r>
          </w:p>
        </w:tc>
        <w:tc>
          <w:tcPr>
            <w:tcW w:w="2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spacing w:after="0"/>
              <w:rPr>
                <w:sz w:val="13"/>
                <w:szCs w:val="13"/>
                <w:color w:val="auto"/>
              </w:rPr>
            </w:pPr>
          </w:p>
        </w:tc>
        <w:tc>
          <w:tcPr>
            <w:tcW w:w="40" w:type="dxa"/>
            <w:vAlign w:val="bottom"/>
            <w:tcBorders>
              <w:bottom w:val="single" w:sz="8" w:color="auto"/>
            </w:tcBorders>
          </w:tcPr>
          <w:p>
            <w:pPr>
              <w:spacing w:after="0"/>
              <w:rPr>
                <w:sz w:val="13"/>
                <w:szCs w:val="13"/>
                <w:color w:val="auto"/>
              </w:rPr>
            </w:pPr>
          </w:p>
        </w:tc>
        <w:tc>
          <w:tcPr>
            <w:tcW w:w="2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3"/>
        </w:trPr>
        <w:tc>
          <w:tcPr>
            <w:tcW w:w="22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00" w:type="dxa"/>
            <w:vAlign w:val="bottom"/>
            <w:gridSpan w:val="2"/>
          </w:tcPr>
          <w:p>
            <w:pPr>
              <w:jc w:val="center"/>
              <w:ind w:right="230"/>
              <w:spacing w:after="0" w:line="133" w:lineRule="exact"/>
              <w:rPr>
                <w:sz w:val="20"/>
                <w:szCs w:val="20"/>
                <w:color w:val="auto"/>
              </w:rPr>
            </w:pPr>
            <w:r>
              <w:rPr>
                <w:rFonts w:ascii="Arial" w:cs="Arial" w:eastAsia="Arial" w:hAnsi="Arial"/>
                <w:sz w:val="13"/>
                <w:szCs w:val="13"/>
                <w:b w:val="1"/>
                <w:bCs w:val="1"/>
                <w:color w:val="auto"/>
              </w:rPr>
              <w:t>% of</w:t>
            </w:r>
          </w:p>
        </w:tc>
        <w:tc>
          <w:tcPr>
            <w:tcW w:w="1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gridSpan w:val="2"/>
          </w:tcPr>
          <w:p>
            <w:pPr>
              <w:jc w:val="center"/>
              <w:ind w:right="50"/>
              <w:spacing w:after="0" w:line="133" w:lineRule="exact"/>
              <w:rPr>
                <w:sz w:val="20"/>
                <w:szCs w:val="20"/>
                <w:color w:val="auto"/>
              </w:rPr>
            </w:pPr>
            <w:r>
              <w:rPr>
                <w:rFonts w:ascii="Arial" w:cs="Arial" w:eastAsia="Arial" w:hAnsi="Arial"/>
                <w:sz w:val="13"/>
                <w:szCs w:val="13"/>
                <w:b w:val="1"/>
                <w:bCs w:val="1"/>
                <w:color w:val="auto"/>
              </w:rPr>
              <w:t>% of</w:t>
            </w:r>
          </w:p>
        </w:tc>
        <w:tc>
          <w:tcPr>
            <w:tcW w:w="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60" w:type="dxa"/>
            <w:vAlign w:val="bottom"/>
            <w:gridSpan w:val="2"/>
          </w:tcPr>
          <w:p>
            <w:pPr>
              <w:jc w:val="center"/>
              <w:ind w:right="20"/>
              <w:spacing w:after="0" w:line="133" w:lineRule="exact"/>
              <w:rPr>
                <w:sz w:val="20"/>
                <w:szCs w:val="20"/>
                <w:color w:val="auto"/>
              </w:rPr>
            </w:pPr>
            <w:r>
              <w:rPr>
                <w:rFonts w:ascii="Arial" w:cs="Arial" w:eastAsia="Arial" w:hAnsi="Arial"/>
                <w:sz w:val="14"/>
                <w:szCs w:val="14"/>
                <w:b w:val="1"/>
                <w:bCs w:val="1"/>
                <w:color w:val="auto"/>
              </w:rPr>
              <w:t>% of</w:t>
            </w:r>
          </w:p>
        </w:tc>
        <w:tc>
          <w:tcPr>
            <w:tcW w:w="3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40" w:type="dxa"/>
            <w:vAlign w:val="bottom"/>
            <w:gridSpan w:val="2"/>
          </w:tcPr>
          <w:p>
            <w:pPr>
              <w:jc w:val="center"/>
              <w:ind w:right="20"/>
              <w:spacing w:after="0" w:line="133" w:lineRule="exact"/>
              <w:rPr>
                <w:sz w:val="20"/>
                <w:szCs w:val="20"/>
                <w:color w:val="auto"/>
              </w:rPr>
            </w:pPr>
            <w:r>
              <w:rPr>
                <w:rFonts w:ascii="Arial" w:cs="Arial" w:eastAsia="Arial" w:hAnsi="Arial"/>
                <w:sz w:val="13"/>
                <w:szCs w:val="13"/>
                <w:b w:val="1"/>
                <w:bCs w:val="1"/>
                <w:color w:val="auto"/>
              </w:rPr>
              <w:t>% of</w:t>
            </w:r>
          </w:p>
        </w:tc>
        <w:tc>
          <w:tcPr>
            <w:tcW w:w="2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2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0" w:type="dxa"/>
            <w:vAlign w:val="bottom"/>
            <w:gridSpan w:val="5"/>
            <w:vMerge w:val="restart"/>
          </w:tcPr>
          <w:p>
            <w:pPr>
              <w:jc w:val="right"/>
              <w:ind w:right="440"/>
              <w:spacing w:after="0"/>
              <w:rPr>
                <w:sz w:val="20"/>
                <w:szCs w:val="20"/>
                <w:color w:val="auto"/>
              </w:rPr>
            </w:pPr>
            <w:r>
              <w:rPr>
                <w:rFonts w:ascii="Arial" w:cs="Arial" w:eastAsia="Arial" w:hAnsi="Arial"/>
                <w:sz w:val="14"/>
                <w:szCs w:val="14"/>
                <w:b w:val="1"/>
                <w:bCs w:val="1"/>
                <w:color w:val="auto"/>
              </w:rPr>
              <w:t>Amount</w:t>
            </w:r>
          </w:p>
        </w:tc>
        <w:tc>
          <w:tcPr>
            <w:tcW w:w="880" w:type="dxa"/>
            <w:vAlign w:val="bottom"/>
            <w:gridSpan w:val="4"/>
          </w:tcPr>
          <w:p>
            <w:pPr>
              <w:jc w:val="center"/>
              <w:ind w:right="50"/>
              <w:spacing w:after="0"/>
              <w:rPr>
                <w:sz w:val="20"/>
                <w:szCs w:val="20"/>
                <w:color w:val="auto"/>
              </w:rPr>
            </w:pPr>
            <w:r>
              <w:rPr>
                <w:rFonts w:ascii="Arial" w:cs="Arial" w:eastAsia="Arial" w:hAnsi="Arial"/>
                <w:sz w:val="13"/>
                <w:szCs w:val="13"/>
                <w:b w:val="1"/>
                <w:bCs w:val="1"/>
                <w:color w:val="auto"/>
                <w:w w:val="93"/>
              </w:rPr>
              <w:t>Segment Net</w:t>
            </w:r>
          </w:p>
        </w:tc>
        <w:tc>
          <w:tcPr>
            <w:tcW w:w="1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0" w:type="dxa"/>
            <w:vAlign w:val="bottom"/>
            <w:gridSpan w:val="3"/>
          </w:tcPr>
          <w:p>
            <w:pPr>
              <w:jc w:val="center"/>
              <w:spacing w:after="0"/>
              <w:rPr>
                <w:sz w:val="20"/>
                <w:szCs w:val="20"/>
                <w:color w:val="auto"/>
              </w:rPr>
            </w:pPr>
            <w:r>
              <w:rPr>
                <w:rFonts w:ascii="Arial" w:cs="Arial" w:eastAsia="Arial" w:hAnsi="Arial"/>
                <w:sz w:val="13"/>
                <w:szCs w:val="13"/>
                <w:b w:val="1"/>
                <w:bCs w:val="1"/>
                <w:color w:val="auto"/>
                <w:w w:val="93"/>
              </w:rPr>
              <w:t>Segment Net</w:t>
            </w:r>
          </w:p>
        </w:tc>
        <w:tc>
          <w:tcPr>
            <w:tcW w:w="3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60" w:type="dxa"/>
            <w:vAlign w:val="bottom"/>
            <w:gridSpan w:val="3"/>
            <w:vMerge w:val="restart"/>
          </w:tcPr>
          <w:p>
            <w:pPr>
              <w:ind w:left="80"/>
              <w:spacing w:after="0"/>
              <w:rPr>
                <w:sz w:val="20"/>
                <w:szCs w:val="20"/>
                <w:color w:val="auto"/>
              </w:rPr>
            </w:pPr>
            <w:r>
              <w:rPr>
                <w:rFonts w:ascii="Arial" w:cs="Arial" w:eastAsia="Arial" w:hAnsi="Arial"/>
                <w:sz w:val="14"/>
                <w:szCs w:val="14"/>
                <w:b w:val="1"/>
                <w:bCs w:val="1"/>
                <w:color w:val="auto"/>
              </w:rPr>
              <w:t>Amount</w:t>
            </w:r>
          </w:p>
        </w:tc>
        <w:tc>
          <w:tcPr>
            <w:tcW w:w="76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7"/>
              </w:rPr>
              <w:t>Segment</w:t>
            </w:r>
          </w:p>
        </w:tc>
        <w:tc>
          <w:tcPr>
            <w:tcW w:w="3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gridSpan w:val="3"/>
          </w:tcPr>
          <w:p>
            <w:pPr>
              <w:jc w:val="center"/>
              <w:ind w:right="20"/>
              <w:spacing w:after="0"/>
              <w:rPr>
                <w:sz w:val="20"/>
                <w:szCs w:val="20"/>
                <w:color w:val="auto"/>
              </w:rPr>
            </w:pPr>
            <w:r>
              <w:rPr>
                <w:rFonts w:ascii="Arial" w:cs="Arial" w:eastAsia="Arial" w:hAnsi="Arial"/>
                <w:sz w:val="13"/>
                <w:szCs w:val="13"/>
                <w:b w:val="1"/>
                <w:bCs w:val="1"/>
                <w:color w:val="auto"/>
                <w:w w:val="93"/>
              </w:rPr>
              <w:t>Segment Net</w:t>
            </w:r>
          </w:p>
        </w:tc>
        <w:tc>
          <w:tcPr>
            <w:tcW w:w="2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0" w:type="dxa"/>
            <w:vAlign w:val="bottom"/>
            <w:gridSpan w:val="5"/>
            <w:vMerge w:val="continue"/>
          </w:tcPr>
          <w:p>
            <w:pPr>
              <w:spacing w:after="0"/>
              <w:rPr>
                <w:sz w:val="12"/>
                <w:szCs w:val="12"/>
                <w:color w:val="auto"/>
              </w:rPr>
            </w:pPr>
          </w:p>
        </w:tc>
        <w:tc>
          <w:tcPr>
            <w:tcW w:w="20" w:type="dxa"/>
            <w:vAlign w:val="bottom"/>
          </w:tcPr>
          <w:p>
            <w:pPr>
              <w:spacing w:after="0"/>
              <w:rPr>
                <w:sz w:val="12"/>
                <w:szCs w:val="12"/>
                <w:color w:val="auto"/>
              </w:rPr>
            </w:pPr>
          </w:p>
        </w:tc>
        <w:tc>
          <w:tcPr>
            <w:tcW w:w="860" w:type="dxa"/>
            <w:vAlign w:val="bottom"/>
            <w:gridSpan w:val="3"/>
          </w:tcPr>
          <w:p>
            <w:pPr>
              <w:jc w:val="center"/>
              <w:ind w:right="70"/>
              <w:spacing w:after="0"/>
              <w:rPr>
                <w:sz w:val="20"/>
                <w:szCs w:val="20"/>
                <w:color w:val="auto"/>
              </w:rPr>
            </w:pPr>
            <w:r>
              <w:rPr>
                <w:rFonts w:ascii="Arial" w:cs="Arial" w:eastAsia="Arial" w:hAnsi="Arial"/>
                <w:sz w:val="13"/>
                <w:szCs w:val="13"/>
                <w:b w:val="1"/>
                <w:bCs w:val="1"/>
                <w:color w:val="auto"/>
                <w:w w:val="90"/>
              </w:rPr>
              <w:t>Service</w:t>
            </w:r>
          </w:p>
        </w:tc>
        <w:tc>
          <w:tcPr>
            <w:tcW w:w="1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gridSpan w:val="3"/>
          </w:tcPr>
          <w:p>
            <w:pPr>
              <w:ind w:left="20"/>
              <w:spacing w:after="0"/>
              <w:rPr>
                <w:sz w:val="20"/>
                <w:szCs w:val="20"/>
                <w:color w:val="auto"/>
              </w:rPr>
            </w:pPr>
            <w:r>
              <w:rPr>
                <w:rFonts w:ascii="Arial" w:cs="Arial" w:eastAsia="Arial" w:hAnsi="Arial"/>
                <w:sz w:val="13"/>
                <w:szCs w:val="13"/>
                <w:b w:val="1"/>
                <w:bCs w:val="1"/>
                <w:color w:val="auto"/>
              </w:rPr>
              <w:t>Amount</w:t>
            </w:r>
          </w:p>
        </w:tc>
        <w:tc>
          <w:tcPr>
            <w:tcW w:w="100" w:type="dxa"/>
            <w:vAlign w:val="bottom"/>
          </w:tcPr>
          <w:p>
            <w:pPr>
              <w:spacing w:after="0"/>
              <w:rPr>
                <w:sz w:val="12"/>
                <w:szCs w:val="12"/>
                <w:color w:val="auto"/>
              </w:rPr>
            </w:pPr>
          </w:p>
        </w:tc>
        <w:tc>
          <w:tcPr>
            <w:tcW w:w="700" w:type="dxa"/>
            <w:vAlign w:val="bottom"/>
            <w:gridSpan w:val="2"/>
          </w:tcPr>
          <w:p>
            <w:pPr>
              <w:jc w:val="center"/>
              <w:ind w:right="30"/>
              <w:spacing w:after="0"/>
              <w:rPr>
                <w:sz w:val="20"/>
                <w:szCs w:val="20"/>
                <w:color w:val="auto"/>
              </w:rPr>
            </w:pPr>
            <w:r>
              <w:rPr>
                <w:rFonts w:ascii="Arial" w:cs="Arial" w:eastAsia="Arial" w:hAnsi="Arial"/>
                <w:sz w:val="13"/>
                <w:szCs w:val="13"/>
                <w:b w:val="1"/>
                <w:bCs w:val="1"/>
                <w:color w:val="auto"/>
                <w:w w:val="90"/>
              </w:rPr>
              <w:t>Service</w:t>
            </w:r>
          </w:p>
        </w:tc>
        <w:tc>
          <w:tcPr>
            <w:tcW w:w="3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60" w:type="dxa"/>
            <w:vAlign w:val="bottom"/>
            <w:gridSpan w:val="3"/>
            <w:vMerge w:val="continue"/>
          </w:tcPr>
          <w:p>
            <w:pPr>
              <w:spacing w:after="0"/>
              <w:rPr>
                <w:sz w:val="12"/>
                <w:szCs w:val="12"/>
                <w:color w:val="auto"/>
              </w:rPr>
            </w:pPr>
          </w:p>
        </w:tc>
        <w:tc>
          <w:tcPr>
            <w:tcW w:w="760" w:type="dxa"/>
            <w:vAlign w:val="bottom"/>
            <w:gridSpan w:val="2"/>
          </w:tcPr>
          <w:p>
            <w:pPr>
              <w:jc w:val="center"/>
              <w:ind w:right="20"/>
              <w:spacing w:after="0" w:line="149" w:lineRule="exact"/>
              <w:rPr>
                <w:sz w:val="20"/>
                <w:szCs w:val="20"/>
                <w:color w:val="auto"/>
              </w:rPr>
            </w:pPr>
            <w:r>
              <w:rPr>
                <w:rFonts w:ascii="Arial" w:cs="Arial" w:eastAsia="Arial" w:hAnsi="Arial"/>
                <w:sz w:val="14"/>
                <w:szCs w:val="14"/>
                <w:b w:val="1"/>
                <w:bCs w:val="1"/>
                <w:color w:val="auto"/>
                <w:w w:val="91"/>
              </w:rPr>
              <w:t>Net Service</w:t>
            </w:r>
          </w:p>
        </w:tc>
        <w:tc>
          <w:tcPr>
            <w:tcW w:w="3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20" w:type="dxa"/>
            <w:vAlign w:val="bottom"/>
            <w:gridSpan w:val="2"/>
          </w:tcPr>
          <w:p>
            <w:pPr>
              <w:jc w:val="center"/>
              <w:ind w:right="300"/>
              <w:spacing w:after="0"/>
              <w:rPr>
                <w:sz w:val="20"/>
                <w:szCs w:val="20"/>
                <w:color w:val="auto"/>
              </w:rPr>
            </w:pPr>
            <w:r>
              <w:rPr>
                <w:rFonts w:ascii="Arial" w:cs="Arial" w:eastAsia="Arial" w:hAnsi="Arial"/>
                <w:sz w:val="13"/>
                <w:szCs w:val="13"/>
                <w:b w:val="1"/>
                <w:bCs w:val="1"/>
                <w:color w:val="auto"/>
                <w:w w:val="93"/>
              </w:rPr>
              <w:t>Amount</w:t>
            </w:r>
          </w:p>
        </w:tc>
        <w:tc>
          <w:tcPr>
            <w:tcW w:w="20" w:type="dxa"/>
            <w:vAlign w:val="bottom"/>
          </w:tcPr>
          <w:p>
            <w:pPr>
              <w:spacing w:after="0"/>
              <w:rPr>
                <w:sz w:val="12"/>
                <w:szCs w:val="12"/>
                <w:color w:val="auto"/>
              </w:rPr>
            </w:pPr>
          </w:p>
        </w:tc>
        <w:tc>
          <w:tcPr>
            <w:tcW w:w="740" w:type="dxa"/>
            <w:vAlign w:val="bottom"/>
            <w:gridSpan w:val="2"/>
          </w:tcPr>
          <w:p>
            <w:pPr>
              <w:jc w:val="center"/>
              <w:ind w:right="40"/>
              <w:spacing w:after="0"/>
              <w:rPr>
                <w:sz w:val="20"/>
                <w:szCs w:val="20"/>
                <w:color w:val="auto"/>
              </w:rPr>
            </w:pPr>
            <w:r>
              <w:rPr>
                <w:rFonts w:ascii="Arial" w:cs="Arial" w:eastAsia="Arial" w:hAnsi="Arial"/>
                <w:sz w:val="13"/>
                <w:szCs w:val="13"/>
                <w:b w:val="1"/>
                <w:bCs w:val="1"/>
                <w:color w:val="auto"/>
                <w:w w:val="90"/>
              </w:rPr>
              <w:t>Service</w:t>
            </w:r>
          </w:p>
        </w:tc>
        <w:tc>
          <w:tcPr>
            <w:tcW w:w="2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0" w:type="dxa"/>
            <w:vAlign w:val="bottom"/>
            <w:gridSpan w:val="5"/>
          </w:tcPr>
          <w:p>
            <w:pPr>
              <w:jc w:val="right"/>
              <w:ind w:right="240"/>
              <w:spacing w:after="0"/>
              <w:rPr>
                <w:sz w:val="20"/>
                <w:szCs w:val="20"/>
                <w:color w:val="auto"/>
              </w:rPr>
            </w:pPr>
            <w:r>
              <w:rPr>
                <w:rFonts w:ascii="Arial" w:cs="Arial" w:eastAsia="Arial" w:hAnsi="Arial"/>
                <w:sz w:val="14"/>
                <w:szCs w:val="14"/>
                <w:b w:val="1"/>
                <w:bCs w:val="1"/>
                <w:color w:val="auto"/>
                <w:w w:val="93"/>
              </w:rPr>
              <w:t>(in Thousands)</w:t>
            </w:r>
          </w:p>
        </w:tc>
        <w:tc>
          <w:tcPr>
            <w:tcW w:w="20" w:type="dxa"/>
            <w:vAlign w:val="bottom"/>
          </w:tcPr>
          <w:p>
            <w:pPr>
              <w:spacing w:after="0"/>
              <w:rPr>
                <w:sz w:val="14"/>
                <w:szCs w:val="14"/>
                <w:color w:val="auto"/>
              </w:rPr>
            </w:pPr>
          </w:p>
        </w:tc>
        <w:tc>
          <w:tcPr>
            <w:tcW w:w="860" w:type="dxa"/>
            <w:vAlign w:val="bottom"/>
            <w:gridSpan w:val="3"/>
          </w:tcPr>
          <w:p>
            <w:pPr>
              <w:jc w:val="center"/>
              <w:ind w:right="70"/>
              <w:spacing w:after="0"/>
              <w:rPr>
                <w:sz w:val="20"/>
                <w:szCs w:val="20"/>
                <w:color w:val="auto"/>
              </w:rPr>
            </w:pPr>
            <w:r>
              <w:rPr>
                <w:rFonts w:ascii="Arial" w:cs="Arial" w:eastAsia="Arial" w:hAnsi="Arial"/>
                <w:sz w:val="13"/>
                <w:szCs w:val="13"/>
                <w:b w:val="1"/>
                <w:bCs w:val="1"/>
                <w:color w:val="auto"/>
                <w:w w:val="87"/>
              </w:rPr>
              <w:t>Revenues</w:t>
            </w:r>
          </w:p>
        </w:tc>
        <w:tc>
          <w:tcPr>
            <w:tcW w:w="1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120" w:type="dxa"/>
            <w:vAlign w:val="bottom"/>
            <w:gridSpan w:val="5"/>
          </w:tcPr>
          <w:p>
            <w:pPr>
              <w:ind w:left="40"/>
              <w:spacing w:after="0"/>
              <w:rPr>
                <w:sz w:val="20"/>
                <w:szCs w:val="20"/>
                <w:color w:val="auto"/>
              </w:rPr>
            </w:pPr>
            <w:r>
              <w:rPr>
                <w:rFonts w:ascii="Arial" w:cs="Arial" w:eastAsia="Arial" w:hAnsi="Arial"/>
                <w:sz w:val="13"/>
                <w:szCs w:val="13"/>
                <w:b w:val="1"/>
                <w:bCs w:val="1"/>
                <w:color w:val="auto"/>
              </w:rPr>
              <w:t>(in Thousands)</w:t>
            </w:r>
          </w:p>
        </w:tc>
        <w:tc>
          <w:tcPr>
            <w:tcW w:w="100" w:type="dxa"/>
            <w:vAlign w:val="bottom"/>
          </w:tcPr>
          <w:p>
            <w:pPr>
              <w:spacing w:after="0"/>
              <w:rPr>
                <w:sz w:val="14"/>
                <w:szCs w:val="14"/>
                <w:color w:val="auto"/>
              </w:rPr>
            </w:pPr>
          </w:p>
        </w:tc>
        <w:tc>
          <w:tcPr>
            <w:tcW w:w="700" w:type="dxa"/>
            <w:vAlign w:val="bottom"/>
            <w:gridSpan w:val="2"/>
          </w:tcPr>
          <w:p>
            <w:pPr>
              <w:jc w:val="center"/>
              <w:ind w:right="30"/>
              <w:spacing w:after="0"/>
              <w:rPr>
                <w:sz w:val="20"/>
                <w:szCs w:val="20"/>
                <w:color w:val="auto"/>
              </w:rPr>
            </w:pPr>
            <w:r>
              <w:rPr>
                <w:rFonts w:ascii="Arial" w:cs="Arial" w:eastAsia="Arial" w:hAnsi="Arial"/>
                <w:sz w:val="13"/>
                <w:szCs w:val="13"/>
                <w:b w:val="1"/>
                <w:bCs w:val="1"/>
                <w:color w:val="auto"/>
                <w:w w:val="87"/>
              </w:rPr>
              <w:t>Revenues</w:t>
            </w:r>
          </w:p>
        </w:tc>
        <w:tc>
          <w:tcPr>
            <w:tcW w:w="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100" w:type="dxa"/>
            <w:vAlign w:val="bottom"/>
            <w:gridSpan w:val="4"/>
          </w:tcPr>
          <w:p>
            <w:pPr>
              <w:spacing w:after="0"/>
              <w:rPr>
                <w:sz w:val="20"/>
                <w:szCs w:val="20"/>
                <w:color w:val="auto"/>
              </w:rPr>
            </w:pPr>
            <w:r>
              <w:rPr>
                <w:rFonts w:ascii="Arial" w:cs="Arial" w:eastAsia="Arial" w:hAnsi="Arial"/>
                <w:sz w:val="14"/>
                <w:szCs w:val="14"/>
                <w:b w:val="1"/>
                <w:bCs w:val="1"/>
                <w:color w:val="auto"/>
              </w:rPr>
              <w:t>(in Thousands)</w:t>
            </w:r>
          </w:p>
        </w:tc>
        <w:tc>
          <w:tcPr>
            <w:tcW w:w="760" w:type="dxa"/>
            <w:vAlign w:val="bottom"/>
            <w:gridSpan w:val="2"/>
          </w:tcPr>
          <w:p>
            <w:pPr>
              <w:jc w:val="center"/>
              <w:spacing w:after="0"/>
              <w:rPr>
                <w:sz w:val="20"/>
                <w:szCs w:val="20"/>
                <w:color w:val="auto"/>
              </w:rPr>
            </w:pPr>
            <w:r>
              <w:rPr>
                <w:rFonts w:ascii="Arial" w:cs="Arial" w:eastAsia="Arial" w:hAnsi="Arial"/>
                <w:sz w:val="14"/>
                <w:szCs w:val="14"/>
                <w:b w:val="1"/>
                <w:bCs w:val="1"/>
                <w:color w:val="auto"/>
                <w:w w:val="90"/>
              </w:rPr>
              <w:t>Revenues</w:t>
            </w:r>
          </w:p>
        </w:tc>
        <w:tc>
          <w:tcPr>
            <w:tcW w:w="3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60" w:type="dxa"/>
            <w:vAlign w:val="bottom"/>
            <w:gridSpan w:val="3"/>
          </w:tcPr>
          <w:p>
            <w:pPr>
              <w:jc w:val="center"/>
              <w:ind w:right="160"/>
              <w:spacing w:after="0"/>
              <w:rPr>
                <w:sz w:val="20"/>
                <w:szCs w:val="20"/>
                <w:color w:val="auto"/>
              </w:rPr>
            </w:pPr>
            <w:r>
              <w:rPr>
                <w:rFonts w:ascii="Arial" w:cs="Arial" w:eastAsia="Arial" w:hAnsi="Arial"/>
                <w:sz w:val="13"/>
                <w:szCs w:val="13"/>
                <w:b w:val="1"/>
                <w:bCs w:val="1"/>
                <w:color w:val="auto"/>
                <w:w w:val="92"/>
              </w:rPr>
              <w:t>(in Thousands)</w:t>
            </w:r>
          </w:p>
        </w:tc>
        <w:tc>
          <w:tcPr>
            <w:tcW w:w="20" w:type="dxa"/>
            <w:vAlign w:val="bottom"/>
          </w:tcPr>
          <w:p>
            <w:pPr>
              <w:spacing w:after="0"/>
              <w:rPr>
                <w:sz w:val="14"/>
                <w:szCs w:val="14"/>
                <w:color w:val="auto"/>
              </w:rPr>
            </w:pPr>
          </w:p>
        </w:tc>
        <w:tc>
          <w:tcPr>
            <w:tcW w:w="740" w:type="dxa"/>
            <w:vAlign w:val="bottom"/>
            <w:gridSpan w:val="2"/>
          </w:tcPr>
          <w:p>
            <w:pPr>
              <w:jc w:val="center"/>
              <w:ind w:right="40"/>
              <w:spacing w:after="0"/>
              <w:rPr>
                <w:sz w:val="20"/>
                <w:szCs w:val="20"/>
                <w:color w:val="auto"/>
              </w:rPr>
            </w:pPr>
            <w:r>
              <w:rPr>
                <w:rFonts w:ascii="Arial" w:cs="Arial" w:eastAsia="Arial" w:hAnsi="Arial"/>
                <w:sz w:val="13"/>
                <w:szCs w:val="13"/>
                <w:b w:val="1"/>
                <w:bCs w:val="1"/>
                <w:color w:val="auto"/>
                <w:w w:val="87"/>
              </w:rPr>
              <w:t>Revenues</w:t>
            </w:r>
          </w:p>
        </w:tc>
        <w:tc>
          <w:tcPr>
            <w:tcW w:w="2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22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New Mexico</w:t>
            </w:r>
          </w:p>
        </w:tc>
        <w:tc>
          <w:tcPr>
            <w:tcW w:w="200" w:type="dxa"/>
            <w:vAlign w:val="bottom"/>
            <w:tcBorders>
              <w:top w:val="single" w:sz="8" w:color="CFF0FC"/>
            </w:tcBorders>
            <w:shd w:val="clear" w:color="auto" w:fill="CFF0FC"/>
          </w:tcPr>
          <w:p>
            <w:pPr>
              <w:spacing w:after="0"/>
              <w:rPr>
                <w:sz w:val="19"/>
                <w:szCs w:val="19"/>
                <w:color w:val="auto"/>
              </w:rPr>
            </w:pPr>
          </w:p>
        </w:tc>
        <w:tc>
          <w:tcPr>
            <w:tcW w:w="280" w:type="dxa"/>
            <w:vAlign w:val="bottom"/>
            <w:tcBorders>
              <w:top w:val="single" w:sz="8" w:color="auto"/>
            </w:tcBorders>
            <w:shd w:val="clear" w:color="auto" w:fill="CFF0FC"/>
          </w:tcPr>
          <w:p>
            <w:pPr>
              <w:jc w:val="right"/>
              <w:ind w:right="128"/>
              <w:spacing w:after="0"/>
              <w:rPr>
                <w:sz w:val="20"/>
                <w:szCs w:val="20"/>
                <w:color w:val="auto"/>
              </w:rPr>
            </w:pPr>
            <w:r>
              <w:rPr>
                <w:rFonts w:ascii="Arial" w:cs="Arial" w:eastAsia="Arial" w:hAnsi="Arial"/>
                <w:sz w:val="15"/>
                <w:szCs w:val="15"/>
                <w:color w:val="auto"/>
                <w:w w:val="71"/>
              </w:rPr>
              <w:t>$</w:t>
            </w:r>
          </w:p>
        </w:tc>
        <w:tc>
          <w:tcPr>
            <w:tcW w:w="140" w:type="dxa"/>
            <w:vAlign w:val="bottom"/>
            <w:tcBorders>
              <w:top w:val="single" w:sz="8" w:color="auto"/>
            </w:tcBorders>
            <w:shd w:val="clear" w:color="auto" w:fill="CFF0FC"/>
          </w:tcPr>
          <w:p>
            <w:pPr>
              <w:spacing w:after="0"/>
              <w:rPr>
                <w:sz w:val="19"/>
                <w:szCs w:val="19"/>
                <w:color w:val="auto"/>
              </w:rPr>
            </w:pPr>
          </w:p>
        </w:tc>
        <w:tc>
          <w:tcPr>
            <w:tcW w:w="6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11,443</w:t>
            </w:r>
          </w:p>
        </w:tc>
        <w:tc>
          <w:tcPr>
            <w:tcW w:w="16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auto"/>
            </w:tcBorders>
            <w:shd w:val="clear" w:color="auto" w:fill="CFF0FC"/>
          </w:tcPr>
          <w:p>
            <w:pPr>
              <w:spacing w:after="0"/>
              <w:rPr>
                <w:sz w:val="19"/>
                <w:szCs w:val="19"/>
                <w:color w:val="auto"/>
              </w:rPr>
            </w:pPr>
          </w:p>
        </w:tc>
        <w:tc>
          <w:tcPr>
            <w:tcW w:w="760" w:type="dxa"/>
            <w:vAlign w:val="bottom"/>
            <w:tcBorders>
              <w:top w:val="single" w:sz="8" w:color="auto"/>
            </w:tcBorders>
            <w:gridSpan w:val="3"/>
            <w:shd w:val="clear" w:color="auto" w:fill="CFF0FC"/>
          </w:tcPr>
          <w:p>
            <w:pPr>
              <w:jc w:val="right"/>
              <w:spacing w:after="0"/>
              <w:rPr>
                <w:sz w:val="20"/>
                <w:szCs w:val="20"/>
                <w:color w:val="auto"/>
              </w:rPr>
            </w:pPr>
            <w:r>
              <w:rPr>
                <w:rFonts w:ascii="Arial" w:cs="Arial" w:eastAsia="Arial" w:hAnsi="Arial"/>
                <w:sz w:val="18"/>
                <w:szCs w:val="18"/>
                <w:color w:val="auto"/>
              </w:rPr>
              <w:t>46.7</w:t>
            </w:r>
          </w:p>
        </w:tc>
        <w:tc>
          <w:tcPr>
            <w:tcW w:w="300" w:type="dxa"/>
            <w:vAlign w:val="bottom"/>
            <w:tcBorders>
              <w:top w:val="single" w:sz="8" w:color="CFF0FC"/>
            </w:tcBorders>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6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00" w:type="dxa"/>
            <w:vAlign w:val="bottom"/>
            <w:tcBorders>
              <w:top w:val="single" w:sz="8" w:color="auto"/>
            </w:tcBorders>
            <w:shd w:val="clear" w:color="auto" w:fill="CFF0FC"/>
          </w:tcPr>
          <w:p>
            <w:pPr>
              <w:spacing w:after="0"/>
              <w:rPr>
                <w:sz w:val="19"/>
                <w:szCs w:val="19"/>
                <w:color w:val="auto"/>
              </w:rPr>
            </w:pPr>
          </w:p>
        </w:tc>
        <w:tc>
          <w:tcPr>
            <w:tcW w:w="740" w:type="dxa"/>
            <w:vAlign w:val="bottom"/>
            <w:tcBorders>
              <w:top w:val="single" w:sz="8" w:color="auto"/>
            </w:tcBorders>
            <w:shd w:val="clear" w:color="auto" w:fill="CFF0FC"/>
          </w:tcPr>
          <w:p>
            <w:pPr>
              <w:ind w:left="320"/>
              <w:spacing w:after="0"/>
              <w:rPr>
                <w:sz w:val="20"/>
                <w:szCs w:val="20"/>
                <w:color w:val="auto"/>
              </w:rPr>
            </w:pPr>
            <w:r>
              <w:rPr>
                <w:rFonts w:ascii="Arial" w:cs="Arial" w:eastAsia="Arial" w:hAnsi="Arial"/>
                <w:sz w:val="18"/>
                <w:szCs w:val="18"/>
                <w:color w:val="auto"/>
                <w:w w:val="88"/>
              </w:rPr>
              <w:t>8,437</w:t>
            </w:r>
          </w:p>
        </w:tc>
        <w:tc>
          <w:tcPr>
            <w:tcW w:w="100" w:type="dxa"/>
            <w:vAlign w:val="bottom"/>
            <w:tcBorders>
              <w:top w:val="single" w:sz="8" w:color="CFF0FC"/>
            </w:tcBorders>
            <w:shd w:val="clear" w:color="auto" w:fill="CFF0FC"/>
          </w:tcPr>
          <w:p>
            <w:pPr>
              <w:spacing w:after="0"/>
              <w:rPr>
                <w:sz w:val="19"/>
                <w:szCs w:val="19"/>
                <w:color w:val="auto"/>
              </w:rPr>
            </w:pPr>
          </w:p>
        </w:tc>
        <w:tc>
          <w:tcPr>
            <w:tcW w:w="60" w:type="dxa"/>
            <w:vAlign w:val="bottom"/>
            <w:tcBorders>
              <w:top w:val="single" w:sz="8" w:color="CFF0FC"/>
            </w:tcBorders>
            <w:shd w:val="clear" w:color="auto" w:fill="CFF0FC"/>
          </w:tcPr>
          <w:p>
            <w:pPr>
              <w:spacing w:after="0"/>
              <w:rPr>
                <w:sz w:val="19"/>
                <w:szCs w:val="19"/>
                <w:color w:val="auto"/>
              </w:rPr>
            </w:pPr>
          </w:p>
        </w:tc>
        <w:tc>
          <w:tcPr>
            <w:tcW w:w="780" w:type="dxa"/>
            <w:vAlign w:val="bottom"/>
            <w:tcBorders>
              <w:top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color w:val="auto"/>
              </w:rPr>
              <w:t>100.0</w:t>
            </w:r>
          </w:p>
        </w:tc>
        <w:tc>
          <w:tcPr>
            <w:tcW w:w="360" w:type="dxa"/>
            <w:vAlign w:val="bottom"/>
            <w:tcBorders>
              <w:top w:val="single" w:sz="8" w:color="CFF0FC"/>
            </w:tcBorders>
            <w:gridSpan w:val="2"/>
            <w:shd w:val="clear" w:color="auto" w:fill="CFF0FC"/>
          </w:tcPr>
          <w:p>
            <w:pPr>
              <w:jc w:val="right"/>
              <w:ind w:right="30"/>
              <w:spacing w:after="0"/>
              <w:rPr>
                <w:sz w:val="20"/>
                <w:szCs w:val="20"/>
                <w:color w:val="auto"/>
              </w:rPr>
            </w:pPr>
            <w:r>
              <w:rPr>
                <w:rFonts w:ascii="Arial" w:cs="Arial" w:eastAsia="Arial" w:hAnsi="Arial"/>
                <w:sz w:val="18"/>
                <w:szCs w:val="18"/>
                <w:color w:val="auto"/>
              </w:rPr>
              <w:t>%</w:t>
            </w:r>
          </w:p>
        </w:tc>
        <w:tc>
          <w:tcPr>
            <w:tcW w:w="160" w:type="dxa"/>
            <w:vAlign w:val="bottom"/>
            <w:tcBorders>
              <w:top w:val="single" w:sz="8" w:color="auto"/>
            </w:tcBorders>
            <w:gridSpan w:val="2"/>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color w:val="auto"/>
              </w:rPr>
              <w:t>22,452</w:t>
            </w:r>
          </w:p>
        </w:tc>
        <w:tc>
          <w:tcPr>
            <w:tcW w:w="120" w:type="dxa"/>
            <w:vAlign w:val="bottom"/>
            <w:tcBorders>
              <w:top w:val="single" w:sz="8" w:color="CFF0FC"/>
            </w:tcBorders>
            <w:shd w:val="clear" w:color="auto" w:fill="CFF0FC"/>
          </w:tcPr>
          <w:p>
            <w:pPr>
              <w:spacing w:after="0"/>
              <w:rPr>
                <w:sz w:val="19"/>
                <w:szCs w:val="19"/>
                <w:color w:val="auto"/>
              </w:rPr>
            </w:pPr>
          </w:p>
        </w:tc>
        <w:tc>
          <w:tcPr>
            <w:tcW w:w="760" w:type="dxa"/>
            <w:vAlign w:val="bottom"/>
            <w:tcBorders>
              <w:top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color w:val="auto"/>
              </w:rPr>
              <w:t>45.1</w:t>
            </w:r>
          </w:p>
        </w:tc>
        <w:tc>
          <w:tcPr>
            <w:tcW w:w="320" w:type="dxa"/>
            <w:vAlign w:val="bottom"/>
            <w:tcBorders>
              <w:top w:val="single" w:sz="8" w:color="CFF0FC"/>
            </w:tcBorders>
            <w:gridSpan w:val="2"/>
            <w:shd w:val="clear" w:color="auto" w:fill="CFF0FC"/>
          </w:tcPr>
          <w:p>
            <w:pPr>
              <w:jc w:val="right"/>
              <w:ind w:right="16"/>
              <w:spacing w:after="0"/>
              <w:rPr>
                <w:sz w:val="20"/>
                <w:szCs w:val="20"/>
                <w:color w:val="auto"/>
              </w:rPr>
            </w:pPr>
            <w:r>
              <w:rPr>
                <w:rFonts w:ascii="Arial" w:cs="Arial" w:eastAsia="Arial" w:hAnsi="Arial"/>
                <w:sz w:val="18"/>
                <w:szCs w:val="18"/>
                <w:color w:val="auto"/>
              </w:rPr>
              <w:t>%</w:t>
            </w:r>
          </w:p>
        </w:tc>
        <w:tc>
          <w:tcPr>
            <w:tcW w:w="14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w:t>
            </w:r>
          </w:p>
        </w:tc>
        <w:tc>
          <w:tcPr>
            <w:tcW w:w="7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16,354</w:t>
            </w:r>
          </w:p>
        </w:tc>
        <w:tc>
          <w:tcPr>
            <w:tcW w:w="140" w:type="dxa"/>
            <w:vAlign w:val="bottom"/>
            <w:tcBorders>
              <w:top w:val="single" w:sz="8" w:color="CFF0FC"/>
            </w:tcBorders>
            <w:shd w:val="clear" w:color="auto" w:fill="CFF0FC"/>
          </w:tcPr>
          <w:p>
            <w:pPr>
              <w:spacing w:after="0"/>
              <w:rPr>
                <w:sz w:val="19"/>
                <w:szCs w:val="19"/>
                <w:color w:val="auto"/>
              </w:rPr>
            </w:pPr>
          </w:p>
        </w:tc>
        <w:tc>
          <w:tcPr>
            <w:tcW w:w="760" w:type="dxa"/>
            <w:vAlign w:val="bottom"/>
            <w:tcBorders>
              <w:top w:val="single" w:sz="8" w:color="auto"/>
            </w:tcBorders>
            <w:gridSpan w:val="3"/>
            <w:shd w:val="clear" w:color="auto" w:fill="CFF0FC"/>
          </w:tcPr>
          <w:p>
            <w:pPr>
              <w:jc w:val="right"/>
              <w:ind w:right="20"/>
              <w:spacing w:after="0"/>
              <w:rPr>
                <w:sz w:val="20"/>
                <w:szCs w:val="20"/>
                <w:color w:val="auto"/>
              </w:rPr>
            </w:pPr>
            <w:r>
              <w:rPr>
                <w:rFonts w:ascii="Arial" w:cs="Arial" w:eastAsia="Arial" w:hAnsi="Arial"/>
                <w:sz w:val="18"/>
                <w:szCs w:val="18"/>
                <w:color w:val="auto"/>
              </w:rPr>
              <w:t>100.0</w:t>
            </w:r>
          </w:p>
        </w:tc>
        <w:tc>
          <w:tcPr>
            <w:tcW w:w="240" w:type="dxa"/>
            <w:vAlign w:val="bottom"/>
            <w:tcBorders>
              <w:top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200" w:type="dxa"/>
            <w:vAlign w:val="bottom"/>
          </w:tcPr>
          <w:p>
            <w:pPr>
              <w:spacing w:after="0"/>
              <w:rPr>
                <w:sz w:val="20"/>
                <w:szCs w:val="20"/>
                <w:color w:val="auto"/>
              </w:rPr>
            </w:pPr>
            <w:r>
              <w:rPr>
                <w:rFonts w:ascii="Arial" w:cs="Arial" w:eastAsia="Arial" w:hAnsi="Arial"/>
                <w:sz w:val="18"/>
                <w:szCs w:val="18"/>
                <w:color w:val="auto"/>
              </w:rPr>
              <w:t>All other states</w:t>
            </w:r>
          </w:p>
        </w:tc>
        <w:tc>
          <w:tcPr>
            <w:tcW w:w="2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13,082</w:t>
            </w: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760" w:type="dxa"/>
            <w:vAlign w:val="bottom"/>
            <w:gridSpan w:val="3"/>
          </w:tcPr>
          <w:p>
            <w:pPr>
              <w:jc w:val="right"/>
              <w:spacing w:after="0"/>
              <w:rPr>
                <w:sz w:val="20"/>
                <w:szCs w:val="20"/>
                <w:color w:val="auto"/>
              </w:rPr>
            </w:pPr>
            <w:r>
              <w:rPr>
                <w:rFonts w:ascii="Arial" w:cs="Arial" w:eastAsia="Arial" w:hAnsi="Arial"/>
                <w:sz w:val="18"/>
                <w:szCs w:val="18"/>
                <w:color w:val="auto"/>
              </w:rPr>
              <w:t>53.3</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gridSpan w:val="3"/>
          </w:tcPr>
          <w:p>
            <w:pPr>
              <w:ind w:left="5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27,285</w:t>
            </w:r>
          </w:p>
        </w:tc>
        <w:tc>
          <w:tcPr>
            <w:tcW w:w="120" w:type="dxa"/>
            <w:vAlign w:val="bottom"/>
          </w:tcPr>
          <w:p>
            <w:pPr>
              <w:spacing w:after="0"/>
              <w:rPr>
                <w:sz w:val="19"/>
                <w:szCs w:val="19"/>
                <w:color w:val="auto"/>
              </w:rPr>
            </w:pP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54.9</w:t>
            </w:r>
          </w:p>
        </w:tc>
        <w:tc>
          <w:tcPr>
            <w:tcW w:w="3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7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22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 hospice segment net</w:t>
            </w:r>
          </w:p>
        </w:tc>
        <w:tc>
          <w:tcPr>
            <w:tcW w:w="200" w:type="dxa"/>
            <w:vAlign w:val="bottom"/>
            <w:tcBorders>
              <w:top w:val="single" w:sz="8" w:color="CFF0FC"/>
            </w:tcBorders>
            <w:shd w:val="clear" w:color="auto" w:fill="CFF0FC"/>
          </w:tcPr>
          <w:p>
            <w:pPr>
              <w:spacing w:after="0"/>
              <w:rPr>
                <w:sz w:val="18"/>
                <w:szCs w:val="18"/>
                <w:color w:val="auto"/>
              </w:rPr>
            </w:pPr>
          </w:p>
        </w:tc>
        <w:tc>
          <w:tcPr>
            <w:tcW w:w="280" w:type="dxa"/>
            <w:vAlign w:val="bottom"/>
            <w:tcBorders>
              <w:top w:val="single" w:sz="8" w:color="auto"/>
            </w:tcBorders>
            <w:shd w:val="clear" w:color="auto" w:fill="CFF0FC"/>
          </w:tcPr>
          <w:p>
            <w:pPr>
              <w:spacing w:after="0"/>
              <w:rPr>
                <w:sz w:val="18"/>
                <w:szCs w:val="18"/>
                <w:color w:val="auto"/>
              </w:rPr>
            </w:pPr>
          </w:p>
        </w:tc>
        <w:tc>
          <w:tcPr>
            <w:tcW w:w="140" w:type="dxa"/>
            <w:vAlign w:val="bottom"/>
            <w:tcBorders>
              <w:top w:val="single" w:sz="8" w:color="auto"/>
            </w:tcBorders>
            <w:shd w:val="clear" w:color="auto" w:fill="CFF0FC"/>
          </w:tcPr>
          <w:p>
            <w:pPr>
              <w:spacing w:after="0"/>
              <w:rPr>
                <w:sz w:val="18"/>
                <w:szCs w:val="18"/>
                <w:color w:val="auto"/>
              </w:rPr>
            </w:pPr>
          </w:p>
        </w:tc>
        <w:tc>
          <w:tcPr>
            <w:tcW w:w="600" w:type="dxa"/>
            <w:vAlign w:val="bottom"/>
            <w:tcBorders>
              <w:top w:val="single" w:sz="8" w:color="auto"/>
            </w:tcBorders>
            <w:shd w:val="clear" w:color="auto" w:fill="CFF0FC"/>
          </w:tcPr>
          <w:p>
            <w:pPr>
              <w:spacing w:after="0"/>
              <w:rPr>
                <w:sz w:val="18"/>
                <w:szCs w:val="18"/>
                <w:color w:val="auto"/>
              </w:rPr>
            </w:pPr>
          </w:p>
        </w:tc>
        <w:tc>
          <w:tcPr>
            <w:tcW w:w="160" w:type="dxa"/>
            <w:vAlign w:val="bottom"/>
            <w:tcBorders>
              <w:top w:val="single" w:sz="8" w:color="CFF0FC"/>
            </w:tcBorders>
            <w:shd w:val="clear" w:color="auto" w:fill="CFF0FC"/>
          </w:tcPr>
          <w:p>
            <w:pPr>
              <w:spacing w:after="0"/>
              <w:rPr>
                <w:sz w:val="18"/>
                <w:szCs w:val="18"/>
                <w:color w:val="auto"/>
              </w:rPr>
            </w:pPr>
          </w:p>
        </w:tc>
        <w:tc>
          <w:tcPr>
            <w:tcW w:w="20" w:type="dxa"/>
            <w:vAlign w:val="bottom"/>
            <w:tcBorders>
              <w:top w:val="single" w:sz="8" w:color="auto"/>
            </w:tcBorders>
            <w:shd w:val="clear" w:color="auto" w:fill="CFF0FC"/>
          </w:tcPr>
          <w:p>
            <w:pPr>
              <w:spacing w:after="0"/>
              <w:rPr>
                <w:sz w:val="18"/>
                <w:szCs w:val="18"/>
                <w:color w:val="auto"/>
              </w:rPr>
            </w:pPr>
          </w:p>
        </w:tc>
        <w:tc>
          <w:tcPr>
            <w:tcW w:w="20" w:type="dxa"/>
            <w:vAlign w:val="bottom"/>
            <w:tcBorders>
              <w:top w:val="single" w:sz="8" w:color="auto"/>
            </w:tcBorders>
            <w:shd w:val="clear" w:color="auto" w:fill="CFF0FC"/>
          </w:tcPr>
          <w:p>
            <w:pPr>
              <w:spacing w:after="0"/>
              <w:rPr>
                <w:sz w:val="18"/>
                <w:szCs w:val="18"/>
                <w:color w:val="auto"/>
              </w:rPr>
            </w:pPr>
          </w:p>
        </w:tc>
        <w:tc>
          <w:tcPr>
            <w:tcW w:w="160" w:type="dxa"/>
            <w:vAlign w:val="bottom"/>
            <w:tcBorders>
              <w:top w:val="single" w:sz="8" w:color="auto"/>
            </w:tcBorders>
            <w:shd w:val="clear" w:color="auto" w:fill="CFF0FC"/>
          </w:tcPr>
          <w:p>
            <w:pPr>
              <w:spacing w:after="0"/>
              <w:rPr>
                <w:sz w:val="18"/>
                <w:szCs w:val="18"/>
                <w:color w:val="auto"/>
              </w:rPr>
            </w:pPr>
          </w:p>
        </w:tc>
        <w:tc>
          <w:tcPr>
            <w:tcW w:w="580" w:type="dxa"/>
            <w:vAlign w:val="bottom"/>
            <w:tcBorders>
              <w:top w:val="single" w:sz="8" w:color="auto"/>
            </w:tcBorders>
            <w:shd w:val="clear" w:color="auto" w:fill="CFF0FC"/>
          </w:tcPr>
          <w:p>
            <w:pPr>
              <w:spacing w:after="0"/>
              <w:rPr>
                <w:sz w:val="18"/>
                <w:szCs w:val="18"/>
                <w:color w:val="auto"/>
              </w:rPr>
            </w:pPr>
          </w:p>
        </w:tc>
        <w:tc>
          <w:tcPr>
            <w:tcW w:w="120" w:type="dxa"/>
            <w:vAlign w:val="bottom"/>
            <w:tcBorders>
              <w:top w:val="single" w:sz="8" w:color="CFF0FC"/>
            </w:tcBorders>
            <w:shd w:val="clear" w:color="auto" w:fill="CFF0FC"/>
          </w:tcPr>
          <w:p>
            <w:pPr>
              <w:spacing w:after="0"/>
              <w:rPr>
                <w:sz w:val="18"/>
                <w:szCs w:val="18"/>
                <w:color w:val="auto"/>
              </w:rPr>
            </w:pPr>
          </w:p>
        </w:tc>
        <w:tc>
          <w:tcPr>
            <w:tcW w:w="180" w:type="dxa"/>
            <w:vAlign w:val="bottom"/>
            <w:tcBorders>
              <w:top w:val="single" w:sz="8" w:color="CFF0FC"/>
            </w:tcBorders>
            <w:shd w:val="clear" w:color="auto" w:fill="CFF0FC"/>
          </w:tcPr>
          <w:p>
            <w:pPr>
              <w:spacing w:after="0"/>
              <w:rPr>
                <w:sz w:val="18"/>
                <w:szCs w:val="18"/>
                <w:color w:val="auto"/>
              </w:rPr>
            </w:pPr>
          </w:p>
        </w:tc>
        <w:tc>
          <w:tcPr>
            <w:tcW w:w="60" w:type="dxa"/>
            <w:vAlign w:val="bottom"/>
            <w:tcBorders>
              <w:top w:val="single" w:sz="8" w:color="CFF0FC"/>
            </w:tcBorders>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spacing w:after="0"/>
              <w:rPr>
                <w:sz w:val="18"/>
                <w:szCs w:val="18"/>
                <w:color w:val="auto"/>
              </w:rPr>
            </w:pPr>
          </w:p>
        </w:tc>
        <w:tc>
          <w:tcPr>
            <w:tcW w:w="100" w:type="dxa"/>
            <w:vAlign w:val="bottom"/>
            <w:tcBorders>
              <w:top w:val="single" w:sz="8" w:color="auto"/>
            </w:tcBorders>
            <w:shd w:val="clear" w:color="auto" w:fill="CFF0FC"/>
          </w:tcPr>
          <w:p>
            <w:pPr>
              <w:spacing w:after="0"/>
              <w:rPr>
                <w:sz w:val="18"/>
                <w:szCs w:val="18"/>
                <w:color w:val="auto"/>
              </w:rPr>
            </w:pPr>
          </w:p>
        </w:tc>
        <w:tc>
          <w:tcPr>
            <w:tcW w:w="740" w:type="dxa"/>
            <w:vAlign w:val="bottom"/>
            <w:tcBorders>
              <w:top w:val="single" w:sz="8" w:color="auto"/>
            </w:tcBorders>
            <w:shd w:val="clear" w:color="auto" w:fill="CFF0FC"/>
          </w:tcPr>
          <w:p>
            <w:pPr>
              <w:spacing w:after="0"/>
              <w:rPr>
                <w:sz w:val="18"/>
                <w:szCs w:val="18"/>
                <w:color w:val="auto"/>
              </w:rPr>
            </w:pPr>
          </w:p>
        </w:tc>
        <w:tc>
          <w:tcPr>
            <w:tcW w:w="100" w:type="dxa"/>
            <w:vAlign w:val="bottom"/>
            <w:tcBorders>
              <w:top w:val="single" w:sz="8" w:color="CFF0FC"/>
            </w:tcBorders>
            <w:shd w:val="clear" w:color="auto" w:fill="CFF0FC"/>
          </w:tcPr>
          <w:p>
            <w:pPr>
              <w:spacing w:after="0"/>
              <w:rPr>
                <w:sz w:val="18"/>
                <w:szCs w:val="18"/>
                <w:color w:val="auto"/>
              </w:rPr>
            </w:pPr>
          </w:p>
        </w:tc>
        <w:tc>
          <w:tcPr>
            <w:tcW w:w="60" w:type="dxa"/>
            <w:vAlign w:val="bottom"/>
            <w:tcBorders>
              <w:top w:val="single" w:sz="8" w:color="CFF0FC"/>
            </w:tcBorders>
            <w:shd w:val="clear" w:color="auto" w:fill="CFF0FC"/>
          </w:tcPr>
          <w:p>
            <w:pPr>
              <w:spacing w:after="0"/>
              <w:rPr>
                <w:sz w:val="18"/>
                <w:szCs w:val="18"/>
                <w:color w:val="auto"/>
              </w:rPr>
            </w:pPr>
          </w:p>
        </w:tc>
        <w:tc>
          <w:tcPr>
            <w:tcW w:w="100" w:type="dxa"/>
            <w:vAlign w:val="bottom"/>
            <w:tcBorders>
              <w:top w:val="single" w:sz="8" w:color="auto"/>
            </w:tcBorders>
            <w:shd w:val="clear" w:color="auto" w:fill="CFF0FC"/>
          </w:tcPr>
          <w:p>
            <w:pPr>
              <w:spacing w:after="0"/>
              <w:rPr>
                <w:sz w:val="18"/>
                <w:szCs w:val="18"/>
                <w:color w:val="auto"/>
              </w:rPr>
            </w:pPr>
          </w:p>
        </w:tc>
        <w:tc>
          <w:tcPr>
            <w:tcW w:w="680" w:type="dxa"/>
            <w:vAlign w:val="bottom"/>
            <w:tcBorders>
              <w:top w:val="single" w:sz="8" w:color="auto"/>
            </w:tcBorders>
            <w:shd w:val="clear" w:color="auto" w:fill="CFF0FC"/>
          </w:tcPr>
          <w:p>
            <w:pPr>
              <w:spacing w:after="0"/>
              <w:rPr>
                <w:sz w:val="18"/>
                <w:szCs w:val="18"/>
                <w:color w:val="auto"/>
              </w:rPr>
            </w:pPr>
          </w:p>
        </w:tc>
        <w:tc>
          <w:tcPr>
            <w:tcW w:w="20" w:type="dxa"/>
            <w:vAlign w:val="bottom"/>
            <w:tcBorders>
              <w:top w:val="single" w:sz="8" w:color="CFF0FC"/>
            </w:tcBorders>
            <w:shd w:val="clear" w:color="auto" w:fill="CFF0FC"/>
          </w:tcPr>
          <w:p>
            <w:pPr>
              <w:spacing w:after="0"/>
              <w:rPr>
                <w:sz w:val="18"/>
                <w:szCs w:val="18"/>
                <w:color w:val="auto"/>
              </w:rPr>
            </w:pPr>
          </w:p>
        </w:tc>
        <w:tc>
          <w:tcPr>
            <w:tcW w:w="340" w:type="dxa"/>
            <w:vAlign w:val="bottom"/>
            <w:tcBorders>
              <w:top w:val="single" w:sz="8" w:color="CFF0FC"/>
            </w:tcBorders>
            <w:shd w:val="clear" w:color="auto" w:fill="CFF0FC"/>
          </w:tcPr>
          <w:p>
            <w:pPr>
              <w:spacing w:after="0"/>
              <w:rPr>
                <w:sz w:val="18"/>
                <w:szCs w:val="18"/>
                <w:color w:val="auto"/>
              </w:rPr>
            </w:pPr>
          </w:p>
        </w:tc>
        <w:tc>
          <w:tcPr>
            <w:tcW w:w="20" w:type="dxa"/>
            <w:vAlign w:val="bottom"/>
            <w:tcBorders>
              <w:top w:val="single" w:sz="8" w:color="auto"/>
            </w:tcBorders>
            <w:shd w:val="clear" w:color="auto" w:fill="CFF0FC"/>
          </w:tcPr>
          <w:p>
            <w:pPr>
              <w:spacing w:after="0"/>
              <w:rPr>
                <w:sz w:val="18"/>
                <w:szCs w:val="18"/>
                <w:color w:val="auto"/>
              </w:rPr>
            </w:pPr>
          </w:p>
        </w:tc>
        <w:tc>
          <w:tcPr>
            <w:tcW w:w="140" w:type="dxa"/>
            <w:vAlign w:val="bottom"/>
            <w:tcBorders>
              <w:top w:val="single" w:sz="8" w:color="auto"/>
            </w:tcBorders>
            <w:shd w:val="clear" w:color="auto" w:fill="CFF0FC"/>
          </w:tcPr>
          <w:p>
            <w:pPr>
              <w:spacing w:after="0"/>
              <w:rPr>
                <w:sz w:val="18"/>
                <w:szCs w:val="18"/>
                <w:color w:val="auto"/>
              </w:rPr>
            </w:pPr>
          </w:p>
        </w:tc>
        <w:tc>
          <w:tcPr>
            <w:tcW w:w="800" w:type="dxa"/>
            <w:vAlign w:val="bottom"/>
            <w:tcBorders>
              <w:top w:val="single" w:sz="8" w:color="auto"/>
            </w:tcBorders>
            <w:shd w:val="clear" w:color="auto" w:fill="CFF0FC"/>
          </w:tcPr>
          <w:p>
            <w:pPr>
              <w:spacing w:after="0"/>
              <w:rPr>
                <w:sz w:val="18"/>
                <w:szCs w:val="18"/>
                <w:color w:val="auto"/>
              </w:rPr>
            </w:pPr>
          </w:p>
        </w:tc>
        <w:tc>
          <w:tcPr>
            <w:tcW w:w="40" w:type="dxa"/>
            <w:vAlign w:val="bottom"/>
            <w:tcBorders>
              <w:top w:val="single" w:sz="8" w:color="auto"/>
            </w:tcBorders>
            <w:shd w:val="clear" w:color="auto" w:fill="CFF0FC"/>
          </w:tcPr>
          <w:p>
            <w:pPr>
              <w:spacing w:after="0"/>
              <w:rPr>
                <w:sz w:val="18"/>
                <w:szCs w:val="18"/>
                <w:color w:val="auto"/>
              </w:rPr>
            </w:pPr>
          </w:p>
        </w:tc>
        <w:tc>
          <w:tcPr>
            <w:tcW w:w="120" w:type="dxa"/>
            <w:vAlign w:val="bottom"/>
            <w:tcBorders>
              <w:top w:val="single" w:sz="8" w:color="CFF0FC"/>
            </w:tcBorders>
            <w:shd w:val="clear" w:color="auto" w:fill="CFF0FC"/>
          </w:tcPr>
          <w:p>
            <w:pPr>
              <w:spacing w:after="0"/>
              <w:rPr>
                <w:sz w:val="18"/>
                <w:szCs w:val="18"/>
                <w:color w:val="auto"/>
              </w:rPr>
            </w:pPr>
          </w:p>
        </w:tc>
        <w:tc>
          <w:tcPr>
            <w:tcW w:w="700" w:type="dxa"/>
            <w:vAlign w:val="bottom"/>
            <w:tcBorders>
              <w:top w:val="single" w:sz="8" w:color="auto"/>
            </w:tcBorders>
            <w:shd w:val="clear" w:color="auto" w:fill="CFF0FC"/>
          </w:tcPr>
          <w:p>
            <w:pPr>
              <w:spacing w:after="0"/>
              <w:rPr>
                <w:sz w:val="18"/>
                <w:szCs w:val="18"/>
                <w:color w:val="auto"/>
              </w:rPr>
            </w:pPr>
          </w:p>
        </w:tc>
        <w:tc>
          <w:tcPr>
            <w:tcW w:w="60" w:type="dxa"/>
            <w:vAlign w:val="bottom"/>
            <w:tcBorders>
              <w:top w:val="single" w:sz="8" w:color="auto"/>
            </w:tcBorders>
            <w:shd w:val="clear" w:color="auto" w:fill="CFF0FC"/>
          </w:tcPr>
          <w:p>
            <w:pPr>
              <w:spacing w:after="0"/>
              <w:rPr>
                <w:sz w:val="18"/>
                <w:szCs w:val="18"/>
                <w:color w:val="auto"/>
              </w:rPr>
            </w:pPr>
          </w:p>
        </w:tc>
        <w:tc>
          <w:tcPr>
            <w:tcW w:w="300" w:type="dxa"/>
            <w:vAlign w:val="bottom"/>
            <w:tcBorders>
              <w:top w:val="single" w:sz="8" w:color="CFF0FC"/>
            </w:tcBorders>
            <w:shd w:val="clear" w:color="auto" w:fill="CFF0FC"/>
          </w:tcPr>
          <w:p>
            <w:pPr>
              <w:spacing w:after="0"/>
              <w:rPr>
                <w:sz w:val="18"/>
                <w:szCs w:val="18"/>
                <w:color w:val="auto"/>
              </w:rPr>
            </w:pPr>
          </w:p>
        </w:tc>
        <w:tc>
          <w:tcPr>
            <w:tcW w:w="20" w:type="dxa"/>
            <w:vAlign w:val="bottom"/>
            <w:tcBorders>
              <w:top w:val="single" w:sz="8" w:color="CFF0FC"/>
            </w:tcBorders>
            <w:shd w:val="clear" w:color="auto" w:fill="CFF0FC"/>
          </w:tcPr>
          <w:p>
            <w:pPr>
              <w:spacing w:after="0"/>
              <w:rPr>
                <w:sz w:val="18"/>
                <w:szCs w:val="18"/>
                <w:color w:val="auto"/>
              </w:rPr>
            </w:pPr>
          </w:p>
        </w:tc>
        <w:tc>
          <w:tcPr>
            <w:tcW w:w="140" w:type="dxa"/>
            <w:vAlign w:val="bottom"/>
            <w:tcBorders>
              <w:top w:val="single" w:sz="8" w:color="auto"/>
            </w:tcBorders>
            <w:shd w:val="clear" w:color="auto" w:fill="CFF0FC"/>
          </w:tcPr>
          <w:p>
            <w:pPr>
              <w:spacing w:after="0"/>
              <w:rPr>
                <w:sz w:val="18"/>
                <w:szCs w:val="18"/>
                <w:color w:val="auto"/>
              </w:rPr>
            </w:pPr>
          </w:p>
        </w:tc>
        <w:tc>
          <w:tcPr>
            <w:tcW w:w="780" w:type="dxa"/>
            <w:vAlign w:val="bottom"/>
            <w:tcBorders>
              <w:top w:val="single" w:sz="8" w:color="auto"/>
            </w:tcBorders>
            <w:shd w:val="clear" w:color="auto" w:fill="CFF0FC"/>
          </w:tcPr>
          <w:p>
            <w:pPr>
              <w:spacing w:after="0"/>
              <w:rPr>
                <w:sz w:val="18"/>
                <w:szCs w:val="18"/>
                <w:color w:val="auto"/>
              </w:rPr>
            </w:pPr>
          </w:p>
        </w:tc>
        <w:tc>
          <w:tcPr>
            <w:tcW w:w="140" w:type="dxa"/>
            <w:vAlign w:val="bottom"/>
            <w:tcBorders>
              <w:top w:val="single" w:sz="8" w:color="CFF0FC"/>
            </w:tcBorders>
            <w:shd w:val="clear" w:color="auto" w:fill="CFF0FC"/>
          </w:tcPr>
          <w:p>
            <w:pPr>
              <w:spacing w:after="0"/>
              <w:rPr>
                <w:sz w:val="18"/>
                <w:szCs w:val="18"/>
                <w:color w:val="auto"/>
              </w:rPr>
            </w:pPr>
          </w:p>
        </w:tc>
        <w:tc>
          <w:tcPr>
            <w:tcW w:w="20" w:type="dxa"/>
            <w:vAlign w:val="bottom"/>
            <w:tcBorders>
              <w:top w:val="single" w:sz="8" w:color="auto"/>
            </w:tcBorders>
            <w:shd w:val="clear" w:color="auto" w:fill="CFF0FC"/>
          </w:tcPr>
          <w:p>
            <w:pPr>
              <w:spacing w:after="0"/>
              <w:rPr>
                <w:sz w:val="18"/>
                <w:szCs w:val="18"/>
                <w:color w:val="auto"/>
              </w:rPr>
            </w:pPr>
          </w:p>
        </w:tc>
        <w:tc>
          <w:tcPr>
            <w:tcW w:w="700" w:type="dxa"/>
            <w:vAlign w:val="bottom"/>
            <w:tcBorders>
              <w:top w:val="single" w:sz="8" w:color="auto"/>
            </w:tcBorders>
            <w:shd w:val="clear" w:color="auto" w:fill="CFF0FC"/>
          </w:tcPr>
          <w:p>
            <w:pPr>
              <w:spacing w:after="0"/>
              <w:rPr>
                <w:sz w:val="18"/>
                <w:szCs w:val="18"/>
                <w:color w:val="auto"/>
              </w:rPr>
            </w:pPr>
          </w:p>
        </w:tc>
        <w:tc>
          <w:tcPr>
            <w:tcW w:w="40" w:type="dxa"/>
            <w:vAlign w:val="bottom"/>
            <w:tcBorders>
              <w:top w:val="single" w:sz="8" w:color="auto"/>
            </w:tcBorders>
            <w:shd w:val="clear" w:color="auto" w:fill="CFF0FC"/>
          </w:tcPr>
          <w:p>
            <w:pPr>
              <w:spacing w:after="0"/>
              <w:rPr>
                <w:sz w:val="18"/>
                <w:szCs w:val="18"/>
                <w:color w:val="auto"/>
              </w:rPr>
            </w:pPr>
          </w:p>
        </w:tc>
        <w:tc>
          <w:tcPr>
            <w:tcW w:w="240" w:type="dxa"/>
            <w:vAlign w:val="bottom"/>
            <w:tcBorders>
              <w:top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200" w:type="dxa"/>
            <w:vAlign w:val="bottom"/>
            <w:shd w:val="clear" w:color="auto" w:fill="CFF0FC"/>
          </w:tcPr>
          <w:p>
            <w:pPr>
              <w:spacing w:after="0"/>
              <w:rPr>
                <w:sz w:val="20"/>
                <w:szCs w:val="20"/>
                <w:color w:val="auto"/>
              </w:rPr>
            </w:pPr>
            <w:r>
              <w:rPr>
                <w:rFonts w:ascii="Arial" w:cs="Arial" w:eastAsia="Arial" w:hAnsi="Arial"/>
                <w:sz w:val="18"/>
                <w:szCs w:val="18"/>
                <w:color w:val="auto"/>
              </w:rPr>
              <w:t>service revenues</w:t>
            </w:r>
          </w:p>
        </w:tc>
        <w:tc>
          <w:tcPr>
            <w:tcW w:w="480" w:type="dxa"/>
            <w:vAlign w:val="bottom"/>
            <w:gridSpan w:val="2"/>
            <w:shd w:val="clear" w:color="auto" w:fill="CFF0FC"/>
          </w:tcPr>
          <w:p>
            <w:pPr>
              <w:jc w:val="right"/>
              <w:ind w:right="128"/>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20"/>
                <w:szCs w:val="20"/>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24,525</w:t>
            </w:r>
          </w:p>
        </w:tc>
        <w:tc>
          <w:tcPr>
            <w:tcW w:w="160" w:type="dxa"/>
            <w:vAlign w:val="bottom"/>
            <w:shd w:val="clear" w:color="auto" w:fill="CFF0FC"/>
          </w:tcPr>
          <w:p>
            <w:pPr>
              <w:spacing w:after="0"/>
              <w:rPr>
                <w:sz w:val="20"/>
                <w:szCs w:val="20"/>
                <w:color w:val="auto"/>
              </w:rPr>
            </w:pPr>
          </w:p>
        </w:tc>
        <w:tc>
          <w:tcPr>
            <w:tcW w:w="20" w:type="dxa"/>
            <w:vAlign w:val="bottom"/>
            <w:shd w:val="clear" w:color="auto" w:fill="CFF0FC"/>
          </w:tcPr>
          <w:p>
            <w:pPr>
              <w:spacing w:after="0"/>
              <w:rPr>
                <w:sz w:val="20"/>
                <w:szCs w:val="20"/>
                <w:color w:val="auto"/>
              </w:rPr>
            </w:pPr>
          </w:p>
        </w:tc>
        <w:tc>
          <w:tcPr>
            <w:tcW w:w="1060" w:type="dxa"/>
            <w:vAlign w:val="bottom"/>
            <w:gridSpan w:val="5"/>
            <w:shd w:val="clear" w:color="auto" w:fill="CFF0FC"/>
          </w:tcPr>
          <w:p>
            <w:pPr>
              <w:jc w:val="right"/>
              <w:spacing w:after="0"/>
              <w:rPr>
                <w:sz w:val="20"/>
                <w:szCs w:val="20"/>
                <w:color w:val="auto"/>
              </w:rPr>
            </w:pPr>
            <w:r>
              <w:rPr>
                <w:rFonts w:ascii="Arial" w:cs="Arial" w:eastAsia="Arial" w:hAnsi="Arial"/>
                <w:sz w:val="18"/>
                <w:szCs w:val="18"/>
                <w:color w:val="auto"/>
              </w:rPr>
              <w:t>100.0 %</w:t>
            </w:r>
          </w:p>
        </w:tc>
        <w:tc>
          <w:tcPr>
            <w:tcW w:w="1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20"/>
                <w:szCs w:val="20"/>
                <w:color w:val="auto"/>
              </w:rPr>
            </w:pPr>
          </w:p>
        </w:tc>
        <w:tc>
          <w:tcPr>
            <w:tcW w:w="740" w:type="dxa"/>
            <w:vAlign w:val="bottom"/>
            <w:shd w:val="clear" w:color="auto" w:fill="CFF0FC"/>
          </w:tcPr>
          <w:p>
            <w:pPr>
              <w:ind w:left="320"/>
              <w:spacing w:after="0"/>
              <w:rPr>
                <w:sz w:val="20"/>
                <w:szCs w:val="20"/>
                <w:color w:val="auto"/>
              </w:rPr>
            </w:pPr>
            <w:r>
              <w:rPr>
                <w:rFonts w:ascii="Arial" w:cs="Arial" w:eastAsia="Arial" w:hAnsi="Arial"/>
                <w:sz w:val="18"/>
                <w:szCs w:val="18"/>
                <w:color w:val="auto"/>
                <w:w w:val="88"/>
              </w:rPr>
              <w:t>8,437</w:t>
            </w:r>
          </w:p>
        </w:tc>
        <w:tc>
          <w:tcPr>
            <w:tcW w:w="100" w:type="dxa"/>
            <w:vAlign w:val="bottom"/>
            <w:shd w:val="clear" w:color="auto" w:fill="CFF0FC"/>
          </w:tcPr>
          <w:p>
            <w:pPr>
              <w:spacing w:after="0"/>
              <w:rPr>
                <w:sz w:val="20"/>
                <w:szCs w:val="20"/>
                <w:color w:val="auto"/>
              </w:rPr>
            </w:pPr>
          </w:p>
        </w:tc>
        <w:tc>
          <w:tcPr>
            <w:tcW w:w="60" w:type="dxa"/>
            <w:vAlign w:val="bottom"/>
            <w:shd w:val="clear" w:color="auto" w:fill="CFF0FC"/>
          </w:tcPr>
          <w:p>
            <w:pPr>
              <w:spacing w:after="0"/>
              <w:rPr>
                <w:sz w:val="20"/>
                <w:szCs w:val="20"/>
                <w:color w:val="auto"/>
              </w:rPr>
            </w:pPr>
          </w:p>
        </w:tc>
        <w:tc>
          <w:tcPr>
            <w:tcW w:w="7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100.0</w:t>
            </w:r>
          </w:p>
        </w:tc>
        <w:tc>
          <w:tcPr>
            <w:tcW w:w="20" w:type="dxa"/>
            <w:vAlign w:val="bottom"/>
            <w:shd w:val="clear" w:color="auto" w:fill="CFF0FC"/>
          </w:tcPr>
          <w:p>
            <w:pPr>
              <w:spacing w:after="0"/>
              <w:rPr>
                <w:sz w:val="20"/>
                <w:szCs w:val="20"/>
                <w:color w:val="auto"/>
              </w:rPr>
            </w:pPr>
          </w:p>
        </w:tc>
        <w:tc>
          <w:tcPr>
            <w:tcW w:w="34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w:t>
            </w:r>
          </w:p>
        </w:tc>
        <w:tc>
          <w:tcPr>
            <w:tcW w:w="160" w:type="dxa"/>
            <w:vAlign w:val="bottom"/>
            <w:gridSpan w:val="2"/>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49,737</w:t>
            </w:r>
          </w:p>
        </w:tc>
        <w:tc>
          <w:tcPr>
            <w:tcW w:w="120" w:type="dxa"/>
            <w:vAlign w:val="bottom"/>
            <w:shd w:val="clear" w:color="auto" w:fill="CFF0FC"/>
          </w:tcPr>
          <w:p>
            <w:pPr>
              <w:spacing w:after="0"/>
              <w:rPr>
                <w:sz w:val="20"/>
                <w:szCs w:val="20"/>
                <w:color w:val="auto"/>
              </w:rPr>
            </w:pPr>
          </w:p>
        </w:tc>
        <w:tc>
          <w:tcPr>
            <w:tcW w:w="1220" w:type="dxa"/>
            <w:vAlign w:val="bottom"/>
            <w:gridSpan w:val="5"/>
            <w:shd w:val="clear" w:color="auto" w:fill="CFF0FC"/>
          </w:tcPr>
          <w:p>
            <w:pPr>
              <w:jc w:val="right"/>
              <w:spacing w:after="0"/>
              <w:rPr>
                <w:sz w:val="20"/>
                <w:szCs w:val="20"/>
                <w:color w:val="auto"/>
              </w:rPr>
            </w:pPr>
            <w:r>
              <w:rPr>
                <w:rFonts w:ascii="Arial" w:cs="Arial" w:eastAsia="Arial" w:hAnsi="Arial"/>
                <w:sz w:val="18"/>
                <w:szCs w:val="18"/>
                <w:color w:val="auto"/>
              </w:rPr>
              <w:t>100.0 % $</w:t>
            </w: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16,354</w:t>
            </w:r>
          </w:p>
        </w:tc>
        <w:tc>
          <w:tcPr>
            <w:tcW w:w="140" w:type="dxa"/>
            <w:vAlign w:val="bottom"/>
            <w:shd w:val="clear" w:color="auto" w:fill="CFF0FC"/>
          </w:tcPr>
          <w:p>
            <w:pPr>
              <w:spacing w:after="0"/>
              <w:rPr>
                <w:sz w:val="20"/>
                <w:szCs w:val="20"/>
                <w:color w:val="auto"/>
              </w:rPr>
            </w:pPr>
          </w:p>
        </w:tc>
        <w:tc>
          <w:tcPr>
            <w:tcW w:w="1000" w:type="dxa"/>
            <w:vAlign w:val="bottom"/>
            <w:gridSpan w:val="4"/>
            <w:shd w:val="clear" w:color="auto" w:fill="CFF0FC"/>
          </w:tcPr>
          <w:p>
            <w:pPr>
              <w:jc w:val="right"/>
              <w:spacing w:after="0"/>
              <w:rPr>
                <w:sz w:val="20"/>
                <w:szCs w:val="20"/>
                <w:color w:val="auto"/>
              </w:rPr>
            </w:pPr>
            <w:r>
              <w:rPr>
                <w:rFonts w:ascii="Arial" w:cs="Arial" w:eastAsia="Arial" w:hAnsi="Arial"/>
                <w:sz w:val="18"/>
                <w:szCs w:val="18"/>
                <w:color w:val="auto"/>
              </w:rPr>
              <w:t>100.0 %</w:t>
            </w:r>
          </w:p>
        </w:tc>
        <w:tc>
          <w:tcPr>
            <w:tcW w:w="0" w:type="dxa"/>
            <w:vAlign w:val="bottom"/>
          </w:tcPr>
          <w:p>
            <w:pPr>
              <w:spacing w:after="0"/>
              <w:rPr>
                <w:sz w:val="1"/>
                <w:szCs w:val="1"/>
                <w:color w:val="auto"/>
              </w:rPr>
            </w:pPr>
          </w:p>
        </w:tc>
      </w:tr>
      <w:tr>
        <w:trPr>
          <w:trHeight w:val="20"/>
        </w:trPr>
        <w:tc>
          <w:tcPr>
            <w:tcW w:w="2200" w:type="dxa"/>
            <w:vAlign w:val="bottom"/>
            <w:tcBorders>
              <w:top w:val="single" w:sz="8" w:color="CFF0FC"/>
            </w:tcBorders>
          </w:tcPr>
          <w:p>
            <w:pPr>
              <w:spacing w:after="0" w:line="20" w:lineRule="exact"/>
              <w:rPr>
                <w:sz w:val="1"/>
                <w:szCs w:val="1"/>
                <w:color w:val="auto"/>
              </w:rPr>
            </w:pPr>
          </w:p>
        </w:tc>
        <w:tc>
          <w:tcPr>
            <w:tcW w:w="200" w:type="dxa"/>
            <w:vAlign w:val="bottom"/>
            <w:tcBorders>
              <w:top w:val="single" w:sz="8" w:color="CFF0FC"/>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FF0FC"/>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180" w:type="dxa"/>
            <w:vAlign w:val="bottom"/>
            <w:tcBorders>
              <w:top w:val="single" w:sz="8" w:color="CFF0FC"/>
            </w:tcBorders>
          </w:tcPr>
          <w:p>
            <w:pPr>
              <w:spacing w:after="0" w:line="20" w:lineRule="exact"/>
              <w:rPr>
                <w:sz w:val="1"/>
                <w:szCs w:val="1"/>
                <w:color w:val="auto"/>
              </w:rPr>
            </w:pPr>
          </w:p>
        </w:tc>
        <w:tc>
          <w:tcPr>
            <w:tcW w:w="6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6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FF0FC"/>
            </w:tcBorders>
          </w:tcPr>
          <w:p>
            <w:pPr>
              <w:spacing w:after="0" w:line="20" w:lineRule="exact"/>
              <w:rPr>
                <w:sz w:val="1"/>
                <w:szCs w:val="1"/>
                <w:color w:val="auto"/>
              </w:rPr>
            </w:pPr>
          </w:p>
        </w:tc>
        <w:tc>
          <w:tcPr>
            <w:tcW w:w="340" w:type="dxa"/>
            <w:vAlign w:val="bottom"/>
            <w:tcBorders>
              <w:top w:val="single" w:sz="8" w:color="CFF0FC"/>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CFF0FC"/>
            </w:tcBorders>
          </w:tcPr>
          <w:p>
            <w:pPr>
              <w:spacing w:after="0" w:line="20" w:lineRule="exact"/>
              <w:rPr>
                <w:sz w:val="1"/>
                <w:szCs w:val="1"/>
                <w:color w:val="auto"/>
              </w:rPr>
            </w:pPr>
          </w:p>
        </w:tc>
        <w:tc>
          <w:tcPr>
            <w:tcW w:w="20" w:type="dxa"/>
            <w:vAlign w:val="bottom"/>
            <w:tcBorders>
              <w:top w:val="single" w:sz="8" w:color="CFF0FC"/>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3"/>
        </w:trPr>
        <w:tc>
          <w:tcPr>
            <w:tcW w:w="2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40" w:type="dxa"/>
            <w:vAlign w:val="bottom"/>
            <w:gridSpan w:val="2"/>
          </w:tcPr>
          <w:p>
            <w:pPr>
              <w:ind w:left="600"/>
              <w:spacing w:after="0"/>
              <w:rPr>
                <w:sz w:val="20"/>
                <w:szCs w:val="20"/>
                <w:color w:val="auto"/>
              </w:rPr>
            </w:pPr>
            <w:r>
              <w:rPr>
                <w:rFonts w:ascii="Arial" w:cs="Arial" w:eastAsia="Arial" w:hAnsi="Arial"/>
                <w:sz w:val="16"/>
                <w:szCs w:val="16"/>
                <w:color w:val="auto"/>
              </w:rPr>
              <w:t>19</w:t>
            </w: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7"/>
        </w:trPr>
        <w:tc>
          <w:tcPr>
            <w:tcW w:w="220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60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58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74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68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3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80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70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78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70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-8255</wp:posOffset>
            </wp:positionV>
            <wp:extent cx="8255"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31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2320" w:type="dxa"/>
            <w:vAlign w:val="bottom"/>
            <w:tcBorders>
              <w:bottom w:val="single" w:sz="8" w:color="auto"/>
            </w:tcBorders>
            <w:gridSpan w:val="6"/>
          </w:tcPr>
          <w:p>
            <w:pPr>
              <w:jc w:val="center"/>
              <w:ind w:right="228"/>
              <w:spacing w:after="0"/>
              <w:rPr>
                <w:sz w:val="20"/>
                <w:szCs w:val="20"/>
                <w:color w:val="auto"/>
              </w:rPr>
            </w:pPr>
            <w:r>
              <w:rPr>
                <w:rFonts w:ascii="Arial" w:cs="Arial" w:eastAsia="Arial" w:hAnsi="Arial"/>
                <w:sz w:val="14"/>
                <w:szCs w:val="14"/>
                <w:b w:val="1"/>
                <w:bCs w:val="1"/>
                <w:color w:val="auto"/>
                <w:w w:val="95"/>
              </w:rPr>
              <w:t>Home Health</w:t>
            </w:r>
          </w:p>
        </w:tc>
        <w:tc>
          <w:tcPr>
            <w:tcW w:w="80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20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3220" w:type="dxa"/>
            <w:vAlign w:val="bottom"/>
            <w:tcBorders>
              <w:bottom w:val="single" w:sz="8" w:color="auto"/>
            </w:tcBorders>
            <w:gridSpan w:val="7"/>
          </w:tcPr>
          <w:p>
            <w:pPr>
              <w:jc w:val="right"/>
              <w:ind w:right="120"/>
              <w:spacing w:after="0" w:line="155" w:lineRule="exact"/>
              <w:rPr>
                <w:sz w:val="20"/>
                <w:szCs w:val="20"/>
                <w:color w:val="auto"/>
              </w:rPr>
            </w:pPr>
            <w:r>
              <w:rPr>
                <w:rFonts w:ascii="Arial" w:cs="Arial" w:eastAsia="Arial" w:hAnsi="Arial"/>
                <w:sz w:val="14"/>
                <w:szCs w:val="14"/>
                <w:b w:val="1"/>
                <w:bCs w:val="1"/>
                <w:color w:val="auto"/>
              </w:rPr>
              <w:t>For the Three Months Ended June 30,</w:t>
            </w:r>
          </w:p>
        </w:tc>
        <w:tc>
          <w:tcPr>
            <w:tcW w:w="800" w:type="dxa"/>
            <w:vAlign w:val="bottom"/>
            <w:tcBorders>
              <w:bottom w:val="single" w:sz="8" w:color="auto"/>
            </w:tcBorders>
          </w:tcPr>
          <w:p>
            <w:pPr>
              <w:spacing w:after="0"/>
              <w:rPr>
                <w:sz w:val="13"/>
                <w:szCs w:val="13"/>
                <w:color w:val="auto"/>
              </w:rPr>
            </w:pPr>
          </w:p>
        </w:tc>
        <w:tc>
          <w:tcPr>
            <w:tcW w:w="2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spacing w:after="0"/>
              <w:rPr>
                <w:sz w:val="13"/>
                <w:szCs w:val="13"/>
                <w:color w:val="auto"/>
              </w:rPr>
            </w:pPr>
          </w:p>
        </w:tc>
        <w:tc>
          <w:tcPr>
            <w:tcW w:w="2460" w:type="dxa"/>
            <w:vAlign w:val="bottom"/>
            <w:tcBorders>
              <w:bottom w:val="single" w:sz="8" w:color="auto"/>
            </w:tcBorders>
            <w:gridSpan w:val="7"/>
          </w:tcPr>
          <w:p>
            <w:pPr>
              <w:jc w:val="right"/>
              <w:ind w:right="220"/>
              <w:spacing w:after="0" w:line="155" w:lineRule="exact"/>
              <w:rPr>
                <w:sz w:val="20"/>
                <w:szCs w:val="20"/>
                <w:color w:val="auto"/>
              </w:rPr>
            </w:pPr>
            <w:r>
              <w:rPr>
                <w:rFonts w:ascii="Arial" w:cs="Arial" w:eastAsia="Arial" w:hAnsi="Arial"/>
                <w:sz w:val="14"/>
                <w:szCs w:val="14"/>
                <w:b w:val="1"/>
                <w:bCs w:val="1"/>
                <w:color w:val="auto"/>
                <w:w w:val="95"/>
              </w:rPr>
              <w:t>For the Six Months Ended June 30,</w:t>
            </w:r>
          </w:p>
        </w:tc>
        <w:tc>
          <w:tcPr>
            <w:tcW w:w="820" w:type="dxa"/>
            <w:vAlign w:val="bottom"/>
            <w:tcBorders>
              <w:bottom w:val="single" w:sz="8" w:color="auto"/>
            </w:tcBorders>
          </w:tcPr>
          <w:p>
            <w:pPr>
              <w:spacing w:after="0"/>
              <w:rPr>
                <w:sz w:val="13"/>
                <w:szCs w:val="13"/>
                <w:color w:val="auto"/>
              </w:rPr>
            </w:pPr>
          </w:p>
        </w:tc>
        <w:tc>
          <w:tcPr>
            <w:tcW w:w="2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0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980" w:type="dxa"/>
            <w:vAlign w:val="bottom"/>
            <w:tcBorders>
              <w:bottom w:val="single" w:sz="8" w:color="auto"/>
            </w:tcBorders>
            <w:gridSpan w:val="2"/>
          </w:tcPr>
          <w:p>
            <w:pPr>
              <w:jc w:val="right"/>
              <w:ind w:right="40"/>
              <w:spacing w:after="0" w:line="155" w:lineRule="exact"/>
              <w:rPr>
                <w:sz w:val="20"/>
                <w:szCs w:val="20"/>
                <w:color w:val="auto"/>
              </w:rPr>
            </w:pPr>
            <w:r>
              <w:rPr>
                <w:rFonts w:ascii="Arial" w:cs="Arial" w:eastAsia="Arial" w:hAnsi="Arial"/>
                <w:sz w:val="14"/>
                <w:szCs w:val="14"/>
                <w:b w:val="1"/>
                <w:bCs w:val="1"/>
                <w:color w:val="auto"/>
              </w:rPr>
              <w:t>2020</w:t>
            </w:r>
          </w:p>
        </w:tc>
        <w:tc>
          <w:tcPr>
            <w:tcW w:w="800" w:type="dxa"/>
            <w:vAlign w:val="bottom"/>
            <w:tcBorders>
              <w:bottom w:val="single" w:sz="8" w:color="auto"/>
            </w:tcBorders>
          </w:tcPr>
          <w:p>
            <w:pPr>
              <w:spacing w:after="0"/>
              <w:rPr>
                <w:sz w:val="13"/>
                <w:szCs w:val="13"/>
                <w:color w:val="auto"/>
              </w:rPr>
            </w:pPr>
          </w:p>
        </w:tc>
        <w:tc>
          <w:tcPr>
            <w:tcW w:w="36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gridSpan w:val="2"/>
          </w:tcPr>
          <w:p>
            <w:pPr>
              <w:jc w:val="right"/>
              <w:spacing w:after="0"/>
              <w:rPr>
                <w:sz w:val="20"/>
                <w:szCs w:val="20"/>
                <w:color w:val="auto"/>
              </w:rPr>
            </w:pPr>
            <w:r>
              <w:rPr>
                <w:rFonts w:ascii="Arial" w:cs="Arial" w:eastAsia="Arial" w:hAnsi="Arial"/>
                <w:sz w:val="13"/>
                <w:szCs w:val="13"/>
                <w:b w:val="1"/>
                <w:bCs w:val="1"/>
                <w:color w:val="auto"/>
              </w:rPr>
              <w:t>2019</w:t>
            </w:r>
          </w:p>
        </w:tc>
        <w:tc>
          <w:tcPr>
            <w:tcW w:w="800" w:type="dxa"/>
            <w:vAlign w:val="bottom"/>
            <w:tcBorders>
              <w:bottom w:val="single" w:sz="8" w:color="auto"/>
            </w:tcBorders>
          </w:tcPr>
          <w:p>
            <w:pPr>
              <w:spacing w:after="0"/>
              <w:rPr>
                <w:sz w:val="13"/>
                <w:szCs w:val="13"/>
                <w:color w:val="auto"/>
              </w:rPr>
            </w:pPr>
          </w:p>
        </w:tc>
        <w:tc>
          <w:tcPr>
            <w:tcW w:w="2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980" w:type="dxa"/>
            <w:vAlign w:val="bottom"/>
            <w:tcBorders>
              <w:bottom w:val="single" w:sz="8" w:color="auto"/>
            </w:tcBorders>
            <w:gridSpan w:val="2"/>
          </w:tcPr>
          <w:p>
            <w:pPr>
              <w:jc w:val="right"/>
              <w:spacing w:after="0" w:line="155" w:lineRule="exact"/>
              <w:rPr>
                <w:sz w:val="20"/>
                <w:szCs w:val="20"/>
                <w:color w:val="auto"/>
              </w:rPr>
            </w:pPr>
            <w:r>
              <w:rPr>
                <w:rFonts w:ascii="Arial" w:cs="Arial" w:eastAsia="Arial" w:hAnsi="Arial"/>
                <w:sz w:val="14"/>
                <w:szCs w:val="14"/>
                <w:b w:val="1"/>
                <w:bCs w:val="1"/>
                <w:color w:val="auto"/>
              </w:rPr>
              <w:t>2020</w:t>
            </w:r>
          </w:p>
        </w:tc>
        <w:tc>
          <w:tcPr>
            <w:tcW w:w="800" w:type="dxa"/>
            <w:vAlign w:val="bottom"/>
            <w:tcBorders>
              <w:bottom w:val="single" w:sz="8" w:color="auto"/>
            </w:tcBorders>
          </w:tcPr>
          <w:p>
            <w:pPr>
              <w:spacing w:after="0"/>
              <w:rPr>
                <w:sz w:val="13"/>
                <w:szCs w:val="13"/>
                <w:color w:val="auto"/>
              </w:rPr>
            </w:pPr>
          </w:p>
        </w:tc>
        <w:tc>
          <w:tcPr>
            <w:tcW w:w="3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940" w:type="dxa"/>
            <w:vAlign w:val="bottom"/>
            <w:tcBorders>
              <w:bottom w:val="single" w:sz="8" w:color="auto"/>
            </w:tcBorders>
            <w:gridSpan w:val="2"/>
          </w:tcPr>
          <w:p>
            <w:pPr>
              <w:jc w:val="right"/>
              <w:spacing w:after="0"/>
              <w:rPr>
                <w:sz w:val="20"/>
                <w:szCs w:val="20"/>
                <w:color w:val="auto"/>
              </w:rPr>
            </w:pPr>
            <w:r>
              <w:rPr>
                <w:rFonts w:ascii="Arial" w:cs="Arial" w:eastAsia="Arial" w:hAnsi="Arial"/>
                <w:sz w:val="13"/>
                <w:szCs w:val="13"/>
                <w:b w:val="1"/>
                <w:bCs w:val="1"/>
                <w:color w:val="auto"/>
              </w:rPr>
              <w:t>2019</w:t>
            </w:r>
          </w:p>
        </w:tc>
        <w:tc>
          <w:tcPr>
            <w:tcW w:w="820" w:type="dxa"/>
            <w:vAlign w:val="bottom"/>
            <w:tcBorders>
              <w:bottom w:val="single" w:sz="8" w:color="auto"/>
            </w:tcBorders>
          </w:tcPr>
          <w:p>
            <w:pPr>
              <w:spacing w:after="0"/>
              <w:rPr>
                <w:sz w:val="13"/>
                <w:szCs w:val="13"/>
                <w:color w:val="auto"/>
              </w:rPr>
            </w:pPr>
          </w:p>
        </w:tc>
        <w:tc>
          <w:tcPr>
            <w:tcW w:w="2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3"/>
        </w:trPr>
        <w:tc>
          <w:tcPr>
            <w:tcW w:w="20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0" w:type="dxa"/>
            <w:vAlign w:val="bottom"/>
          </w:tcPr>
          <w:p>
            <w:pPr>
              <w:jc w:val="center"/>
              <w:spacing w:after="0" w:line="133" w:lineRule="exact"/>
              <w:rPr>
                <w:sz w:val="20"/>
                <w:szCs w:val="20"/>
                <w:color w:val="auto"/>
              </w:rPr>
            </w:pPr>
            <w:r>
              <w:rPr>
                <w:rFonts w:ascii="Arial" w:cs="Arial" w:eastAsia="Arial" w:hAnsi="Arial"/>
                <w:sz w:val="13"/>
                <w:szCs w:val="13"/>
                <w:b w:val="1"/>
                <w:bCs w:val="1"/>
                <w:color w:val="auto"/>
              </w:rPr>
              <w:t>% of</w:t>
            </w:r>
          </w:p>
        </w:tc>
        <w:tc>
          <w:tcPr>
            <w:tcW w:w="3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0" w:type="dxa"/>
            <w:vAlign w:val="bottom"/>
          </w:tcPr>
          <w:p>
            <w:pPr>
              <w:jc w:val="center"/>
              <w:spacing w:after="0" w:line="133" w:lineRule="exact"/>
              <w:rPr>
                <w:sz w:val="20"/>
                <w:szCs w:val="20"/>
                <w:color w:val="auto"/>
              </w:rPr>
            </w:pPr>
            <w:r>
              <w:rPr>
                <w:rFonts w:ascii="Arial" w:cs="Arial" w:eastAsia="Arial" w:hAnsi="Arial"/>
                <w:sz w:val="13"/>
                <w:szCs w:val="13"/>
                <w:b w:val="1"/>
                <w:bCs w:val="1"/>
                <w:color w:val="auto"/>
              </w:rPr>
              <w:t>% of</w:t>
            </w:r>
          </w:p>
        </w:tc>
        <w:tc>
          <w:tcPr>
            <w:tcW w:w="2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0" w:type="dxa"/>
            <w:vAlign w:val="bottom"/>
          </w:tcPr>
          <w:p>
            <w:pPr>
              <w:jc w:val="center"/>
              <w:spacing w:after="0" w:line="133" w:lineRule="exact"/>
              <w:rPr>
                <w:sz w:val="20"/>
                <w:szCs w:val="20"/>
                <w:color w:val="auto"/>
              </w:rPr>
            </w:pPr>
            <w:r>
              <w:rPr>
                <w:rFonts w:ascii="Arial" w:cs="Arial" w:eastAsia="Arial" w:hAnsi="Arial"/>
                <w:sz w:val="14"/>
                <w:szCs w:val="14"/>
                <w:b w:val="1"/>
                <w:bCs w:val="1"/>
                <w:color w:val="auto"/>
              </w:rPr>
              <w:t>% of</w:t>
            </w:r>
          </w:p>
        </w:tc>
        <w:tc>
          <w:tcPr>
            <w:tcW w:w="3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20" w:type="dxa"/>
            <w:vAlign w:val="bottom"/>
          </w:tcPr>
          <w:p>
            <w:pPr>
              <w:jc w:val="center"/>
              <w:spacing w:after="0" w:line="133" w:lineRule="exact"/>
              <w:rPr>
                <w:sz w:val="20"/>
                <w:szCs w:val="20"/>
                <w:color w:val="auto"/>
              </w:rPr>
            </w:pPr>
            <w:r>
              <w:rPr>
                <w:rFonts w:ascii="Arial" w:cs="Arial" w:eastAsia="Arial" w:hAnsi="Arial"/>
                <w:sz w:val="13"/>
                <w:szCs w:val="13"/>
                <w:b w:val="1"/>
                <w:bCs w:val="1"/>
                <w:color w:val="auto"/>
              </w:rPr>
              <w:t>% of</w:t>
            </w:r>
          </w:p>
        </w:tc>
        <w:tc>
          <w:tcPr>
            <w:tcW w:w="2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20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80" w:type="dxa"/>
            <w:vAlign w:val="bottom"/>
            <w:gridSpan w:val="2"/>
            <w:vMerge w:val="restart"/>
          </w:tcPr>
          <w:p>
            <w:pPr>
              <w:jc w:val="right"/>
              <w:ind w:right="420"/>
              <w:spacing w:after="0"/>
              <w:rPr>
                <w:sz w:val="20"/>
                <w:szCs w:val="20"/>
                <w:color w:val="auto"/>
              </w:rPr>
            </w:pPr>
            <w:r>
              <w:rPr>
                <w:rFonts w:ascii="Arial" w:cs="Arial" w:eastAsia="Arial" w:hAnsi="Arial"/>
                <w:sz w:val="14"/>
                <w:szCs w:val="14"/>
                <w:b w:val="1"/>
                <w:bCs w:val="1"/>
                <w:color w:val="auto"/>
              </w:rPr>
              <w:t>Amount</w:t>
            </w:r>
          </w:p>
        </w:tc>
        <w:tc>
          <w:tcPr>
            <w:tcW w:w="800" w:type="dxa"/>
            <w:vAlign w:val="bottom"/>
          </w:tcPr>
          <w:p>
            <w:pPr>
              <w:jc w:val="center"/>
              <w:spacing w:after="0"/>
              <w:rPr>
                <w:sz w:val="20"/>
                <w:szCs w:val="20"/>
                <w:color w:val="auto"/>
              </w:rPr>
            </w:pPr>
            <w:r>
              <w:rPr>
                <w:rFonts w:ascii="Arial" w:cs="Arial" w:eastAsia="Arial" w:hAnsi="Arial"/>
                <w:sz w:val="13"/>
                <w:szCs w:val="13"/>
                <w:b w:val="1"/>
                <w:bCs w:val="1"/>
                <w:color w:val="auto"/>
                <w:w w:val="93"/>
              </w:rPr>
              <w:t>Segment Net</w:t>
            </w:r>
          </w:p>
        </w:tc>
        <w:tc>
          <w:tcPr>
            <w:tcW w:w="3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0" w:type="dxa"/>
            <w:vAlign w:val="bottom"/>
          </w:tcPr>
          <w:p>
            <w:pPr>
              <w:jc w:val="center"/>
              <w:spacing w:after="0"/>
              <w:rPr>
                <w:sz w:val="20"/>
                <w:szCs w:val="20"/>
                <w:color w:val="auto"/>
              </w:rPr>
            </w:pPr>
            <w:r>
              <w:rPr>
                <w:rFonts w:ascii="Arial" w:cs="Arial" w:eastAsia="Arial" w:hAnsi="Arial"/>
                <w:sz w:val="13"/>
                <w:szCs w:val="13"/>
                <w:b w:val="1"/>
                <w:bCs w:val="1"/>
                <w:color w:val="auto"/>
                <w:w w:val="90"/>
              </w:rPr>
              <w:t>Segment Net</w:t>
            </w: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80" w:type="dxa"/>
            <w:vAlign w:val="bottom"/>
            <w:gridSpan w:val="2"/>
            <w:vMerge w:val="restart"/>
          </w:tcPr>
          <w:p>
            <w:pPr>
              <w:jc w:val="right"/>
              <w:ind w:right="348"/>
              <w:spacing w:after="0"/>
              <w:rPr>
                <w:sz w:val="20"/>
                <w:szCs w:val="20"/>
                <w:color w:val="auto"/>
              </w:rPr>
            </w:pPr>
            <w:r>
              <w:rPr>
                <w:rFonts w:ascii="Arial" w:cs="Arial" w:eastAsia="Arial" w:hAnsi="Arial"/>
                <w:sz w:val="14"/>
                <w:szCs w:val="14"/>
                <w:b w:val="1"/>
                <w:bCs w:val="1"/>
                <w:color w:val="auto"/>
              </w:rPr>
              <w:t>Amount</w:t>
            </w:r>
          </w:p>
        </w:tc>
        <w:tc>
          <w:tcPr>
            <w:tcW w:w="8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1"/>
              </w:rPr>
              <w:t>Segment Net</w:t>
            </w:r>
          </w:p>
        </w:tc>
        <w:tc>
          <w:tcPr>
            <w:tcW w:w="3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20" w:type="dxa"/>
            <w:vAlign w:val="bottom"/>
          </w:tcPr>
          <w:p>
            <w:pPr>
              <w:jc w:val="center"/>
              <w:spacing w:after="0"/>
              <w:rPr>
                <w:sz w:val="20"/>
                <w:szCs w:val="20"/>
                <w:color w:val="auto"/>
              </w:rPr>
            </w:pPr>
            <w:r>
              <w:rPr>
                <w:rFonts w:ascii="Arial" w:cs="Arial" w:eastAsia="Arial" w:hAnsi="Arial"/>
                <w:sz w:val="13"/>
                <w:szCs w:val="13"/>
                <w:b w:val="1"/>
                <w:bCs w:val="1"/>
                <w:color w:val="auto"/>
                <w:w w:val="93"/>
              </w:rPr>
              <w:t>Segment Net</w:t>
            </w:r>
          </w:p>
        </w:tc>
        <w:tc>
          <w:tcPr>
            <w:tcW w:w="2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80" w:type="dxa"/>
            <w:vAlign w:val="bottom"/>
            <w:gridSpan w:val="2"/>
            <w:vMerge w:val="continue"/>
          </w:tcPr>
          <w:p>
            <w:pPr>
              <w:spacing w:after="0"/>
              <w:rPr>
                <w:sz w:val="12"/>
                <w:szCs w:val="12"/>
                <w:color w:val="auto"/>
              </w:rPr>
            </w:pPr>
          </w:p>
        </w:tc>
        <w:tc>
          <w:tcPr>
            <w:tcW w:w="800" w:type="dxa"/>
            <w:vAlign w:val="bottom"/>
          </w:tcPr>
          <w:p>
            <w:pPr>
              <w:jc w:val="center"/>
              <w:spacing w:after="0"/>
              <w:rPr>
                <w:sz w:val="20"/>
                <w:szCs w:val="20"/>
                <w:color w:val="auto"/>
              </w:rPr>
            </w:pPr>
            <w:r>
              <w:rPr>
                <w:rFonts w:ascii="Arial" w:cs="Arial" w:eastAsia="Arial" w:hAnsi="Arial"/>
                <w:sz w:val="13"/>
                <w:szCs w:val="13"/>
                <w:b w:val="1"/>
                <w:bCs w:val="1"/>
                <w:color w:val="auto"/>
                <w:w w:val="90"/>
              </w:rPr>
              <w:t>Service</w:t>
            </w:r>
          </w:p>
        </w:tc>
        <w:tc>
          <w:tcPr>
            <w:tcW w:w="3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20" w:type="dxa"/>
            <w:vAlign w:val="bottom"/>
            <w:gridSpan w:val="2"/>
          </w:tcPr>
          <w:p>
            <w:pPr>
              <w:jc w:val="right"/>
              <w:ind w:right="400"/>
              <w:spacing w:after="0"/>
              <w:rPr>
                <w:sz w:val="20"/>
                <w:szCs w:val="20"/>
                <w:color w:val="auto"/>
              </w:rPr>
            </w:pPr>
            <w:r>
              <w:rPr>
                <w:rFonts w:ascii="Arial" w:cs="Arial" w:eastAsia="Arial" w:hAnsi="Arial"/>
                <w:sz w:val="13"/>
                <w:szCs w:val="13"/>
                <w:b w:val="1"/>
                <w:bCs w:val="1"/>
                <w:color w:val="auto"/>
              </w:rPr>
              <w:t>Amount</w:t>
            </w:r>
          </w:p>
        </w:tc>
        <w:tc>
          <w:tcPr>
            <w:tcW w:w="800" w:type="dxa"/>
            <w:vAlign w:val="bottom"/>
          </w:tcPr>
          <w:p>
            <w:pPr>
              <w:jc w:val="center"/>
              <w:spacing w:after="0"/>
              <w:rPr>
                <w:sz w:val="20"/>
                <w:szCs w:val="20"/>
                <w:color w:val="auto"/>
              </w:rPr>
            </w:pPr>
            <w:r>
              <w:rPr>
                <w:rFonts w:ascii="Arial" w:cs="Arial" w:eastAsia="Arial" w:hAnsi="Arial"/>
                <w:sz w:val="13"/>
                <w:szCs w:val="13"/>
                <w:b w:val="1"/>
                <w:bCs w:val="1"/>
                <w:color w:val="auto"/>
                <w:w w:val="90"/>
              </w:rPr>
              <w:t>Service</w:t>
            </w: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80" w:type="dxa"/>
            <w:vAlign w:val="bottom"/>
            <w:gridSpan w:val="2"/>
            <w:vMerge w:val="continue"/>
          </w:tcPr>
          <w:p>
            <w:pPr>
              <w:spacing w:after="0"/>
              <w:rPr>
                <w:sz w:val="12"/>
                <w:szCs w:val="12"/>
                <w:color w:val="auto"/>
              </w:rPr>
            </w:pPr>
          </w:p>
        </w:tc>
        <w:tc>
          <w:tcPr>
            <w:tcW w:w="8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Service</w:t>
            </w:r>
          </w:p>
        </w:tc>
        <w:tc>
          <w:tcPr>
            <w:tcW w:w="3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40" w:type="dxa"/>
            <w:vAlign w:val="bottom"/>
            <w:gridSpan w:val="2"/>
          </w:tcPr>
          <w:p>
            <w:pPr>
              <w:jc w:val="right"/>
              <w:ind w:right="400"/>
              <w:spacing w:after="0"/>
              <w:rPr>
                <w:sz w:val="20"/>
                <w:szCs w:val="20"/>
                <w:color w:val="auto"/>
              </w:rPr>
            </w:pPr>
            <w:r>
              <w:rPr>
                <w:rFonts w:ascii="Arial" w:cs="Arial" w:eastAsia="Arial" w:hAnsi="Arial"/>
                <w:sz w:val="13"/>
                <w:szCs w:val="13"/>
                <w:b w:val="1"/>
                <w:bCs w:val="1"/>
                <w:color w:val="auto"/>
              </w:rPr>
              <w:t>Amount</w:t>
            </w:r>
          </w:p>
        </w:tc>
        <w:tc>
          <w:tcPr>
            <w:tcW w:w="820" w:type="dxa"/>
            <w:vAlign w:val="bottom"/>
          </w:tcPr>
          <w:p>
            <w:pPr>
              <w:jc w:val="center"/>
              <w:spacing w:after="0"/>
              <w:rPr>
                <w:sz w:val="20"/>
                <w:szCs w:val="20"/>
                <w:color w:val="auto"/>
              </w:rPr>
            </w:pPr>
            <w:r>
              <w:rPr>
                <w:rFonts w:ascii="Arial" w:cs="Arial" w:eastAsia="Arial" w:hAnsi="Arial"/>
                <w:sz w:val="13"/>
                <w:szCs w:val="13"/>
                <w:b w:val="1"/>
                <w:bCs w:val="1"/>
                <w:color w:val="auto"/>
                <w:w w:val="90"/>
              </w:rPr>
              <w:t>Service</w:t>
            </w:r>
          </w:p>
        </w:tc>
        <w:tc>
          <w:tcPr>
            <w:tcW w:w="2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060" w:type="dxa"/>
            <w:vAlign w:val="bottom"/>
          </w:tcPr>
          <w:p>
            <w:pPr>
              <w:spacing w:after="0"/>
              <w:rPr>
                <w:sz w:val="14"/>
                <w:szCs w:val="14"/>
                <w:color w:val="auto"/>
              </w:rPr>
            </w:pPr>
          </w:p>
        </w:tc>
        <w:tc>
          <w:tcPr>
            <w:tcW w:w="1260" w:type="dxa"/>
            <w:vAlign w:val="bottom"/>
            <w:gridSpan w:val="4"/>
          </w:tcPr>
          <w:p>
            <w:pPr>
              <w:ind w:left="120"/>
              <w:spacing w:after="0"/>
              <w:rPr>
                <w:sz w:val="20"/>
                <w:szCs w:val="20"/>
                <w:color w:val="auto"/>
              </w:rPr>
            </w:pPr>
            <w:r>
              <w:rPr>
                <w:rFonts w:ascii="Arial" w:cs="Arial" w:eastAsia="Arial" w:hAnsi="Arial"/>
                <w:sz w:val="14"/>
                <w:szCs w:val="14"/>
                <w:b w:val="1"/>
                <w:bCs w:val="1"/>
                <w:color w:val="auto"/>
              </w:rPr>
              <w:t>(in Thousands)</w:t>
            </w:r>
          </w:p>
        </w:tc>
        <w:tc>
          <w:tcPr>
            <w:tcW w:w="800" w:type="dxa"/>
            <w:vAlign w:val="bottom"/>
          </w:tcPr>
          <w:p>
            <w:pPr>
              <w:jc w:val="center"/>
              <w:spacing w:after="0"/>
              <w:rPr>
                <w:sz w:val="20"/>
                <w:szCs w:val="20"/>
                <w:color w:val="auto"/>
              </w:rPr>
            </w:pPr>
            <w:r>
              <w:rPr>
                <w:rFonts w:ascii="Arial" w:cs="Arial" w:eastAsia="Arial" w:hAnsi="Arial"/>
                <w:sz w:val="13"/>
                <w:szCs w:val="13"/>
                <w:b w:val="1"/>
                <w:bCs w:val="1"/>
                <w:color w:val="auto"/>
                <w:w w:val="87"/>
              </w:rPr>
              <w:t>Revenues</w:t>
            </w:r>
          </w:p>
        </w:tc>
        <w:tc>
          <w:tcPr>
            <w:tcW w:w="360" w:type="dxa"/>
            <w:vAlign w:val="bottom"/>
          </w:tcPr>
          <w:p>
            <w:pPr>
              <w:spacing w:after="0"/>
              <w:rPr>
                <w:sz w:val="14"/>
                <w:szCs w:val="14"/>
                <w:color w:val="auto"/>
              </w:rPr>
            </w:pPr>
          </w:p>
        </w:tc>
        <w:tc>
          <w:tcPr>
            <w:tcW w:w="1080" w:type="dxa"/>
            <w:vAlign w:val="bottom"/>
            <w:gridSpan w:val="3"/>
          </w:tcPr>
          <w:p>
            <w:pPr>
              <w:ind w:left="20"/>
              <w:spacing w:after="0"/>
              <w:rPr>
                <w:sz w:val="20"/>
                <w:szCs w:val="20"/>
                <w:color w:val="auto"/>
              </w:rPr>
            </w:pPr>
            <w:r>
              <w:rPr>
                <w:rFonts w:ascii="Arial" w:cs="Arial" w:eastAsia="Arial" w:hAnsi="Arial"/>
                <w:sz w:val="13"/>
                <w:szCs w:val="13"/>
                <w:b w:val="1"/>
                <w:bCs w:val="1"/>
                <w:color w:val="auto"/>
              </w:rPr>
              <w:t>(in Thousands)</w:t>
            </w:r>
          </w:p>
        </w:tc>
        <w:tc>
          <w:tcPr>
            <w:tcW w:w="800" w:type="dxa"/>
            <w:vAlign w:val="bottom"/>
          </w:tcPr>
          <w:p>
            <w:pPr>
              <w:jc w:val="center"/>
              <w:spacing w:after="0"/>
              <w:rPr>
                <w:sz w:val="20"/>
                <w:szCs w:val="20"/>
                <w:color w:val="auto"/>
              </w:rPr>
            </w:pPr>
            <w:r>
              <w:rPr>
                <w:rFonts w:ascii="Arial" w:cs="Arial" w:eastAsia="Arial" w:hAnsi="Arial"/>
                <w:sz w:val="13"/>
                <w:szCs w:val="13"/>
                <w:b w:val="1"/>
                <w:bCs w:val="1"/>
                <w:color w:val="auto"/>
                <w:w w:val="91"/>
              </w:rPr>
              <w:t>Revenues</w:t>
            </w:r>
          </w:p>
        </w:tc>
        <w:tc>
          <w:tcPr>
            <w:tcW w:w="280" w:type="dxa"/>
            <w:vAlign w:val="bottom"/>
          </w:tcPr>
          <w:p>
            <w:pPr>
              <w:spacing w:after="0"/>
              <w:rPr>
                <w:sz w:val="14"/>
                <w:szCs w:val="14"/>
                <w:color w:val="auto"/>
              </w:rPr>
            </w:pPr>
          </w:p>
        </w:tc>
        <w:tc>
          <w:tcPr>
            <w:tcW w:w="1240" w:type="dxa"/>
            <w:vAlign w:val="bottom"/>
            <w:gridSpan w:val="4"/>
          </w:tcPr>
          <w:p>
            <w:pPr>
              <w:ind w:left="100"/>
              <w:spacing w:after="0"/>
              <w:rPr>
                <w:sz w:val="20"/>
                <w:szCs w:val="20"/>
                <w:color w:val="auto"/>
              </w:rPr>
            </w:pPr>
            <w:r>
              <w:rPr>
                <w:rFonts w:ascii="Arial" w:cs="Arial" w:eastAsia="Arial" w:hAnsi="Arial"/>
                <w:sz w:val="14"/>
                <w:szCs w:val="14"/>
                <w:b w:val="1"/>
                <w:bCs w:val="1"/>
                <w:color w:val="auto"/>
              </w:rPr>
              <w:t>(in Thousands)</w:t>
            </w:r>
          </w:p>
        </w:tc>
        <w:tc>
          <w:tcPr>
            <w:tcW w:w="800" w:type="dxa"/>
            <w:vAlign w:val="bottom"/>
          </w:tcPr>
          <w:p>
            <w:pPr>
              <w:jc w:val="center"/>
              <w:spacing w:after="0"/>
              <w:rPr>
                <w:sz w:val="20"/>
                <w:szCs w:val="20"/>
                <w:color w:val="auto"/>
              </w:rPr>
            </w:pPr>
            <w:r>
              <w:rPr>
                <w:rFonts w:ascii="Arial" w:cs="Arial" w:eastAsia="Arial" w:hAnsi="Arial"/>
                <w:sz w:val="14"/>
                <w:szCs w:val="14"/>
                <w:b w:val="1"/>
                <w:bCs w:val="1"/>
                <w:color w:val="auto"/>
                <w:w w:val="87"/>
              </w:rPr>
              <w:t>Revenues</w:t>
            </w:r>
          </w:p>
        </w:tc>
        <w:tc>
          <w:tcPr>
            <w:tcW w:w="320" w:type="dxa"/>
            <w:vAlign w:val="bottom"/>
          </w:tcPr>
          <w:p>
            <w:pPr>
              <w:spacing w:after="0"/>
              <w:rPr>
                <w:sz w:val="14"/>
                <w:szCs w:val="14"/>
                <w:color w:val="auto"/>
              </w:rPr>
            </w:pPr>
          </w:p>
        </w:tc>
        <w:tc>
          <w:tcPr>
            <w:tcW w:w="1140" w:type="dxa"/>
            <w:vAlign w:val="bottom"/>
            <w:gridSpan w:val="4"/>
          </w:tcPr>
          <w:p>
            <w:pPr>
              <w:jc w:val="right"/>
              <w:ind w:right="200"/>
              <w:spacing w:after="0"/>
              <w:rPr>
                <w:sz w:val="20"/>
                <w:szCs w:val="20"/>
                <w:color w:val="auto"/>
              </w:rPr>
            </w:pPr>
            <w:r>
              <w:rPr>
                <w:rFonts w:ascii="Arial" w:cs="Arial" w:eastAsia="Arial" w:hAnsi="Arial"/>
                <w:sz w:val="13"/>
                <w:szCs w:val="13"/>
                <w:b w:val="1"/>
                <w:bCs w:val="1"/>
                <w:color w:val="auto"/>
                <w:w w:val="98"/>
              </w:rPr>
              <w:t>(in Thousands)</w:t>
            </w:r>
          </w:p>
        </w:tc>
        <w:tc>
          <w:tcPr>
            <w:tcW w:w="820" w:type="dxa"/>
            <w:vAlign w:val="bottom"/>
          </w:tcPr>
          <w:p>
            <w:pPr>
              <w:jc w:val="center"/>
              <w:spacing w:after="0"/>
              <w:rPr>
                <w:sz w:val="20"/>
                <w:szCs w:val="20"/>
                <w:color w:val="auto"/>
              </w:rPr>
            </w:pPr>
            <w:r>
              <w:rPr>
                <w:rFonts w:ascii="Arial" w:cs="Arial" w:eastAsia="Arial" w:hAnsi="Arial"/>
                <w:sz w:val="13"/>
                <w:szCs w:val="13"/>
                <w:b w:val="1"/>
                <w:bCs w:val="1"/>
                <w:color w:val="auto"/>
                <w:w w:val="87"/>
              </w:rPr>
              <w:t>Revenues</w:t>
            </w:r>
          </w:p>
        </w:tc>
        <w:tc>
          <w:tcPr>
            <w:tcW w:w="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20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New Mexico</w:t>
            </w:r>
          </w:p>
        </w:tc>
        <w:tc>
          <w:tcPr>
            <w:tcW w:w="12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bottom w:val="single" w:sz="8" w:color="auto"/>
            </w:tcBorders>
            <w:shd w:val="clear" w:color="auto" w:fill="CFF0FC"/>
          </w:tcPr>
          <w:p>
            <w:pPr>
              <w:spacing w:after="0"/>
              <w:rPr>
                <w:sz w:val="20"/>
                <w:szCs w:val="20"/>
                <w:color w:val="auto"/>
              </w:rPr>
            </w:pPr>
            <w:r>
              <w:rPr>
                <w:rFonts w:ascii="Arial" w:cs="Arial" w:eastAsia="Arial" w:hAnsi="Arial"/>
                <w:sz w:val="18"/>
                <w:szCs w:val="18"/>
                <w:color w:val="auto"/>
              </w:rPr>
              <w:t>$</w:t>
            </w:r>
          </w:p>
        </w:tc>
        <w:tc>
          <w:tcPr>
            <w:tcW w:w="7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3,783</w:t>
            </w:r>
          </w:p>
        </w:tc>
        <w:tc>
          <w:tcPr>
            <w:tcW w:w="200" w:type="dxa"/>
            <w:vAlign w:val="bottom"/>
            <w:tcBorders>
              <w:top w:val="single" w:sz="8" w:color="CFF0FC"/>
            </w:tcBorders>
            <w:shd w:val="clear" w:color="auto" w:fill="CFF0FC"/>
          </w:tcPr>
          <w:p>
            <w:pPr>
              <w:spacing w:after="0"/>
              <w:rPr>
                <w:sz w:val="19"/>
                <w:szCs w:val="19"/>
                <w:color w:val="auto"/>
              </w:rPr>
            </w:pPr>
          </w:p>
        </w:tc>
        <w:tc>
          <w:tcPr>
            <w:tcW w:w="8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100.0</w:t>
            </w:r>
          </w:p>
        </w:tc>
        <w:tc>
          <w:tcPr>
            <w:tcW w:w="360" w:type="dxa"/>
            <w:vAlign w:val="bottom"/>
            <w:tcBorders>
              <w:top w:val="single" w:sz="8" w:color="CFF0FC"/>
            </w:tcBorders>
            <w:shd w:val="clear" w:color="auto" w:fill="CFF0FC"/>
          </w:tcPr>
          <w:p>
            <w:pPr>
              <w:jc w:val="right"/>
              <w:ind w:right="10"/>
              <w:spacing w:after="0"/>
              <w:rPr>
                <w:sz w:val="20"/>
                <w:szCs w:val="20"/>
                <w:color w:val="auto"/>
              </w:rPr>
            </w:pPr>
            <w:r>
              <w:rPr>
                <w:rFonts w:ascii="Arial" w:cs="Arial" w:eastAsia="Arial" w:hAnsi="Arial"/>
                <w:sz w:val="18"/>
                <w:szCs w:val="18"/>
                <w:color w:val="auto"/>
              </w:rPr>
              <w:t>%</w:t>
            </w:r>
          </w:p>
        </w:tc>
        <w:tc>
          <w:tcPr>
            <w:tcW w:w="160" w:type="dxa"/>
            <w:vAlign w:val="bottom"/>
            <w:tcBorders>
              <w:top w:val="single" w:sz="8" w:color="auto"/>
              <w:bottom w:val="single" w:sz="8" w:color="auto"/>
            </w:tcBorders>
            <w:shd w:val="clear" w:color="auto" w:fill="CFF0FC"/>
          </w:tcPr>
          <w:p>
            <w:pPr>
              <w:ind w:left="20"/>
              <w:spacing w:after="0"/>
              <w:rPr>
                <w:sz w:val="20"/>
                <w:szCs w:val="20"/>
                <w:color w:val="auto"/>
              </w:rPr>
            </w:pPr>
            <w:r>
              <w:rPr>
                <w:rFonts w:ascii="Arial" w:cs="Arial" w:eastAsia="Arial" w:hAnsi="Arial"/>
                <w:sz w:val="18"/>
                <w:szCs w:val="18"/>
                <w:color w:val="auto"/>
              </w:rPr>
              <w:t>$</w:t>
            </w:r>
          </w:p>
        </w:tc>
        <w:tc>
          <w:tcPr>
            <w:tcW w:w="7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3,001</w:t>
            </w:r>
          </w:p>
        </w:tc>
        <w:tc>
          <w:tcPr>
            <w:tcW w:w="200" w:type="dxa"/>
            <w:vAlign w:val="bottom"/>
            <w:tcBorders>
              <w:top w:val="single" w:sz="8" w:color="CFF0FC"/>
            </w:tcBorders>
            <w:shd w:val="clear" w:color="auto" w:fill="CFF0FC"/>
          </w:tcPr>
          <w:p>
            <w:pPr>
              <w:spacing w:after="0"/>
              <w:rPr>
                <w:sz w:val="19"/>
                <w:szCs w:val="19"/>
                <w:color w:val="auto"/>
              </w:rPr>
            </w:pPr>
          </w:p>
        </w:tc>
        <w:tc>
          <w:tcPr>
            <w:tcW w:w="8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100.0</w:t>
            </w:r>
          </w:p>
        </w:tc>
        <w:tc>
          <w:tcPr>
            <w:tcW w:w="280" w:type="dxa"/>
            <w:vAlign w:val="bottom"/>
            <w:tcBorders>
              <w:top w:val="single" w:sz="8" w:color="CFF0FC"/>
            </w:tcBorders>
            <w:shd w:val="clear" w:color="auto" w:fill="CFF0FC"/>
          </w:tcPr>
          <w:p>
            <w:pPr>
              <w:jc w:val="center"/>
              <w:ind w:left="10"/>
              <w:spacing w:after="0"/>
              <w:rPr>
                <w:sz w:val="20"/>
                <w:szCs w:val="20"/>
                <w:color w:val="auto"/>
              </w:rPr>
            </w:pPr>
            <w:r>
              <w:rPr>
                <w:rFonts w:ascii="Arial" w:cs="Arial" w:eastAsia="Arial" w:hAnsi="Arial"/>
                <w:sz w:val="18"/>
                <w:szCs w:val="18"/>
                <w:color w:val="auto"/>
                <w:w w:val="87"/>
              </w:rPr>
              <w:t>%</w:t>
            </w:r>
          </w:p>
        </w:tc>
        <w:tc>
          <w:tcPr>
            <w:tcW w:w="100" w:type="dxa"/>
            <w:vAlign w:val="bottom"/>
          </w:tcPr>
          <w:p>
            <w:pPr>
              <w:spacing w:after="0"/>
              <w:rPr>
                <w:sz w:val="19"/>
                <w:szCs w:val="19"/>
                <w:color w:val="auto"/>
              </w:rPr>
            </w:pPr>
          </w:p>
        </w:tc>
        <w:tc>
          <w:tcPr>
            <w:tcW w:w="160" w:type="dxa"/>
            <w:vAlign w:val="bottom"/>
            <w:tcBorders>
              <w:top w:val="single" w:sz="8" w:color="auto"/>
              <w:bottom w:val="single" w:sz="8" w:color="auto"/>
            </w:tcBorders>
            <w:shd w:val="clear" w:color="auto" w:fill="CFF0FC"/>
          </w:tcPr>
          <w:p>
            <w:pPr>
              <w:spacing w:after="0"/>
              <w:rPr>
                <w:sz w:val="20"/>
                <w:szCs w:val="20"/>
                <w:color w:val="auto"/>
              </w:rPr>
            </w:pPr>
            <w:r>
              <w:rPr>
                <w:rFonts w:ascii="Arial" w:cs="Arial" w:eastAsia="Arial" w:hAnsi="Arial"/>
                <w:sz w:val="18"/>
                <w:szCs w:val="18"/>
                <w:color w:val="auto"/>
              </w:rPr>
              <w:t>$</w:t>
            </w:r>
          </w:p>
        </w:tc>
        <w:tc>
          <w:tcPr>
            <w:tcW w:w="7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8,122</w:t>
            </w:r>
          </w:p>
        </w:tc>
        <w:tc>
          <w:tcPr>
            <w:tcW w:w="200" w:type="dxa"/>
            <w:vAlign w:val="bottom"/>
            <w:tcBorders>
              <w:top w:val="single" w:sz="8" w:color="CFF0FC"/>
            </w:tcBorders>
            <w:shd w:val="clear" w:color="auto" w:fill="CFF0FC"/>
          </w:tcPr>
          <w:p>
            <w:pPr>
              <w:spacing w:after="0"/>
              <w:rPr>
                <w:sz w:val="19"/>
                <w:szCs w:val="19"/>
                <w:color w:val="auto"/>
              </w:rPr>
            </w:pPr>
          </w:p>
        </w:tc>
        <w:tc>
          <w:tcPr>
            <w:tcW w:w="8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100.0</w:t>
            </w:r>
          </w:p>
        </w:tc>
        <w:tc>
          <w:tcPr>
            <w:tcW w:w="320" w:type="dxa"/>
            <w:vAlign w:val="bottom"/>
            <w:tcBorders>
              <w:top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6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5,697</w:t>
            </w:r>
          </w:p>
        </w:tc>
        <w:tc>
          <w:tcPr>
            <w:tcW w:w="200" w:type="dxa"/>
            <w:vAlign w:val="bottom"/>
            <w:tcBorders>
              <w:top w:val="single" w:sz="8" w:color="CFF0FC"/>
            </w:tcBorders>
            <w:shd w:val="clear" w:color="auto" w:fill="CFF0FC"/>
          </w:tcPr>
          <w:p>
            <w:pPr>
              <w:spacing w:after="0"/>
              <w:rPr>
                <w:sz w:val="19"/>
                <w:szCs w:val="19"/>
                <w:color w:val="auto"/>
              </w:rPr>
            </w:pPr>
          </w:p>
        </w:tc>
        <w:tc>
          <w:tcPr>
            <w:tcW w:w="8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100.0</w:t>
            </w:r>
          </w:p>
        </w:tc>
        <w:tc>
          <w:tcPr>
            <w:tcW w:w="280" w:type="dxa"/>
            <w:vAlign w:val="bottom"/>
            <w:tcBorders>
              <w:top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9"/>
        </w:trPr>
        <w:tc>
          <w:tcPr>
            <w:tcW w:w="2060" w:type="dxa"/>
            <w:vAlign w:val="bottom"/>
          </w:tcPr>
          <w:p>
            <w:pPr>
              <w:spacing w:after="0"/>
              <w:rPr>
                <w:sz w:val="20"/>
                <w:szCs w:val="20"/>
                <w:color w:val="auto"/>
              </w:rPr>
            </w:pPr>
            <w:r>
              <w:rPr>
                <w:rFonts w:ascii="Arial" w:cs="Arial" w:eastAsia="Arial" w:hAnsi="Arial"/>
                <w:sz w:val="18"/>
                <w:szCs w:val="18"/>
                <w:color w:val="auto"/>
                <w:w w:val="93"/>
              </w:rPr>
              <w:t>Total home health segment</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60" w:type="dxa"/>
            <w:vAlign w:val="bottom"/>
          </w:tcPr>
          <w:p>
            <w:pPr>
              <w:spacing w:after="0"/>
              <w:rPr>
                <w:sz w:val="20"/>
                <w:szCs w:val="20"/>
                <w:color w:val="auto"/>
              </w:rPr>
            </w:pPr>
            <w:r>
              <w:rPr>
                <w:rFonts w:ascii="Arial" w:cs="Arial" w:eastAsia="Arial" w:hAnsi="Arial"/>
                <w:sz w:val="18"/>
                <w:szCs w:val="18"/>
                <w:color w:val="auto"/>
              </w:rPr>
              <w:t>net service revenues</w:t>
            </w:r>
          </w:p>
        </w:tc>
        <w:tc>
          <w:tcPr>
            <w:tcW w:w="28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3,783</w:t>
            </w:r>
          </w:p>
        </w:tc>
        <w:tc>
          <w:tcPr>
            <w:tcW w:w="20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100.0</w:t>
            </w:r>
          </w:p>
        </w:tc>
        <w:tc>
          <w:tcPr>
            <w:tcW w:w="36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60" w:type="dxa"/>
            <w:vAlign w:val="bottom"/>
          </w:tcPr>
          <w:p>
            <w:pPr>
              <w:ind w:left="20"/>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3,001</w:t>
            </w:r>
          </w:p>
        </w:tc>
        <w:tc>
          <w:tcPr>
            <w:tcW w:w="20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100.0</w:t>
            </w:r>
          </w:p>
        </w:tc>
        <w:tc>
          <w:tcPr>
            <w:tcW w:w="280" w:type="dxa"/>
            <w:vAlign w:val="bottom"/>
          </w:tcPr>
          <w:p>
            <w:pPr>
              <w:jc w:val="center"/>
              <w:ind w:left="10"/>
              <w:spacing w:after="0"/>
              <w:rPr>
                <w:sz w:val="20"/>
                <w:szCs w:val="20"/>
                <w:color w:val="auto"/>
              </w:rPr>
            </w:pPr>
            <w:r>
              <w:rPr>
                <w:rFonts w:ascii="Arial" w:cs="Arial" w:eastAsia="Arial" w:hAnsi="Arial"/>
                <w:sz w:val="18"/>
                <w:szCs w:val="18"/>
                <w:color w:val="auto"/>
                <w:w w:val="87"/>
              </w:rPr>
              <w:t>%</w:t>
            </w:r>
          </w:p>
        </w:tc>
        <w:tc>
          <w:tcPr>
            <w:tcW w:w="260" w:type="dxa"/>
            <w:vAlign w:val="bottom"/>
            <w:gridSpan w:val="2"/>
          </w:tcPr>
          <w:p>
            <w:pPr>
              <w:ind w:left="100"/>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8,122</w:t>
            </w:r>
          </w:p>
        </w:tc>
        <w:tc>
          <w:tcPr>
            <w:tcW w:w="20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100.0</w:t>
            </w:r>
          </w:p>
        </w:tc>
        <w:tc>
          <w:tcPr>
            <w:tcW w:w="32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5,697</w:t>
            </w:r>
          </w:p>
        </w:tc>
        <w:tc>
          <w:tcPr>
            <w:tcW w:w="20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100.0</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20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8" w:lineRule="exact"/>
        <w:rPr>
          <w:sz w:val="20"/>
          <w:szCs w:val="20"/>
          <w:color w:val="auto"/>
        </w:rPr>
      </w:pPr>
    </w:p>
    <w:p>
      <w:pPr>
        <w:ind w:right="100" w:firstLine="476"/>
        <w:spacing w:after="0" w:line="293" w:lineRule="auto"/>
        <w:rPr>
          <w:sz w:val="20"/>
          <w:szCs w:val="20"/>
          <w:color w:val="auto"/>
        </w:rPr>
      </w:pPr>
      <w:r>
        <w:rPr>
          <w:rFonts w:ascii="Arial" w:cs="Arial" w:eastAsia="Arial" w:hAnsi="Arial"/>
          <w:sz w:val="16"/>
          <w:szCs w:val="16"/>
          <w:color w:val="auto"/>
        </w:rPr>
        <w:t>A substantial portion of the Company’s revenue and accounts receivable are derived from services performed for federal, state and local governmental agencies. We derive a significant amount of our net service revenues in Illinois, which represented 37.4%, and 39.6% of our net service revenues for the three months ended June 30, 2020, and 2019, respectively and accounted for 37.5% and 40.3% of our net service revenues for the six months ended June 30, 2020 and 2019, respectively. The Illinois Department on Aging, the largest payor program for the Company’s Illinois personal care operations, accounted for 23.2% and 27.6% of the Company’s net service revenues for the three months ended June 30, 2020 and 2019, respectively, and accounted for 23.2% and 28.3% of the Company’s net service revenues for the six months ended June 30, 2020 and 2019, respectively.</w:t>
      </w:r>
    </w:p>
    <w:p>
      <w:pPr>
        <w:spacing w:after="0" w:line="110" w:lineRule="exact"/>
        <w:rPr>
          <w:sz w:val="20"/>
          <w:szCs w:val="20"/>
          <w:color w:val="auto"/>
        </w:rPr>
      </w:pPr>
    </w:p>
    <w:p>
      <w:pPr>
        <w:ind w:right="540" w:firstLine="476"/>
        <w:spacing w:after="0" w:line="277" w:lineRule="auto"/>
        <w:rPr>
          <w:sz w:val="20"/>
          <w:szCs w:val="20"/>
          <w:color w:val="auto"/>
        </w:rPr>
      </w:pPr>
      <w:r>
        <w:rPr>
          <w:rFonts w:ascii="Arial" w:cs="Arial" w:eastAsia="Arial" w:hAnsi="Arial"/>
          <w:sz w:val="18"/>
          <w:szCs w:val="18"/>
          <w:color w:val="auto"/>
        </w:rPr>
        <w:t>The related receivables due from the Illinois Department on Aging represented 23.0% and 25.1% of the Company’s net accounts receivable at June 30, 2020 and December 31, 2019, respectively.</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 Subsequent Events</w:t>
      </w:r>
    </w:p>
    <w:p>
      <w:pPr>
        <w:spacing w:after="0" w:line="94" w:lineRule="exact"/>
        <w:rPr>
          <w:sz w:val="20"/>
          <w:szCs w:val="20"/>
          <w:color w:val="auto"/>
        </w:rPr>
      </w:pPr>
    </w:p>
    <w:p>
      <w:pPr>
        <w:jc w:val="both"/>
        <w:ind w:right="280" w:firstLine="476"/>
        <w:spacing w:after="0" w:line="263" w:lineRule="auto"/>
        <w:rPr>
          <w:sz w:val="20"/>
          <w:szCs w:val="20"/>
          <w:color w:val="auto"/>
        </w:rPr>
      </w:pPr>
      <w:r>
        <w:rPr>
          <w:rFonts w:ascii="Arial" w:cs="Arial" w:eastAsia="Arial" w:hAnsi="Arial"/>
          <w:sz w:val="18"/>
          <w:szCs w:val="18"/>
          <w:color w:val="auto"/>
        </w:rPr>
        <w:t>On July 1, 2020, we completed the acquisition of A Plus Health Care, Inc. (“A Plus”) for approximately $12.2 million, with funding provided by cash on hand. With the purchase of A Plus, we expanded our personal care services in the state of Montana. The Company is currently assessing the fair value of identifiable net assets acquired.</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223520</wp:posOffset>
            </wp:positionV>
            <wp:extent cx="713232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94" w:lineRule="exact"/>
        <w:rPr>
          <w:sz w:val="20"/>
          <w:szCs w:val="20"/>
          <w:color w:val="auto"/>
        </w:rPr>
      </w:pPr>
    </w:p>
    <w:p>
      <w:pPr>
        <w:spacing w:after="0" w:line="283" w:lineRule="auto"/>
        <w:rPr>
          <w:sz w:val="20"/>
          <w:szCs w:val="20"/>
          <w:color w:val="auto"/>
        </w:rPr>
      </w:pPr>
      <w:r>
        <w:rPr>
          <w:rFonts w:ascii="Arial" w:cs="Arial" w:eastAsia="Arial" w:hAnsi="Arial"/>
          <w:sz w:val="16"/>
          <w:szCs w:val="16"/>
          <w:i w:val="1"/>
          <w:iCs w:val="1"/>
          <w:color w:val="auto"/>
        </w:rPr>
        <w:t>You should read the following discussion together with our unaudited condensed consolidated financial statements and the related notes included elsewhere in this quarterly report on Form 10-Q. This discussion contains forward-looking statements about our business and operations. Statements that are predictive in nature, that depend upon or refer to future events or conditions or that include words like “believes,” “belief,” “expects,” “plans,” “anticipates,” “intends,” “projects,” “estimates,” “may,” “might,” “would,” “should” and similar expressions are intended to be forward-looking statements as defined by the Private Securities Litigation Reform Act of 1995. These statements are based on the beliefs and assumptions of our management based on information currently available to management. Such forward-looking statements are subject to risks, uncertainties and other important factors that could cause actual results and the timing of certain events to differ materially from future results expressed or implied by such forward-looking statements. These risks and uncertainties include, but are not limited to, the anticipated impact to our business operations with respect to developments related to the COVID-19 pandemic, including, without limitation, those related to the length and severity of the pandemic; its impact on our business operations, reimbursement and our consumer population; measures we are taking to respond to the pandemic; the impact of government regulation and stimulus measures, including the Coronavirus Aid, Relief, and Economic Security Act (“CARES Act”), Paycheck Protection Program and Health Care Enhancement Act (“PPPHCE Act”) and other enacted legislation; increased expenses related to personal protective equipment, labor, supply chain, or other expenditures; and workforce disruptions and supply shortages and disruptions; uncertainty regarding the implementation of the CARES Act, the PPPHCE Act, and any other future stimulus measures related to COVID-19; changes in operational and reimbursement processes and payment structures at the state or federal levels; changes in Medicaid, Medicare, other government program and managed care organizations policies and payment rates; changes in, or our failure to comply with, existing, federal and state laws or regulations, or our failure to comply with new government laws or regulations on a timely basis; competition in the healthcare industry; the geographical concentration of our operations; changes in the case mix of consumers and payment methodologies; operational changes resulting from the assumption by managed care organizations of responsibility for managing and paying for our services to consumers; the nature and success of future financial and/or delivery system reforms; changes in estimates and judgments associated with critical accounting policies; our ability to maintain or establish new referral sources; our ability to renew significant agreements or groups of agreements; our ability to attract and retain qualified personnel; federal, city and state minimum wage pressure, including any failure of Illinois or any other governmental entity to enact a minimum wage offset and/or the timing of any such enactment; changes in payments and covered services due to the overall economic conditions</w:t>
      </w:r>
      <w:r>
        <w:rPr>
          <w:rFonts w:ascii="Arial" w:cs="Arial" w:eastAsia="Arial" w:hAnsi="Arial"/>
          <w:sz w:val="16"/>
          <w:szCs w:val="16"/>
          <w:color w:val="auto"/>
        </w:rPr>
        <w:t>,</w:t>
      </w:r>
      <w:r>
        <w:rPr>
          <w:rFonts w:ascii="Arial" w:cs="Arial" w:eastAsia="Arial" w:hAnsi="Arial"/>
          <w:sz w:val="16"/>
          <w:szCs w:val="16"/>
          <w:i w:val="1"/>
          <w:iCs w:val="1"/>
          <w:color w:val="auto"/>
        </w:rPr>
        <w:t xml:space="preserve"> including economic and business conditions resulting from the COVID-19 pandemic, and deficit spending by federal and state governments; cost containment initiatives undertaken by state and other third-party payors; our ability to access financing through the capital and credit markets; our ability to meet debt service requirements and comply with covenants in debt agreements; business disruptions due to natural disasters, acts of terrorism, pandemics, riots, civil insurrection or social unrest, looting, protests, strikes or street demonstrations; our ability to integrate and manage our information systems; our expectations regarding the size and growth of the market for our services; the acceptance of privatized social services; our expectations regarding changes in reimbursement rates; eligibility standards and limits on services imposed by state governmental agencies; the potential for litigation; discretionary determinations by government officials; our ability to successfully implement our business model to grow our business; our ability to continue identifying, pursuing, consummating and integrating acquisition opportunities and expand into new geographic markets; the impact of acquisitions and dispositions on our business, including the potential inability to realize the benefits of the acquisition of Hospice Partners; the potential impact of the discontinuation or modification of LIBOR; the effectiveness, quality and cost of our services; our ability to successfully execute our growth strategy; changes in tax rates; the impact of public health emergencies; the impact of inclement weather or natural disasters, including the COVID-19 pandemic; and various other matters, many of which are beyond our control. In addition, the risk factors set forth in Part I, Item 1A of our Annual Report on Form 10-K for the period ended December 31, 2019, filed on August 10, 2020 may result in these differences. You should carefully review all of these factors. These forward-looking statements were based on information, plans and estimates at the date of this report, and we assume no obligation to update any forward-looking statements to reflect changes in underlying assumptions or factors, new information, future events or other changes, except as may be required by law.</w:t>
      </w: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Overview</w:t>
      </w:r>
    </w:p>
    <w:p>
      <w:pPr>
        <w:spacing w:after="0" w:line="90" w:lineRule="exact"/>
        <w:rPr>
          <w:sz w:val="20"/>
          <w:szCs w:val="20"/>
          <w:color w:val="auto"/>
        </w:rPr>
      </w:pPr>
    </w:p>
    <w:p>
      <w:pPr>
        <w:ind w:firstLine="476"/>
        <w:spacing w:after="0" w:line="275" w:lineRule="auto"/>
        <w:rPr>
          <w:sz w:val="20"/>
          <w:szCs w:val="20"/>
          <w:color w:val="auto"/>
        </w:rPr>
      </w:pPr>
      <w:r>
        <w:rPr>
          <w:rFonts w:ascii="Arial" w:cs="Arial" w:eastAsia="Arial" w:hAnsi="Arial"/>
          <w:sz w:val="17"/>
          <w:szCs w:val="17"/>
          <w:color w:val="auto"/>
        </w:rPr>
        <w:t>The unaudited condensed consolidated financial statements for the three and six months ended June 30, 2019 have been revised to correct prior period errors as discussed in Note 3, “Revision of Previously Issued Financial Statements” to the Notes to Consolidated Financial Statements and in Note 2, “Revision of Previously Issued Financial Statements” and Note 17, “Unaudited Summarized Quarterly Financial Information” to our consolidated financial statements included in Part II, Item 8—“Financial Statements and Supplementary Data,” of our Annual Report on Form 10-K for the period ended December 31, 2019, filed on August 10, 2020. Accordingly, this MD&amp;A reflects the impact of those revisions.</w:t>
      </w:r>
    </w:p>
    <w:p>
      <w:pPr>
        <w:spacing w:after="0" w:line="122" w:lineRule="exact"/>
        <w:rPr>
          <w:sz w:val="20"/>
          <w:szCs w:val="20"/>
          <w:color w:val="auto"/>
        </w:rPr>
      </w:pPr>
    </w:p>
    <w:p>
      <w:pPr>
        <w:ind w:right="20" w:firstLine="476"/>
        <w:spacing w:after="0" w:line="257" w:lineRule="auto"/>
        <w:rPr>
          <w:sz w:val="20"/>
          <w:szCs w:val="20"/>
          <w:color w:val="auto"/>
        </w:rPr>
      </w:pPr>
      <w:r>
        <w:rPr>
          <w:rFonts w:ascii="Arial" w:cs="Arial" w:eastAsia="Arial" w:hAnsi="Arial"/>
          <w:sz w:val="18"/>
          <w:szCs w:val="18"/>
          <w:color w:val="auto"/>
        </w:rPr>
        <w:t>We are a home care services provider operating in three segments: personal care, hospice, and home health. Our services are provided in-home under agreements with federal, state and local government agencies, managed care organizations, commercial insurers and private individuals. Our consumers are predominantly “dual eligible,” meaning they are eligible to receive both Medicare and Medicaid benefits. Managed care revenues accounted for 38.6% and 36.8% of our revenue during the three months ended June 30, 2020 and 2019, respectively, and 38.8% and 35.9% of our revenue during the six months ended June 30, 2020 and 2019, respectively.</w:t>
      </w:r>
    </w:p>
    <w:p>
      <w:pPr>
        <w:spacing w:after="0" w:line="134" w:lineRule="exact"/>
        <w:rPr>
          <w:sz w:val="20"/>
          <w:szCs w:val="20"/>
          <w:color w:val="auto"/>
        </w:rPr>
      </w:pPr>
    </w:p>
    <w:p>
      <w:pPr>
        <w:ind w:left="480"/>
        <w:spacing w:after="0"/>
        <w:rPr>
          <w:sz w:val="20"/>
          <w:szCs w:val="20"/>
          <w:color w:val="auto"/>
        </w:rPr>
      </w:pPr>
      <w:r>
        <w:rPr>
          <w:rFonts w:ascii="Arial" w:cs="Arial" w:eastAsia="Arial" w:hAnsi="Arial"/>
          <w:sz w:val="18"/>
          <w:szCs w:val="18"/>
          <w:color w:val="auto"/>
        </w:rPr>
        <w:t>A summary of our financial results for the three and six months ended June 30, 2020 and 2019 is provided in the table below.</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520" w:type="dxa"/>
            <w:vAlign w:val="bottom"/>
          </w:tcPr>
          <w:p>
            <w:pPr>
              <w:spacing w:after="0"/>
              <w:rPr>
                <w:sz w:val="14"/>
                <w:szCs w:val="14"/>
                <w:color w:val="auto"/>
              </w:rPr>
            </w:pPr>
          </w:p>
        </w:tc>
        <w:tc>
          <w:tcPr>
            <w:tcW w:w="2320" w:type="dxa"/>
            <w:vAlign w:val="bottom"/>
          </w:tcPr>
          <w:p>
            <w:pPr>
              <w:spacing w:after="0"/>
              <w:rPr>
                <w:sz w:val="14"/>
                <w:szCs w:val="14"/>
                <w:color w:val="auto"/>
              </w:rPr>
            </w:pPr>
          </w:p>
        </w:tc>
        <w:tc>
          <w:tcPr>
            <w:tcW w:w="2760" w:type="dxa"/>
            <w:vAlign w:val="bottom"/>
            <w:gridSpan w:val="6"/>
          </w:tcPr>
          <w:p>
            <w:pPr>
              <w:ind w:left="80"/>
              <w:spacing w:after="0"/>
              <w:rPr>
                <w:sz w:val="20"/>
                <w:szCs w:val="20"/>
                <w:color w:val="auto"/>
              </w:rPr>
            </w:pPr>
            <w:r>
              <w:rPr>
                <w:rFonts w:ascii="Arial" w:cs="Arial" w:eastAsia="Arial" w:hAnsi="Arial"/>
                <w:sz w:val="14"/>
                <w:szCs w:val="14"/>
                <w:b w:val="1"/>
                <w:bCs w:val="1"/>
                <w:color w:val="auto"/>
              </w:rPr>
              <w:t>For the Three Months Ended June 30,</w:t>
            </w:r>
          </w:p>
        </w:tc>
        <w:tc>
          <w:tcPr>
            <w:tcW w:w="120" w:type="dxa"/>
            <w:vAlign w:val="bottom"/>
          </w:tcPr>
          <w:p>
            <w:pPr>
              <w:spacing w:after="0"/>
              <w:rPr>
                <w:sz w:val="14"/>
                <w:szCs w:val="14"/>
                <w:color w:val="auto"/>
              </w:rPr>
            </w:pPr>
          </w:p>
        </w:tc>
        <w:tc>
          <w:tcPr>
            <w:tcW w:w="2520" w:type="dxa"/>
            <w:vAlign w:val="bottom"/>
            <w:gridSpan w:val="5"/>
          </w:tcPr>
          <w:p>
            <w:pPr>
              <w:ind w:left="60"/>
              <w:spacing w:after="0"/>
              <w:rPr>
                <w:sz w:val="20"/>
                <w:szCs w:val="20"/>
                <w:color w:val="auto"/>
              </w:rPr>
            </w:pPr>
            <w:r>
              <w:rPr>
                <w:rFonts w:ascii="Arial" w:cs="Arial" w:eastAsia="Arial" w:hAnsi="Arial"/>
                <w:sz w:val="14"/>
                <w:szCs w:val="14"/>
                <w:b w:val="1"/>
                <w:bCs w:val="1"/>
                <w:color w:val="auto"/>
              </w:rPr>
              <w:t>For the Six Months Ended June 30,</w:t>
            </w:r>
          </w:p>
        </w:tc>
        <w:tc>
          <w:tcPr>
            <w:tcW w:w="0" w:type="dxa"/>
            <w:vAlign w:val="bottom"/>
          </w:tcPr>
          <w:p>
            <w:pPr>
              <w:spacing w:after="0"/>
              <w:rPr>
                <w:sz w:val="1"/>
                <w:szCs w:val="1"/>
                <w:color w:val="auto"/>
              </w:rPr>
            </w:pPr>
          </w:p>
        </w:tc>
      </w:tr>
      <w:tr>
        <w:trPr>
          <w:trHeight w:val="155"/>
        </w:trPr>
        <w:tc>
          <w:tcPr>
            <w:tcW w:w="3520" w:type="dxa"/>
            <w:vAlign w:val="bottom"/>
          </w:tcPr>
          <w:p>
            <w:pPr>
              <w:spacing w:after="0"/>
              <w:rPr>
                <w:sz w:val="13"/>
                <w:szCs w:val="13"/>
                <w:color w:val="auto"/>
              </w:rPr>
            </w:pPr>
          </w:p>
        </w:tc>
        <w:tc>
          <w:tcPr>
            <w:tcW w:w="2320" w:type="dxa"/>
            <w:vAlign w:val="bottom"/>
          </w:tcPr>
          <w:p>
            <w:pPr>
              <w:spacing w:after="0"/>
              <w:rPr>
                <w:sz w:val="13"/>
                <w:szCs w:val="13"/>
                <w:color w:val="auto"/>
              </w:rPr>
            </w:pPr>
          </w:p>
        </w:tc>
        <w:tc>
          <w:tcPr>
            <w:tcW w:w="260" w:type="dxa"/>
            <w:vAlign w:val="bottom"/>
            <w:tcBorders>
              <w:top w:val="single" w:sz="8" w:color="auto"/>
              <w:bottom w:val="single" w:sz="8" w:color="auto"/>
            </w:tcBorders>
          </w:tcPr>
          <w:p>
            <w:pPr>
              <w:spacing w:after="0"/>
              <w:rPr>
                <w:sz w:val="13"/>
                <w:szCs w:val="13"/>
                <w:color w:val="auto"/>
              </w:rPr>
            </w:pPr>
          </w:p>
        </w:tc>
        <w:tc>
          <w:tcPr>
            <w:tcW w:w="880" w:type="dxa"/>
            <w:vAlign w:val="bottom"/>
            <w:tcBorders>
              <w:top w:val="single" w:sz="8" w:color="auto"/>
              <w:bottom w:val="single" w:sz="8" w:color="auto"/>
            </w:tcBorders>
          </w:tcPr>
          <w:p>
            <w:pPr>
              <w:jc w:val="right"/>
              <w:ind w:right="359"/>
              <w:spacing w:after="0" w:line="155" w:lineRule="exact"/>
              <w:rPr>
                <w:sz w:val="20"/>
                <w:szCs w:val="20"/>
                <w:color w:val="auto"/>
              </w:rPr>
            </w:pPr>
            <w:r>
              <w:rPr>
                <w:rFonts w:ascii="Arial" w:cs="Arial" w:eastAsia="Arial" w:hAnsi="Arial"/>
                <w:sz w:val="14"/>
                <w:szCs w:val="14"/>
                <w:b w:val="1"/>
                <w:bCs w:val="1"/>
                <w:color w:val="auto"/>
              </w:rPr>
              <w:t>2020</w:t>
            </w:r>
          </w:p>
        </w:tc>
        <w:tc>
          <w:tcPr>
            <w:tcW w:w="240" w:type="dxa"/>
            <w:vAlign w:val="bottom"/>
            <w:tcBorders>
              <w:top w:val="single" w:sz="8" w:color="auto"/>
              <w:bottom w:val="single" w:sz="8" w:color="auto"/>
            </w:tcBorders>
          </w:tcPr>
          <w:p>
            <w:pPr>
              <w:spacing w:after="0"/>
              <w:rPr>
                <w:sz w:val="13"/>
                <w:szCs w:val="13"/>
                <w:color w:val="auto"/>
              </w:rPr>
            </w:pPr>
          </w:p>
        </w:tc>
        <w:tc>
          <w:tcPr>
            <w:tcW w:w="260" w:type="dxa"/>
            <w:vAlign w:val="bottom"/>
            <w:tcBorders>
              <w:top w:val="single" w:sz="8" w:color="auto"/>
              <w:bottom w:val="single" w:sz="8" w:color="auto"/>
            </w:tcBorders>
          </w:tcPr>
          <w:p>
            <w:pPr>
              <w:spacing w:after="0"/>
              <w:rPr>
                <w:sz w:val="13"/>
                <w:szCs w:val="13"/>
                <w:color w:val="auto"/>
              </w:rPr>
            </w:pPr>
          </w:p>
        </w:tc>
        <w:tc>
          <w:tcPr>
            <w:tcW w:w="880" w:type="dxa"/>
            <w:vAlign w:val="bottom"/>
            <w:tcBorders>
              <w:top w:val="single" w:sz="8" w:color="auto"/>
              <w:bottom w:val="single" w:sz="8" w:color="auto"/>
            </w:tcBorders>
          </w:tcPr>
          <w:p>
            <w:pPr>
              <w:jc w:val="right"/>
              <w:ind w:right="356"/>
              <w:spacing w:after="0" w:line="155" w:lineRule="exact"/>
              <w:rPr>
                <w:sz w:val="20"/>
                <w:szCs w:val="20"/>
                <w:color w:val="auto"/>
              </w:rPr>
            </w:pPr>
            <w:r>
              <w:rPr>
                <w:rFonts w:ascii="Arial" w:cs="Arial" w:eastAsia="Arial" w:hAnsi="Arial"/>
                <w:sz w:val="14"/>
                <w:szCs w:val="14"/>
                <w:b w:val="1"/>
                <w:bCs w:val="1"/>
                <w:color w:val="auto"/>
              </w:rPr>
              <w:t>2019</w:t>
            </w:r>
          </w:p>
        </w:tc>
        <w:tc>
          <w:tcPr>
            <w:tcW w:w="240" w:type="dxa"/>
            <w:vAlign w:val="bottom"/>
          </w:tcPr>
          <w:p>
            <w:pPr>
              <w:spacing w:after="0"/>
              <w:rPr>
                <w:sz w:val="13"/>
                <w:szCs w:val="13"/>
                <w:color w:val="auto"/>
              </w:rPr>
            </w:pPr>
          </w:p>
        </w:tc>
        <w:tc>
          <w:tcPr>
            <w:tcW w:w="120" w:type="dxa"/>
            <w:vAlign w:val="bottom"/>
            <w:tcBorders>
              <w:top w:val="single" w:sz="8" w:color="auto"/>
              <w:bottom w:val="single" w:sz="8" w:color="auto"/>
            </w:tcBorders>
          </w:tcPr>
          <w:p>
            <w:pPr>
              <w:spacing w:after="0"/>
              <w:rPr>
                <w:sz w:val="13"/>
                <w:szCs w:val="13"/>
                <w:color w:val="auto"/>
              </w:rPr>
            </w:pPr>
          </w:p>
        </w:tc>
        <w:tc>
          <w:tcPr>
            <w:tcW w:w="1020" w:type="dxa"/>
            <w:vAlign w:val="bottom"/>
            <w:tcBorders>
              <w:top w:val="single" w:sz="8" w:color="auto"/>
              <w:bottom w:val="single" w:sz="8" w:color="auto"/>
            </w:tcBorders>
          </w:tcPr>
          <w:p>
            <w:pPr>
              <w:jc w:val="right"/>
              <w:ind w:right="361"/>
              <w:spacing w:after="0" w:line="155" w:lineRule="exact"/>
              <w:rPr>
                <w:sz w:val="20"/>
                <w:szCs w:val="20"/>
                <w:color w:val="auto"/>
              </w:rPr>
            </w:pPr>
            <w:r>
              <w:rPr>
                <w:rFonts w:ascii="Arial" w:cs="Arial" w:eastAsia="Arial" w:hAnsi="Arial"/>
                <w:sz w:val="14"/>
                <w:szCs w:val="14"/>
                <w:b w:val="1"/>
                <w:bCs w:val="1"/>
                <w:color w:val="auto"/>
              </w:rPr>
              <w:t>2020</w:t>
            </w:r>
          </w:p>
        </w:tc>
        <w:tc>
          <w:tcPr>
            <w:tcW w:w="240" w:type="dxa"/>
            <w:vAlign w:val="bottom"/>
            <w:tcBorders>
              <w:top w:val="single" w:sz="8" w:color="auto"/>
              <w:bottom w:val="single" w:sz="8" w:color="auto"/>
            </w:tcBorders>
          </w:tcPr>
          <w:p>
            <w:pPr>
              <w:spacing w:after="0"/>
              <w:rPr>
                <w:sz w:val="13"/>
                <w:szCs w:val="13"/>
                <w:color w:val="auto"/>
              </w:rPr>
            </w:pPr>
          </w:p>
        </w:tc>
        <w:tc>
          <w:tcPr>
            <w:tcW w:w="260" w:type="dxa"/>
            <w:vAlign w:val="bottom"/>
            <w:tcBorders>
              <w:top w:val="single" w:sz="8" w:color="auto"/>
              <w:bottom w:val="single" w:sz="8" w:color="auto"/>
            </w:tcBorders>
          </w:tcPr>
          <w:p>
            <w:pPr>
              <w:spacing w:after="0"/>
              <w:rPr>
                <w:sz w:val="13"/>
                <w:szCs w:val="13"/>
                <w:color w:val="auto"/>
              </w:rPr>
            </w:pPr>
          </w:p>
        </w:tc>
        <w:tc>
          <w:tcPr>
            <w:tcW w:w="900" w:type="dxa"/>
            <w:vAlign w:val="bottom"/>
            <w:tcBorders>
              <w:top w:val="single" w:sz="8" w:color="auto"/>
              <w:bottom w:val="single" w:sz="8" w:color="auto"/>
            </w:tcBorders>
          </w:tcPr>
          <w:p>
            <w:pPr>
              <w:jc w:val="right"/>
              <w:ind w:right="356"/>
              <w:spacing w:after="0" w:line="155" w:lineRule="exact"/>
              <w:rPr>
                <w:sz w:val="20"/>
                <w:szCs w:val="20"/>
                <w:color w:val="auto"/>
              </w:rPr>
            </w:pPr>
            <w:r>
              <w:rPr>
                <w:rFonts w:ascii="Arial" w:cs="Arial" w:eastAsia="Arial" w:hAnsi="Arial"/>
                <w:sz w:val="14"/>
                <w:szCs w:val="14"/>
                <w:b w:val="1"/>
                <w:bCs w:val="1"/>
                <w:color w:val="auto"/>
              </w:rPr>
              <w:t>2019</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3520" w:type="dxa"/>
            <w:vAlign w:val="bottom"/>
          </w:tcPr>
          <w:p>
            <w:pPr>
              <w:spacing w:after="0"/>
              <w:rPr>
                <w:sz w:val="13"/>
                <w:szCs w:val="13"/>
                <w:color w:val="auto"/>
              </w:rPr>
            </w:pPr>
          </w:p>
        </w:tc>
        <w:tc>
          <w:tcPr>
            <w:tcW w:w="23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260" w:type="dxa"/>
            <w:vAlign w:val="bottom"/>
            <w:gridSpan w:val="4"/>
          </w:tcPr>
          <w:p>
            <w:pPr>
              <w:jc w:val="right"/>
              <w:ind w:right="436"/>
              <w:spacing w:after="0" w:line="155" w:lineRule="exact"/>
              <w:rPr>
                <w:sz w:val="20"/>
                <w:szCs w:val="20"/>
                <w:color w:val="auto"/>
              </w:rPr>
            </w:pPr>
            <w:r>
              <w:rPr>
                <w:rFonts w:ascii="Arial" w:cs="Arial" w:eastAsia="Arial" w:hAnsi="Arial"/>
                <w:sz w:val="14"/>
                <w:szCs w:val="14"/>
                <w:b w:val="1"/>
                <w:bCs w:val="1"/>
                <w:color w:val="auto"/>
              </w:rPr>
              <w:t>(Amounts in Thousands)</w:t>
            </w:r>
          </w:p>
        </w:tc>
        <w:tc>
          <w:tcPr>
            <w:tcW w:w="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420" w:type="dxa"/>
            <w:vAlign w:val="bottom"/>
            <w:gridSpan w:val="4"/>
          </w:tcPr>
          <w:p>
            <w:pPr>
              <w:jc w:val="right"/>
              <w:ind w:right="436"/>
              <w:spacing w:after="0" w:line="155" w:lineRule="exact"/>
              <w:rPr>
                <w:sz w:val="20"/>
                <w:szCs w:val="20"/>
                <w:color w:val="auto"/>
              </w:rPr>
            </w:pPr>
            <w:r>
              <w:rPr>
                <w:rFonts w:ascii="Arial" w:cs="Arial" w:eastAsia="Arial" w:hAnsi="Arial"/>
                <w:sz w:val="14"/>
                <w:szCs w:val="14"/>
                <w:b w:val="1"/>
                <w:bCs w:val="1"/>
                <w:color w:val="auto"/>
              </w:rPr>
              <w:t>(Amounts in Thousands)</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0"/>
        </w:trPr>
        <w:tc>
          <w:tcPr>
            <w:tcW w:w="3520" w:type="dxa"/>
            <w:vAlign w:val="bottom"/>
            <w:shd w:val="clear" w:color="auto" w:fill="CFF0FC"/>
          </w:tcPr>
          <w:p>
            <w:pPr>
              <w:spacing w:after="0"/>
              <w:rPr>
                <w:sz w:val="20"/>
                <w:szCs w:val="20"/>
                <w:color w:val="auto"/>
              </w:rPr>
            </w:pPr>
            <w:r>
              <w:rPr>
                <w:rFonts w:ascii="Arial" w:cs="Arial" w:eastAsia="Arial" w:hAnsi="Arial"/>
                <w:sz w:val="18"/>
                <w:szCs w:val="18"/>
                <w:color w:val="auto"/>
              </w:rPr>
              <w:t>Net service revenues</w:t>
            </w:r>
          </w:p>
        </w:tc>
        <w:tc>
          <w:tcPr>
            <w:tcW w:w="2580" w:type="dxa"/>
            <w:vAlign w:val="bottom"/>
            <w:gridSpan w:val="2"/>
            <w:shd w:val="clear" w:color="auto" w:fill="CFF0FC"/>
          </w:tcPr>
          <w:p>
            <w:pPr>
              <w:jc w:val="right"/>
              <w:ind w:right="88"/>
              <w:spacing w:after="0"/>
              <w:rPr>
                <w:sz w:val="20"/>
                <w:szCs w:val="20"/>
                <w:color w:val="auto"/>
              </w:rPr>
            </w:pPr>
            <w:r>
              <w:rPr>
                <w:rFonts w:ascii="Arial" w:cs="Arial" w:eastAsia="Arial" w:hAnsi="Arial"/>
                <w:sz w:val="18"/>
                <w:szCs w:val="18"/>
                <w:color w:val="auto"/>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184,576</w:t>
            </w:r>
          </w:p>
        </w:tc>
        <w:tc>
          <w:tcPr>
            <w:tcW w:w="240" w:type="dxa"/>
            <w:vAlign w:val="bottom"/>
            <w:shd w:val="clear" w:color="auto" w:fill="CFF0FC"/>
          </w:tcPr>
          <w:p>
            <w:pPr>
              <w:spacing w:after="0"/>
              <w:rPr>
                <w:sz w:val="19"/>
                <w:szCs w:val="19"/>
                <w:color w:val="auto"/>
              </w:rPr>
            </w:pPr>
          </w:p>
        </w:tc>
        <w:tc>
          <w:tcPr>
            <w:tcW w:w="260" w:type="dxa"/>
            <w:vAlign w:val="bottom"/>
            <w:shd w:val="clear" w:color="auto" w:fill="CFF0FC"/>
          </w:tcPr>
          <w:p>
            <w:pPr>
              <w:jc w:val="right"/>
              <w:ind w:right="107"/>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148,915</w:t>
            </w:r>
          </w:p>
        </w:tc>
        <w:tc>
          <w:tcPr>
            <w:tcW w:w="240" w:type="dxa"/>
            <w:vAlign w:val="bottom"/>
            <w:shd w:val="clear" w:color="auto" w:fill="CFF0FC"/>
          </w:tcPr>
          <w:p>
            <w:pPr>
              <w:spacing w:after="0"/>
              <w:rPr>
                <w:sz w:val="19"/>
                <w:szCs w:val="19"/>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374,792</w:t>
            </w:r>
          </w:p>
        </w:tc>
        <w:tc>
          <w:tcPr>
            <w:tcW w:w="50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287,422</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520" w:type="dxa"/>
            <w:vAlign w:val="bottom"/>
          </w:tcPr>
          <w:p>
            <w:pPr>
              <w:spacing w:after="0"/>
              <w:rPr>
                <w:sz w:val="20"/>
                <w:szCs w:val="20"/>
                <w:color w:val="auto"/>
              </w:rPr>
            </w:pPr>
            <w:r>
              <w:rPr>
                <w:rFonts w:ascii="Arial" w:cs="Arial" w:eastAsia="Arial" w:hAnsi="Arial"/>
                <w:sz w:val="18"/>
                <w:szCs w:val="18"/>
                <w:color w:val="auto"/>
              </w:rPr>
              <w:t>Net income</w:t>
            </w:r>
          </w:p>
        </w:tc>
        <w:tc>
          <w:tcPr>
            <w:tcW w:w="2580" w:type="dxa"/>
            <w:vAlign w:val="bottom"/>
            <w:gridSpan w:val="2"/>
          </w:tcPr>
          <w:p>
            <w:pPr>
              <w:jc w:val="right"/>
              <w:ind w:right="88"/>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6,907</w:t>
            </w:r>
          </w:p>
        </w:tc>
        <w:tc>
          <w:tcPr>
            <w:tcW w:w="240" w:type="dxa"/>
            <w:vAlign w:val="bottom"/>
          </w:tcPr>
          <w:p>
            <w:pPr>
              <w:spacing w:after="0"/>
              <w:rPr>
                <w:sz w:val="19"/>
                <w:szCs w:val="19"/>
                <w:color w:val="auto"/>
              </w:rPr>
            </w:pPr>
          </w:p>
        </w:tc>
        <w:tc>
          <w:tcPr>
            <w:tcW w:w="260" w:type="dxa"/>
            <w:vAlign w:val="bottom"/>
          </w:tcPr>
          <w:p>
            <w:pPr>
              <w:jc w:val="right"/>
              <w:ind w:right="107"/>
              <w:spacing w:after="0"/>
              <w:rPr>
                <w:sz w:val="20"/>
                <w:szCs w:val="20"/>
                <w:color w:val="auto"/>
              </w:rPr>
            </w:pPr>
            <w:r>
              <w:rPr>
                <w:rFonts w:ascii="Arial" w:cs="Arial" w:eastAsia="Arial" w:hAnsi="Arial"/>
                <w:sz w:val="15"/>
                <w:szCs w:val="15"/>
                <w:color w:val="auto"/>
                <w:w w:val="71"/>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5,292</w:t>
            </w:r>
          </w:p>
        </w:tc>
        <w:tc>
          <w:tcPr>
            <w:tcW w:w="24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15,565</w:t>
            </w:r>
          </w:p>
        </w:tc>
        <w:tc>
          <w:tcPr>
            <w:tcW w:w="5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9,588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520" w:type="dxa"/>
            <w:vAlign w:val="bottom"/>
          </w:tcPr>
          <w:p>
            <w:pPr>
              <w:spacing w:after="0" w:line="20" w:lineRule="exact"/>
              <w:rPr>
                <w:sz w:val="1"/>
                <w:szCs w:val="1"/>
                <w:color w:val="auto"/>
              </w:rPr>
            </w:pPr>
          </w:p>
        </w:tc>
        <w:tc>
          <w:tcPr>
            <w:tcW w:w="2320" w:type="dxa"/>
            <w:vAlign w:val="bottom"/>
            <w:vMerge w:val="restart"/>
          </w:tcPr>
          <w:p>
            <w:pPr>
              <w:jc w:val="right"/>
              <w:ind w:right="53"/>
              <w:spacing w:after="0"/>
              <w:rPr>
                <w:sz w:val="20"/>
                <w:szCs w:val="20"/>
                <w:color w:val="auto"/>
              </w:rPr>
            </w:pPr>
            <w:r>
              <w:rPr>
                <w:rFonts w:ascii="Arial" w:cs="Arial" w:eastAsia="Arial" w:hAnsi="Arial"/>
                <w:sz w:val="16"/>
                <w:szCs w:val="16"/>
                <w:color w:val="auto"/>
              </w:rPr>
              <w:t>21</w:t>
            </w: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3"/>
        </w:trPr>
        <w:tc>
          <w:tcPr>
            <w:tcW w:w="3520" w:type="dxa"/>
            <w:vAlign w:val="bottom"/>
          </w:tcPr>
          <w:p>
            <w:pPr>
              <w:spacing w:after="0"/>
              <w:rPr>
                <w:sz w:val="24"/>
                <w:szCs w:val="24"/>
                <w:color w:val="auto"/>
              </w:rPr>
            </w:pPr>
          </w:p>
        </w:tc>
        <w:tc>
          <w:tcPr>
            <w:tcW w:w="2320" w:type="dxa"/>
            <w:vAlign w:val="bottom"/>
            <w:vMerge w:val="continue"/>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7"/>
        </w:trPr>
        <w:tc>
          <w:tcPr>
            <w:tcW w:w="3520" w:type="dxa"/>
            <w:vAlign w:val="bottom"/>
            <w:tcBorders>
              <w:bottom w:val="single" w:sz="8" w:color="9A9A9A"/>
            </w:tcBorders>
          </w:tcPr>
          <w:p>
            <w:pPr>
              <w:spacing w:after="0"/>
              <w:rPr>
                <w:sz w:val="24"/>
                <w:szCs w:val="24"/>
                <w:color w:val="auto"/>
              </w:rPr>
            </w:pPr>
          </w:p>
        </w:tc>
        <w:tc>
          <w:tcPr>
            <w:tcW w:w="232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88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88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02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90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-8255</wp:posOffset>
            </wp:positionV>
            <wp:extent cx="8255"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340" w:lineRule="exact"/>
        <w:rPr>
          <w:sz w:val="20"/>
          <w:szCs w:val="20"/>
          <w:color w:val="auto"/>
        </w:rPr>
      </w:pPr>
    </w:p>
    <w:p>
      <w:pPr>
        <w:jc w:val="both"/>
        <w:ind w:right="560" w:firstLine="476"/>
        <w:spacing w:after="0" w:line="263" w:lineRule="auto"/>
        <w:rPr>
          <w:sz w:val="20"/>
          <w:szCs w:val="20"/>
          <w:color w:val="auto"/>
        </w:rPr>
      </w:pPr>
      <w:r>
        <w:rPr>
          <w:rFonts w:ascii="Arial" w:cs="Arial" w:eastAsia="Arial" w:hAnsi="Arial"/>
          <w:sz w:val="18"/>
          <w:szCs w:val="18"/>
          <w:color w:val="auto"/>
        </w:rPr>
        <w:t>As of June 30, 2020, we provided our services in 25 states through 190 offices. For the six months ended June 30, 2020 and 2019, we served approximately 55,000 and 50,000 discrete individuals, respectively. Our personal care segment also includes staffing services, with clients including assisted living facilities, nursing homes and hospice facilities.</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COVID-19 Pandemic</w:t>
      </w:r>
    </w:p>
    <w:p>
      <w:pPr>
        <w:spacing w:after="0" w:line="90" w:lineRule="exact"/>
        <w:rPr>
          <w:sz w:val="20"/>
          <w:szCs w:val="20"/>
          <w:color w:val="auto"/>
        </w:rPr>
      </w:pPr>
    </w:p>
    <w:p>
      <w:pPr>
        <w:ind w:firstLine="476"/>
        <w:spacing w:after="0" w:line="288" w:lineRule="auto"/>
        <w:rPr>
          <w:sz w:val="20"/>
          <w:szCs w:val="20"/>
          <w:color w:val="auto"/>
        </w:rPr>
      </w:pPr>
      <w:r>
        <w:rPr>
          <w:rFonts w:ascii="Arial" w:cs="Arial" w:eastAsia="Arial" w:hAnsi="Arial"/>
          <w:sz w:val="16"/>
          <w:szCs w:val="16"/>
          <w:color w:val="auto"/>
        </w:rPr>
        <w:t>On January 31, 2020, the HHS Secretary declared a national public health emergency due to a novel coronavirus. In March 2020, the World Health Organization declared the outbreak of COVID-19, the disease caused by this novel coronavirus, a pandemic. This disease continues to spread throughout the United States and other parts of the world. It is impossible to predict the effect and ultimate impact of the COVID-19 pandemic as the situation is rapidly evolving. The spread of COVID-19 has caused many states and cities to declare states of emergency or disaster proclamations, including the state of Texas and the city of Frisco, where we are headquartered. State and local governments, together with public health officials, have recommended and mandated precautions to mitigate the spread of the virus, including the closure of public facilities and parks, schools, restaurants, many businesses and other locations of public assembly. As a result, COVID-19 is significantly affecting overall economic conditions in the United States. Although many of the restrictions have eased across the country, some areas are re-imposing closures and other restrictions as a result of increasing rates of COVID-19 infection. There are no reliable estimates of how long the pandemic will last, how many people are likely to be affected by it or the duration or types of restrictions that will be imposed or re-imposed. For that reason, we are unable to predict the long-term impact of the pandemic on our business at this time.</w:t>
      </w:r>
    </w:p>
    <w:p>
      <w:pPr>
        <w:spacing w:after="0" w:line="114" w:lineRule="exact"/>
        <w:rPr>
          <w:sz w:val="20"/>
          <w:szCs w:val="20"/>
          <w:color w:val="auto"/>
        </w:rPr>
      </w:pPr>
    </w:p>
    <w:p>
      <w:pPr>
        <w:ind w:right="20" w:firstLine="476"/>
        <w:spacing w:after="0" w:line="268" w:lineRule="auto"/>
        <w:rPr>
          <w:sz w:val="20"/>
          <w:szCs w:val="20"/>
          <w:color w:val="auto"/>
        </w:rPr>
      </w:pPr>
      <w:r>
        <w:rPr>
          <w:rFonts w:ascii="Arial" w:cs="Arial" w:eastAsia="Arial" w:hAnsi="Arial"/>
          <w:sz w:val="17"/>
          <w:szCs w:val="17"/>
          <w:color w:val="auto"/>
        </w:rPr>
        <w:t>For the three and six months ended June 30, 2020, COVID-19 related costs were approximately $2.0 million and $2.3 million, respectively, which were mostly offset by temporary rate increases from certain payors, in our personal care segment, of $1.7 million during the three and six months ended June 30, 2020. As of June 30, 2020, $1.6 million of payments received from payors for COVID-19 reimbursements have been recorded as deferred revenue and will be recognized as we incur related expenses on behalf of the payor. Two of our primary markets, New York and Illinois, have been significantly affected by the pandemic, with high numbers of cases reported. However, relevant authorities have universally designated our services as “essential services,” exempting our services and service providers from many of the restrictions described above. In addition, the impact of the restrictions on the Company’s operations for our consumer population has been minimal. For example, in our personal care services segment, we provide non-medical assistance with activities of daily living, primarily to persons who are at increased risk of hospitalization or institutionalization, such as the elderly, chronically ill or disabled. Most of these consumers are largely confined to their homes, and a significant number of our caregivers provide services to only one consumer, often a family member. Because our top priority is to protect our consumers and their families, and our caregivers and their families, we have implemented several new procedures to further reduce the risk of COVID-19 transmission, including a new screening process for both the caregiver and the consumer and the expansion of the use of personal protective equipment from our hospice and home health segments to also include our personal care segment. We are not able to reasonably predict the total amount of costs we will incur related to the COVID-19 pandemic, and such costs could be substantial. According to the Centers for Disease Control and Prevention, older adults and people with certain underlying medical conditions are at a higher risk for serious illness from COVID-19.</w:t>
      </w:r>
    </w:p>
    <w:p>
      <w:pPr>
        <w:spacing w:after="0" w:line="128" w:lineRule="exact"/>
        <w:rPr>
          <w:sz w:val="20"/>
          <w:szCs w:val="20"/>
          <w:color w:val="auto"/>
        </w:rPr>
      </w:pPr>
    </w:p>
    <w:p>
      <w:pPr>
        <w:ind w:right="80" w:firstLine="476"/>
        <w:spacing w:after="0" w:line="257" w:lineRule="auto"/>
        <w:rPr>
          <w:sz w:val="20"/>
          <w:szCs w:val="20"/>
          <w:color w:val="auto"/>
        </w:rPr>
      </w:pPr>
      <w:r>
        <w:rPr>
          <w:rFonts w:ascii="Arial" w:cs="Arial" w:eastAsia="Arial" w:hAnsi="Arial"/>
          <w:sz w:val="18"/>
          <w:szCs w:val="18"/>
          <w:color w:val="auto"/>
        </w:rPr>
        <w:t>Prior to the widespread impacts of COVID-19, the primary limitation on our growth had been the difficulty to attract and retain sufficient caregivers in an environment of very low unemployment rates. With the widespread adverse impacts of the COVID-19 pandemic on the hospitality and other labor-intensive industries, however, we have had, and believe we will continue to have, opportunities to recruit new caregivers. Further, CMS and many states (including New York and Illinois) have granted temporary blanket waivers of certain onboarding requirements for new caregivers, significantly shortening the onboarding process.</w:t>
      </w:r>
    </w:p>
    <w:p>
      <w:pPr>
        <w:spacing w:after="0" w:line="134" w:lineRule="exact"/>
        <w:rPr>
          <w:sz w:val="20"/>
          <w:szCs w:val="20"/>
          <w:color w:val="auto"/>
        </w:rPr>
      </w:pPr>
    </w:p>
    <w:p>
      <w:pPr>
        <w:ind w:right="160" w:firstLine="476"/>
        <w:spacing w:after="0" w:line="259" w:lineRule="auto"/>
        <w:rPr>
          <w:sz w:val="20"/>
          <w:szCs w:val="20"/>
          <w:color w:val="auto"/>
        </w:rPr>
      </w:pPr>
      <w:r>
        <w:rPr>
          <w:rFonts w:ascii="Arial" w:cs="Arial" w:eastAsia="Arial" w:hAnsi="Arial"/>
          <w:sz w:val="18"/>
          <w:szCs w:val="18"/>
          <w:color w:val="auto"/>
        </w:rPr>
        <w:t>For the three and six months ended June 30, 2020, the COVID-19 pandemic had limited impact on our reimbursements. Although we experienced some consumers suspending their personal care services due to health concerns, many of these consumers resumed our services within weeks. This reduction was partially offset by an increase in demand for our services by patients recovering from COVID-19 who have been released from the hospital but are still suffering lingering effects of the virus.</w:t>
      </w:r>
    </w:p>
    <w:p>
      <w:pPr>
        <w:spacing w:after="0" w:line="133" w:lineRule="exact"/>
        <w:rPr>
          <w:sz w:val="20"/>
          <w:szCs w:val="20"/>
          <w:color w:val="auto"/>
        </w:rPr>
      </w:pPr>
    </w:p>
    <w:p>
      <w:pPr>
        <w:ind w:right="20" w:firstLine="476"/>
        <w:spacing w:after="0" w:line="287" w:lineRule="auto"/>
        <w:rPr>
          <w:sz w:val="20"/>
          <w:szCs w:val="20"/>
          <w:color w:val="auto"/>
        </w:rPr>
      </w:pPr>
      <w:r>
        <w:rPr>
          <w:rFonts w:ascii="Arial" w:cs="Arial" w:eastAsia="Arial" w:hAnsi="Arial"/>
          <w:sz w:val="16"/>
          <w:szCs w:val="16"/>
          <w:color w:val="auto"/>
        </w:rPr>
        <w:t>The economic slowdown caused by the COVID-19 pandemic pose significant risks to states’ budgets for the 2021 fiscal year, which began July 1 in most states. Depending on the severity and length of a downturn, sales tax collections and income tax withholdings could continue to be depressed in fiscal 2021 and, potentially, future fiscal years. States could face significant fiscal challenges and may have no choice but to revise their revenue forecasts and adjust their budgets for fiscal 2021 and, potentially, future fiscal years, accordingly. Indeed, Illinois, New York and New Mexico, our top three markets, have revised revenue estimates down for the 2021 fiscal year. In New York, which started its fiscal year April 1, the state comptroller recently estimated that the state would collect at least $10 billion less than originally forecasted, the first year-to-year cut since 2011. The current New York fiscal plan authorizes the state of New York to issue up to $8 billion in short-term bonds to provide funds in case of reduced revenues during the fiscal year, tentatively scheduled for October 2020, December 2020 and March 2021. It also allows two state authorities to provide the state with a $3 billion line of credit in the new fiscal year. Congress could provide additional relief with additional stimulus and relief legislation, including extension of unemployment benefits and relief for states. We cannot determine the impact that COVID-19 may have on states budgets for 2021 or beyond, however, such impacts could have a material adverse effect on our financial condition, results of operations and cash flows.</w:t>
      </w:r>
    </w:p>
    <w:p>
      <w:pPr>
        <w:spacing w:after="0" w:line="118" w:lineRule="exact"/>
        <w:rPr>
          <w:sz w:val="20"/>
          <w:szCs w:val="20"/>
          <w:color w:val="auto"/>
        </w:rPr>
      </w:pPr>
    </w:p>
    <w:p>
      <w:pPr>
        <w:ind w:right="120" w:firstLine="476"/>
        <w:spacing w:after="0" w:line="273" w:lineRule="auto"/>
        <w:rPr>
          <w:sz w:val="20"/>
          <w:szCs w:val="20"/>
          <w:color w:val="auto"/>
        </w:rPr>
      </w:pPr>
      <w:r>
        <w:rPr>
          <w:rFonts w:ascii="Arial" w:cs="Arial" w:eastAsia="Arial" w:hAnsi="Arial"/>
          <w:sz w:val="17"/>
          <w:szCs w:val="17"/>
          <w:color w:val="auto"/>
        </w:rPr>
        <w:t>At June 30, 2020, we had $158.5 million of cash on hand and $223.5 million of available, unused committed capacity under our credit facility. Our credit facility requires us to maintain a total net leverage ratio not exceeding 3.75:1.00. As of June 30, 2020, our total net leverage ratio was zero. Further, we were unable to timely file our Annual Report on Form 10-K, which would have included our audited financial statements for the year ended December 31, 2019. The Company is required to deliver annual audited financial statements under the affirmative covenants of its Credit Agreement. The Company obtained consent from the Required Lenders (as defined in the Credit Agreement) to extend the timeline of the audited financials for the year ended December 31, 2019 to not later than October 31, 2020. Although we believe our liquidity</w:t>
      </w:r>
    </w:p>
    <w:p>
      <w:pPr>
        <w:spacing w:after="0" w:line="182"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223520</wp:posOffset>
            </wp:positionV>
            <wp:extent cx="713232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91"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position remains strong, we can provide no assurance that we will remain in compliance with the covenants in our Credit Agreement, and in the future, it may prove necessary to seek an amendment with the bank lending group under our credit facility. The COVID-19 pandemic has resulted in, and may continue to result in, significant disruption of financial and capital markets, and there can be no assurance that we will be able to raise additional funds on terms acceptable to us, if at all.</w:t>
      </w:r>
    </w:p>
    <w:p>
      <w:pPr>
        <w:spacing w:after="0" w:line="133" w:lineRule="exact"/>
        <w:rPr>
          <w:sz w:val="20"/>
          <w:szCs w:val="20"/>
          <w:color w:val="auto"/>
        </w:rPr>
      </w:pPr>
    </w:p>
    <w:p>
      <w:pPr>
        <w:ind w:firstLine="476"/>
        <w:spacing w:after="0" w:line="255" w:lineRule="auto"/>
        <w:rPr>
          <w:sz w:val="20"/>
          <w:szCs w:val="20"/>
          <w:color w:val="auto"/>
        </w:rPr>
      </w:pPr>
      <w:r>
        <w:rPr>
          <w:rFonts w:ascii="Arial" w:cs="Arial" w:eastAsia="Arial" w:hAnsi="Arial"/>
          <w:sz w:val="18"/>
          <w:szCs w:val="18"/>
          <w:color w:val="auto"/>
        </w:rPr>
        <w:t>The impact of the COVID-19 pandemic is fluid and continues to evolve, and, therefore, we cannot currently predict with certainty the extent to which our business, results of operations, financial condition or liquidity will ultimately be impacted. Given the dynamic nature of these circumstances, the related financial effect cannot be reasonably estimated at this time but is not expected to materially adversely impact our business. See “Part I, Item 1A Risk Factors—</w:t>
      </w:r>
      <w:r>
        <w:rPr>
          <w:rFonts w:ascii="Arial" w:cs="Arial" w:eastAsia="Arial" w:hAnsi="Arial"/>
          <w:sz w:val="18"/>
          <w:szCs w:val="18"/>
          <w:i w:val="1"/>
          <w:iCs w:val="1"/>
          <w:color w:val="auto"/>
        </w:rPr>
        <w:t>The COVID-19 pandemic could negatively affect our operations, business and financial condition, and our liquidity could also be negatively</w:t>
      </w:r>
      <w:r>
        <w:rPr>
          <w:rFonts w:ascii="Arial" w:cs="Arial" w:eastAsia="Arial" w:hAnsi="Arial"/>
          <w:sz w:val="18"/>
          <w:szCs w:val="18"/>
          <w:color w:val="auto"/>
        </w:rPr>
        <w:t xml:space="preserve"> </w:t>
      </w:r>
      <w:r>
        <w:rPr>
          <w:rFonts w:ascii="Arial" w:cs="Arial" w:eastAsia="Arial" w:hAnsi="Arial"/>
          <w:sz w:val="18"/>
          <w:szCs w:val="18"/>
          <w:i w:val="1"/>
          <w:iCs w:val="1"/>
          <w:color w:val="auto"/>
        </w:rPr>
        <w:t>impacted, particularly if the U.S. economy remains unstable for a significant amount of time</w:t>
      </w:r>
      <w:r>
        <w:rPr>
          <w:rFonts w:ascii="Arial" w:cs="Arial" w:eastAsia="Arial" w:hAnsi="Arial"/>
          <w:sz w:val="18"/>
          <w:szCs w:val="18"/>
          <w:color w:val="auto"/>
        </w:rPr>
        <w:t>” of our Annual Report on Form 10-K for the period ended</w:t>
      </w:r>
      <w:r>
        <w:rPr>
          <w:rFonts w:ascii="Arial" w:cs="Arial" w:eastAsia="Arial" w:hAnsi="Arial"/>
          <w:sz w:val="18"/>
          <w:szCs w:val="18"/>
          <w:i w:val="1"/>
          <w:iCs w:val="1"/>
          <w:color w:val="auto"/>
        </w:rPr>
        <w:t xml:space="preserve"> </w:t>
      </w:r>
      <w:r>
        <w:rPr>
          <w:rFonts w:ascii="Arial" w:cs="Arial" w:eastAsia="Arial" w:hAnsi="Arial"/>
          <w:sz w:val="18"/>
          <w:szCs w:val="18"/>
          <w:color w:val="auto"/>
        </w:rPr>
        <w:t>December 31, 2019, filed on August 10, 2020.</w:t>
      </w:r>
    </w:p>
    <w:p>
      <w:pPr>
        <w:spacing w:after="0" w:line="138" w:lineRule="exact"/>
        <w:rPr>
          <w:sz w:val="20"/>
          <w:szCs w:val="20"/>
          <w:color w:val="auto"/>
        </w:rPr>
      </w:pPr>
    </w:p>
    <w:p>
      <w:pPr>
        <w:ind w:right="80" w:firstLine="476"/>
        <w:spacing w:after="0" w:line="287" w:lineRule="auto"/>
        <w:rPr>
          <w:sz w:val="20"/>
          <w:szCs w:val="20"/>
          <w:color w:val="auto"/>
        </w:rPr>
      </w:pPr>
      <w:r>
        <w:rPr>
          <w:rFonts w:ascii="Arial" w:cs="Arial" w:eastAsia="Arial" w:hAnsi="Arial"/>
          <w:sz w:val="16"/>
          <w:szCs w:val="16"/>
          <w:color w:val="auto"/>
        </w:rPr>
        <w:t>In recognition of the significant threat to the liquidity of financial markets posed by the COVID-19 pandemic, the Federal Reserve and Congress have taken dramatic actions to provide liquidity to businesses and the banking system in the U.S. For example, on March 27, 2020, the President signed into law the CARES Act, a sweeping stimulus bill intended to bolster the U.S. economy. On April 24, 2020, the Paycheck Protection Program and Health Care Enhancement Act (“PPPHCE Act”) was enacted, an expansion of the CARES Act. Together, the CARES Act and the PPPHCE Act authorize $175 billion in funding to be distributed to health care providers through Relief Fund. This funding is intended to support healthcare providers by reimbursing them for healthcare-related expenses or lost revenues attributable to COVID-19. In addition to relief funding, the CARES Act includes temporary changes to Medicare and Medicaid payment rules and relief from certain accounting provisions. There can be no assurance that these governmental interventions will ultimately be successful or that any future interventions will prove successful, and the financial markets may experience significant contractions in available liquidity. In April 2020, we received grants in an aggregate principal amount of $6.9 million, for which we did not apply, from the Relief Fund as part of the automatic general distributions by HHS. The Company returned these funds in June 2020. While we may receive further financial, tax or other relief and other benefits under and as a result of the CARES Act, the PPPHCE Act and other stimulus measures, it is not possible to estimate at this time the need, availability, extent or impact of any such relief.</w:t>
      </w:r>
    </w:p>
    <w:p>
      <w:pPr>
        <w:spacing w:after="0" w:line="114" w:lineRule="exact"/>
        <w:rPr>
          <w:sz w:val="20"/>
          <w:szCs w:val="20"/>
          <w:color w:val="auto"/>
        </w:rPr>
      </w:pPr>
    </w:p>
    <w:p>
      <w:pPr>
        <w:ind w:left="480"/>
        <w:spacing w:after="0"/>
        <w:rPr>
          <w:sz w:val="20"/>
          <w:szCs w:val="20"/>
          <w:color w:val="auto"/>
        </w:rPr>
      </w:pPr>
      <w:r>
        <w:rPr>
          <w:rFonts w:ascii="Arial" w:cs="Arial" w:eastAsia="Arial" w:hAnsi="Arial"/>
          <w:sz w:val="18"/>
          <w:szCs w:val="18"/>
          <w:b w:val="1"/>
          <w:bCs w:val="1"/>
          <w:i w:val="1"/>
          <w:iCs w:val="1"/>
          <w:color w:val="auto"/>
        </w:rPr>
        <w:t>Acquisitions</w:t>
      </w:r>
    </w:p>
    <w:p>
      <w:pPr>
        <w:spacing w:after="0" w:line="171" w:lineRule="exact"/>
        <w:rPr>
          <w:sz w:val="20"/>
          <w:szCs w:val="20"/>
          <w:color w:val="auto"/>
        </w:rPr>
      </w:pPr>
    </w:p>
    <w:p>
      <w:pPr>
        <w:ind w:right="260" w:firstLine="476"/>
        <w:spacing w:after="0" w:line="277" w:lineRule="auto"/>
        <w:rPr>
          <w:sz w:val="20"/>
          <w:szCs w:val="20"/>
          <w:color w:val="auto"/>
        </w:rPr>
      </w:pPr>
      <w:r>
        <w:rPr>
          <w:rFonts w:ascii="Arial" w:cs="Arial" w:eastAsia="Arial" w:hAnsi="Arial"/>
          <w:sz w:val="18"/>
          <w:szCs w:val="18"/>
          <w:color w:val="auto"/>
        </w:rPr>
        <w:t>In addition to our organic growth, we have grown through acquisitions that have expanded our presence in current markets or facilitated our entry into new markets where in-home care has been moving to managed care organizations.</w:t>
      </w:r>
    </w:p>
    <w:p>
      <w:pPr>
        <w:spacing w:after="0" w:line="116" w:lineRule="exact"/>
        <w:rPr>
          <w:sz w:val="20"/>
          <w:szCs w:val="20"/>
          <w:color w:val="auto"/>
        </w:rPr>
      </w:pPr>
    </w:p>
    <w:p>
      <w:pPr>
        <w:ind w:right="140" w:firstLine="476"/>
        <w:spacing w:after="0" w:line="263" w:lineRule="auto"/>
        <w:rPr>
          <w:sz w:val="20"/>
          <w:szCs w:val="20"/>
          <w:color w:val="auto"/>
        </w:rPr>
      </w:pPr>
      <w:r>
        <w:rPr>
          <w:rFonts w:ascii="Arial" w:cs="Arial" w:eastAsia="Arial" w:hAnsi="Arial"/>
          <w:sz w:val="18"/>
          <w:szCs w:val="18"/>
          <w:color w:val="auto"/>
        </w:rPr>
        <w:t>On June 1, 2019, we completed the acquisition of VIP for approximately $29.9 million. With the purchase of VIP, we expanded our personal care services in the state of New York and into the New York City metropolitan area. We funded this acquisition through the delayed draw term loan portion of our credit facility and cash on hand.</w:t>
      </w:r>
    </w:p>
    <w:p>
      <w:pPr>
        <w:spacing w:after="0" w:line="130" w:lineRule="exact"/>
        <w:rPr>
          <w:sz w:val="20"/>
          <w:szCs w:val="20"/>
          <w:color w:val="auto"/>
        </w:rPr>
      </w:pPr>
    </w:p>
    <w:p>
      <w:pPr>
        <w:ind w:right="60" w:firstLine="476"/>
        <w:spacing w:after="0" w:line="259" w:lineRule="auto"/>
        <w:rPr>
          <w:sz w:val="20"/>
          <w:szCs w:val="20"/>
          <w:color w:val="auto"/>
        </w:rPr>
      </w:pPr>
      <w:r>
        <w:rPr>
          <w:rFonts w:ascii="Arial" w:cs="Arial" w:eastAsia="Arial" w:hAnsi="Arial"/>
          <w:sz w:val="18"/>
          <w:szCs w:val="18"/>
          <w:color w:val="auto"/>
        </w:rPr>
        <w:t>On August 1, 2019, we completed the acquisition of Alliance for approximately $23.5 million. Additionally, we acquired the assets of Foremost Home Care (“Foremost”) for approximately $1.4 million. We funded these acquisitions through a combination of our revolving credit facility and available cash. With the purchase of Alliance, we expanded our personal care, home health and hospice operations in the state of New Mexico. The addition of Foremost will support our growth strategy in the New York City market area.</w:t>
      </w:r>
    </w:p>
    <w:p>
      <w:pPr>
        <w:spacing w:after="0" w:line="133" w:lineRule="exact"/>
        <w:rPr>
          <w:sz w:val="20"/>
          <w:szCs w:val="20"/>
          <w:color w:val="auto"/>
        </w:rPr>
      </w:pPr>
    </w:p>
    <w:p>
      <w:pPr>
        <w:jc w:val="both"/>
        <w:ind w:firstLine="476"/>
        <w:spacing w:after="0" w:line="286" w:lineRule="auto"/>
        <w:rPr>
          <w:sz w:val="20"/>
          <w:szCs w:val="20"/>
          <w:color w:val="auto"/>
        </w:rPr>
      </w:pPr>
      <w:r>
        <w:rPr>
          <w:rFonts w:ascii="Arial" w:cs="Arial" w:eastAsia="Arial" w:hAnsi="Arial"/>
          <w:sz w:val="17"/>
          <w:szCs w:val="17"/>
          <w:color w:val="auto"/>
        </w:rPr>
        <w:t>On October 1, 2019, we completed the acquisition of Hospice Partners for approximately $135.6 million. We funded the acquisition with a portion of the net proceeds of our Public Offering. With the purchase of Hospice Partners, we expanded our hospice operations through 21 locations in Idaho, Kansas, Missouri, Oregon, Texas and Virginia. Hospice Partners also launched a palliative care program in Texas in 2018.</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223520</wp:posOffset>
            </wp:positionV>
            <wp:extent cx="7132320"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91" w:lineRule="exact"/>
        <w:rPr>
          <w:sz w:val="20"/>
          <w:szCs w:val="20"/>
          <w:color w:val="auto"/>
        </w:rPr>
      </w:pPr>
    </w:p>
    <w:p>
      <w:pPr>
        <w:ind w:right="40" w:firstLine="476"/>
        <w:spacing w:after="0" w:line="277" w:lineRule="auto"/>
        <w:rPr>
          <w:sz w:val="20"/>
          <w:szCs w:val="20"/>
          <w:color w:val="auto"/>
        </w:rPr>
      </w:pPr>
      <w:r>
        <w:rPr>
          <w:rFonts w:ascii="Arial" w:cs="Arial" w:eastAsia="Arial" w:hAnsi="Arial"/>
          <w:sz w:val="18"/>
          <w:szCs w:val="18"/>
          <w:color w:val="auto"/>
        </w:rPr>
        <w:t>On July 1, 2020, we completed the acquisition of A Plus for approximately $12.2 million, with funding provided by cash on hand. With the purchase of A Plus, we expanded our personal care services in the state of Montana.</w:t>
      </w:r>
    </w:p>
    <w:p>
      <w:pPr>
        <w:spacing w:after="0" w:line="116" w:lineRule="exact"/>
        <w:rPr>
          <w:sz w:val="20"/>
          <w:szCs w:val="20"/>
          <w:color w:val="auto"/>
        </w:rPr>
      </w:pPr>
    </w:p>
    <w:p>
      <w:pPr>
        <w:ind w:right="660" w:firstLine="476"/>
        <w:spacing w:after="0" w:line="277" w:lineRule="auto"/>
        <w:rPr>
          <w:sz w:val="20"/>
          <w:szCs w:val="20"/>
          <w:color w:val="auto"/>
        </w:rPr>
      </w:pPr>
      <w:r>
        <w:rPr>
          <w:rFonts w:ascii="Arial" w:cs="Arial" w:eastAsia="Arial" w:hAnsi="Arial"/>
          <w:sz w:val="18"/>
          <w:szCs w:val="18"/>
          <w:color w:val="auto"/>
        </w:rPr>
        <w:t>While we continue to identify and pursue acquisition opportunities, we are doing so with additional caution and diligence due to COVID-19 considerations.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 by Payor and Significant States</w:t>
      </w:r>
    </w:p>
    <w:p>
      <w:pPr>
        <w:spacing w:after="0" w:line="90" w:lineRule="exact"/>
        <w:rPr>
          <w:sz w:val="20"/>
          <w:szCs w:val="20"/>
          <w:color w:val="auto"/>
        </w:rPr>
      </w:pPr>
    </w:p>
    <w:p>
      <w:pPr>
        <w:ind w:right="20" w:firstLine="476"/>
        <w:spacing w:after="0" w:line="259" w:lineRule="auto"/>
        <w:rPr>
          <w:sz w:val="20"/>
          <w:szCs w:val="20"/>
          <w:color w:val="auto"/>
        </w:rPr>
      </w:pPr>
      <w:r>
        <w:rPr>
          <w:rFonts w:ascii="Arial" w:cs="Arial" w:eastAsia="Arial" w:hAnsi="Arial"/>
          <w:sz w:val="18"/>
          <w:szCs w:val="18"/>
          <w:color w:val="auto"/>
        </w:rPr>
        <w:t>Our payor clients are principally federal, state and local governmental agencies and managed care organizations. The federal, state and local programs under which the agencies operate are subject to legislative, budgetary and other risks that can influence reimbursement rates. We are experiencing a transition of business from government payors to managed care organizations, which we believe aligns with our emphasis on coordinated care and the reduction of the need for acute care.</w:t>
      </w:r>
    </w:p>
    <w:p>
      <w:pPr>
        <w:spacing w:after="0" w:line="133" w:lineRule="exact"/>
        <w:rPr>
          <w:sz w:val="20"/>
          <w:szCs w:val="20"/>
          <w:color w:val="auto"/>
        </w:rPr>
      </w:pPr>
    </w:p>
    <w:p>
      <w:pPr>
        <w:ind w:left="480"/>
        <w:spacing w:after="0"/>
        <w:rPr>
          <w:sz w:val="20"/>
          <w:szCs w:val="20"/>
          <w:color w:val="auto"/>
        </w:rPr>
      </w:pPr>
      <w:r>
        <w:rPr>
          <w:rFonts w:ascii="Arial" w:cs="Arial" w:eastAsia="Arial" w:hAnsi="Arial"/>
          <w:sz w:val="18"/>
          <w:szCs w:val="18"/>
          <w:color w:val="auto"/>
        </w:rPr>
        <w:t>For the three and six months ended June 30, 2020 and 2019 our revenue by payor and significant states by segment were as follows: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2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2200" w:type="dxa"/>
            <w:vAlign w:val="bottom"/>
            <w:tcBorders>
              <w:bottom w:val="single" w:sz="8" w:color="auto"/>
            </w:tcBorders>
            <w:gridSpan w:val="8"/>
          </w:tcPr>
          <w:p>
            <w:pPr>
              <w:jc w:val="right"/>
              <w:ind w:right="788"/>
              <w:spacing w:after="0"/>
              <w:rPr>
                <w:sz w:val="20"/>
                <w:szCs w:val="20"/>
                <w:color w:val="auto"/>
              </w:rPr>
            </w:pPr>
            <w:r>
              <w:rPr>
                <w:rFonts w:ascii="Arial" w:cs="Arial" w:eastAsia="Arial" w:hAnsi="Arial"/>
                <w:sz w:val="14"/>
                <w:szCs w:val="14"/>
                <w:b w:val="1"/>
                <w:bCs w:val="1"/>
                <w:color w:val="auto"/>
              </w:rPr>
              <w:t>Personal Care</w:t>
            </w:r>
          </w:p>
        </w:tc>
        <w:tc>
          <w:tcPr>
            <w:tcW w:w="6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22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spacing w:after="0"/>
              <w:rPr>
                <w:sz w:val="13"/>
                <w:szCs w:val="13"/>
                <w:color w:val="auto"/>
              </w:rPr>
            </w:pPr>
          </w:p>
        </w:tc>
        <w:tc>
          <w:tcPr>
            <w:tcW w:w="2460" w:type="dxa"/>
            <w:vAlign w:val="bottom"/>
            <w:tcBorders>
              <w:bottom w:val="single" w:sz="8" w:color="auto"/>
            </w:tcBorders>
            <w:gridSpan w:val="13"/>
          </w:tcPr>
          <w:p>
            <w:pPr>
              <w:jc w:val="right"/>
              <w:ind w:right="100"/>
              <w:spacing w:after="0" w:line="155" w:lineRule="exact"/>
              <w:rPr>
                <w:sz w:val="20"/>
                <w:szCs w:val="20"/>
                <w:color w:val="auto"/>
              </w:rPr>
            </w:pPr>
            <w:r>
              <w:rPr>
                <w:rFonts w:ascii="Arial" w:cs="Arial" w:eastAsia="Arial" w:hAnsi="Arial"/>
                <w:sz w:val="14"/>
                <w:szCs w:val="14"/>
                <w:b w:val="1"/>
                <w:bCs w:val="1"/>
                <w:color w:val="auto"/>
                <w:w w:val="93"/>
              </w:rPr>
              <w:t>For the Three Months Ended June 30,</w:t>
            </w:r>
          </w:p>
        </w:tc>
        <w:tc>
          <w:tcPr>
            <w:tcW w:w="80" w:type="dxa"/>
            <w:vAlign w:val="bottom"/>
            <w:tcBorders>
              <w:bottom w:val="single" w:sz="8" w:color="auto"/>
            </w:tcBorders>
          </w:tcPr>
          <w:p>
            <w:pPr>
              <w:spacing w:after="0"/>
              <w:rPr>
                <w:sz w:val="13"/>
                <w:szCs w:val="13"/>
                <w:color w:val="auto"/>
              </w:rPr>
            </w:pPr>
          </w:p>
        </w:tc>
        <w:tc>
          <w:tcPr>
            <w:tcW w:w="660" w:type="dxa"/>
            <w:vAlign w:val="bottom"/>
            <w:tcBorders>
              <w:bottom w:val="single" w:sz="8" w:color="auto"/>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3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2460" w:type="dxa"/>
            <w:vAlign w:val="bottom"/>
            <w:tcBorders>
              <w:bottom w:val="single" w:sz="8" w:color="auto"/>
            </w:tcBorders>
            <w:gridSpan w:val="11"/>
          </w:tcPr>
          <w:p>
            <w:pPr>
              <w:jc w:val="right"/>
              <w:ind w:right="240"/>
              <w:spacing w:after="0" w:line="155" w:lineRule="exact"/>
              <w:rPr>
                <w:sz w:val="20"/>
                <w:szCs w:val="20"/>
                <w:color w:val="auto"/>
              </w:rPr>
            </w:pPr>
            <w:r>
              <w:rPr>
                <w:rFonts w:ascii="Arial" w:cs="Arial" w:eastAsia="Arial" w:hAnsi="Arial"/>
                <w:sz w:val="14"/>
                <w:szCs w:val="14"/>
                <w:b w:val="1"/>
                <w:bCs w:val="1"/>
                <w:color w:val="auto"/>
                <w:w w:val="94"/>
              </w:rPr>
              <w:t>For the Six Months Ended June 30,</w:t>
            </w:r>
          </w:p>
        </w:tc>
        <w:tc>
          <w:tcPr>
            <w:tcW w:w="2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tcPr>
          <w:p>
            <w:pPr>
              <w:spacing w:after="0"/>
              <w:rPr>
                <w:sz w:val="13"/>
                <w:szCs w:val="13"/>
                <w:color w:val="auto"/>
              </w:rPr>
            </w:pPr>
          </w:p>
        </w:tc>
        <w:tc>
          <w:tcPr>
            <w:tcW w:w="2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22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gridSpan w:val="4"/>
          </w:tcPr>
          <w:p>
            <w:pPr>
              <w:jc w:val="right"/>
              <w:spacing w:after="0" w:line="155" w:lineRule="exact"/>
              <w:rPr>
                <w:sz w:val="20"/>
                <w:szCs w:val="20"/>
                <w:color w:val="auto"/>
              </w:rPr>
            </w:pPr>
            <w:r>
              <w:rPr>
                <w:rFonts w:ascii="Arial" w:cs="Arial" w:eastAsia="Arial" w:hAnsi="Arial"/>
                <w:sz w:val="14"/>
                <w:szCs w:val="14"/>
                <w:b w:val="1"/>
                <w:bCs w:val="1"/>
                <w:color w:val="auto"/>
              </w:rPr>
              <w:t>2020</w:t>
            </w:r>
          </w:p>
        </w:tc>
        <w:tc>
          <w:tcPr>
            <w:tcW w:w="60" w:type="dxa"/>
            <w:vAlign w:val="bottom"/>
            <w:tcBorders>
              <w:bottom w:val="single" w:sz="8" w:color="auto"/>
            </w:tcBorders>
          </w:tcPr>
          <w:p>
            <w:pPr>
              <w:spacing w:after="0"/>
              <w:rPr>
                <w:sz w:val="13"/>
                <w:szCs w:val="13"/>
                <w:color w:val="auto"/>
              </w:rPr>
            </w:pPr>
          </w:p>
        </w:tc>
        <w:tc>
          <w:tcPr>
            <w:tcW w:w="66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3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gridSpan w:val="4"/>
          </w:tcPr>
          <w:p>
            <w:pPr>
              <w:jc w:val="right"/>
              <w:spacing w:after="0" w:line="155" w:lineRule="exact"/>
              <w:rPr>
                <w:sz w:val="20"/>
                <w:szCs w:val="20"/>
                <w:color w:val="auto"/>
              </w:rPr>
            </w:pPr>
            <w:r>
              <w:rPr>
                <w:rFonts w:ascii="Arial" w:cs="Arial" w:eastAsia="Arial" w:hAnsi="Arial"/>
                <w:sz w:val="14"/>
                <w:szCs w:val="14"/>
                <w:b w:val="1"/>
                <w:bCs w:val="1"/>
                <w:color w:val="auto"/>
              </w:rPr>
              <w:t>2019</w:t>
            </w:r>
          </w:p>
        </w:tc>
        <w:tc>
          <w:tcPr>
            <w:tcW w:w="80" w:type="dxa"/>
            <w:vAlign w:val="bottom"/>
            <w:tcBorders>
              <w:bottom w:val="single" w:sz="8" w:color="auto"/>
            </w:tcBorders>
          </w:tcPr>
          <w:p>
            <w:pPr>
              <w:spacing w:after="0"/>
              <w:rPr>
                <w:sz w:val="13"/>
                <w:szCs w:val="13"/>
                <w:color w:val="auto"/>
              </w:rPr>
            </w:pPr>
          </w:p>
        </w:tc>
        <w:tc>
          <w:tcPr>
            <w:tcW w:w="660" w:type="dxa"/>
            <w:vAlign w:val="bottom"/>
            <w:tcBorders>
              <w:bottom w:val="single" w:sz="8" w:color="auto"/>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3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gridSpan w:val="3"/>
          </w:tcPr>
          <w:p>
            <w:pPr>
              <w:jc w:val="right"/>
              <w:spacing w:after="0" w:line="155" w:lineRule="exact"/>
              <w:rPr>
                <w:sz w:val="20"/>
                <w:szCs w:val="20"/>
                <w:color w:val="auto"/>
              </w:rPr>
            </w:pPr>
            <w:r>
              <w:rPr>
                <w:rFonts w:ascii="Arial" w:cs="Arial" w:eastAsia="Arial" w:hAnsi="Arial"/>
                <w:sz w:val="14"/>
                <w:szCs w:val="14"/>
                <w:b w:val="1"/>
                <w:bCs w:val="1"/>
                <w:color w:val="auto"/>
              </w:rPr>
              <w:t>2020</w:t>
            </w:r>
          </w:p>
        </w:tc>
        <w:tc>
          <w:tcPr>
            <w:tcW w:w="6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3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980" w:type="dxa"/>
            <w:vAlign w:val="bottom"/>
            <w:tcBorders>
              <w:bottom w:val="single" w:sz="8" w:color="auto"/>
            </w:tcBorders>
            <w:gridSpan w:val="4"/>
          </w:tcPr>
          <w:p>
            <w:pPr>
              <w:jc w:val="right"/>
              <w:ind w:right="40"/>
              <w:spacing w:after="0" w:line="155" w:lineRule="exact"/>
              <w:rPr>
                <w:sz w:val="20"/>
                <w:szCs w:val="20"/>
                <w:color w:val="auto"/>
              </w:rPr>
            </w:pPr>
            <w:r>
              <w:rPr>
                <w:rFonts w:ascii="Arial" w:cs="Arial" w:eastAsia="Arial" w:hAnsi="Arial"/>
                <w:sz w:val="14"/>
                <w:szCs w:val="14"/>
                <w:b w:val="1"/>
                <w:bCs w:val="1"/>
                <w:color w:val="auto"/>
              </w:rPr>
              <w:t>2019</w:t>
            </w:r>
          </w:p>
        </w:tc>
        <w:tc>
          <w:tcPr>
            <w:tcW w:w="2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tcPr>
          <w:p>
            <w:pPr>
              <w:spacing w:after="0"/>
              <w:rPr>
                <w:sz w:val="13"/>
                <w:szCs w:val="13"/>
                <w:color w:val="auto"/>
              </w:rPr>
            </w:pPr>
          </w:p>
        </w:tc>
        <w:tc>
          <w:tcPr>
            <w:tcW w:w="2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3"/>
        </w:trPr>
        <w:tc>
          <w:tcPr>
            <w:tcW w:w="22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gridSpan w:val="2"/>
          </w:tcPr>
          <w:p>
            <w:pPr>
              <w:jc w:val="center"/>
              <w:spacing w:after="0" w:line="133" w:lineRule="exact"/>
              <w:rPr>
                <w:sz w:val="20"/>
                <w:szCs w:val="20"/>
                <w:color w:val="auto"/>
              </w:rPr>
            </w:pPr>
            <w:r>
              <w:rPr>
                <w:rFonts w:ascii="Arial" w:cs="Arial" w:eastAsia="Arial" w:hAnsi="Arial"/>
                <w:sz w:val="14"/>
                <w:szCs w:val="14"/>
                <w:b w:val="1"/>
                <w:bCs w:val="1"/>
                <w:color w:val="auto"/>
              </w:rPr>
              <w:t>% of</w:t>
            </w: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gridSpan w:val="2"/>
          </w:tcPr>
          <w:p>
            <w:pPr>
              <w:jc w:val="center"/>
              <w:ind w:right="20"/>
              <w:spacing w:after="0" w:line="133" w:lineRule="exact"/>
              <w:rPr>
                <w:sz w:val="20"/>
                <w:szCs w:val="20"/>
                <w:color w:val="auto"/>
              </w:rPr>
            </w:pPr>
            <w:r>
              <w:rPr>
                <w:rFonts w:ascii="Arial" w:cs="Arial" w:eastAsia="Arial" w:hAnsi="Arial"/>
                <w:sz w:val="14"/>
                <w:szCs w:val="14"/>
                <w:b w:val="1"/>
                <w:bCs w:val="1"/>
                <w:color w:val="auto"/>
              </w:rPr>
              <w:t>% of</w:t>
            </w:r>
          </w:p>
        </w:tc>
        <w:tc>
          <w:tcPr>
            <w:tcW w:w="3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gridSpan w:val="2"/>
          </w:tcPr>
          <w:p>
            <w:pPr>
              <w:jc w:val="center"/>
              <w:ind w:right="20"/>
              <w:spacing w:after="0" w:line="133" w:lineRule="exact"/>
              <w:rPr>
                <w:sz w:val="20"/>
                <w:szCs w:val="20"/>
                <w:color w:val="auto"/>
              </w:rPr>
            </w:pPr>
            <w:r>
              <w:rPr>
                <w:rFonts w:ascii="Arial" w:cs="Arial" w:eastAsia="Arial" w:hAnsi="Arial"/>
                <w:sz w:val="14"/>
                <w:szCs w:val="14"/>
                <w:b w:val="1"/>
                <w:bCs w:val="1"/>
                <w:color w:val="auto"/>
              </w:rPr>
              <w:t>% of</w:t>
            </w:r>
          </w:p>
        </w:tc>
        <w:tc>
          <w:tcPr>
            <w:tcW w:w="3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40" w:type="dxa"/>
            <w:vAlign w:val="bottom"/>
          </w:tcPr>
          <w:p>
            <w:pPr>
              <w:jc w:val="center"/>
              <w:spacing w:after="0" w:line="133" w:lineRule="exact"/>
              <w:rPr>
                <w:sz w:val="20"/>
                <w:szCs w:val="20"/>
                <w:color w:val="auto"/>
              </w:rPr>
            </w:pPr>
            <w:r>
              <w:rPr>
                <w:rFonts w:ascii="Arial" w:cs="Arial" w:eastAsia="Arial" w:hAnsi="Arial"/>
                <w:sz w:val="14"/>
                <w:szCs w:val="14"/>
                <w:b w:val="1"/>
                <w:bCs w:val="1"/>
                <w:color w:val="auto"/>
              </w:rPr>
              <w:t>% of</w:t>
            </w:r>
          </w:p>
        </w:tc>
        <w:tc>
          <w:tcPr>
            <w:tcW w:w="2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2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gridSpan w:val="4"/>
            <w:vMerge w:val="restart"/>
          </w:tcPr>
          <w:p>
            <w:pPr>
              <w:ind w:left="80"/>
              <w:spacing w:after="0"/>
              <w:rPr>
                <w:sz w:val="20"/>
                <w:szCs w:val="20"/>
                <w:color w:val="auto"/>
              </w:rPr>
            </w:pPr>
            <w:r>
              <w:rPr>
                <w:rFonts w:ascii="Arial" w:cs="Arial" w:eastAsia="Arial" w:hAnsi="Arial"/>
                <w:sz w:val="14"/>
                <w:szCs w:val="14"/>
                <w:b w:val="1"/>
                <w:bCs w:val="1"/>
                <w:color w:val="auto"/>
              </w:rPr>
              <w:t>Amount</w:t>
            </w:r>
          </w:p>
        </w:tc>
        <w:tc>
          <w:tcPr>
            <w:tcW w:w="60" w:type="dxa"/>
            <w:vAlign w:val="bottom"/>
          </w:tcPr>
          <w:p>
            <w:pPr>
              <w:spacing w:after="0"/>
              <w:rPr>
                <w:sz w:val="12"/>
                <w:szCs w:val="12"/>
                <w:color w:val="auto"/>
              </w:rPr>
            </w:pPr>
          </w:p>
        </w:tc>
        <w:tc>
          <w:tcPr>
            <w:tcW w:w="740" w:type="dxa"/>
            <w:vAlign w:val="bottom"/>
            <w:gridSpan w:val="2"/>
          </w:tcPr>
          <w:p>
            <w:pPr>
              <w:jc w:val="center"/>
              <w:ind w:right="20"/>
              <w:spacing w:after="0" w:line="149" w:lineRule="exact"/>
              <w:rPr>
                <w:sz w:val="20"/>
                <w:szCs w:val="20"/>
                <w:color w:val="auto"/>
              </w:rPr>
            </w:pPr>
            <w:r>
              <w:rPr>
                <w:rFonts w:ascii="Arial" w:cs="Arial" w:eastAsia="Arial" w:hAnsi="Arial"/>
                <w:sz w:val="14"/>
                <w:szCs w:val="14"/>
                <w:b w:val="1"/>
                <w:bCs w:val="1"/>
                <w:color w:val="auto"/>
                <w:w w:val="87"/>
              </w:rPr>
              <w:t>Segment</w:t>
            </w: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gridSpan w:val="4"/>
            <w:vMerge w:val="restart"/>
          </w:tcPr>
          <w:p>
            <w:pPr>
              <w:ind w:left="100"/>
              <w:spacing w:after="0"/>
              <w:rPr>
                <w:sz w:val="20"/>
                <w:szCs w:val="20"/>
                <w:color w:val="auto"/>
              </w:rPr>
            </w:pPr>
            <w:r>
              <w:rPr>
                <w:rFonts w:ascii="Arial" w:cs="Arial" w:eastAsia="Arial" w:hAnsi="Arial"/>
                <w:sz w:val="14"/>
                <w:szCs w:val="14"/>
                <w:b w:val="1"/>
                <w:bCs w:val="1"/>
                <w:color w:val="auto"/>
              </w:rPr>
              <w:t>Amount</w:t>
            </w:r>
          </w:p>
        </w:tc>
        <w:tc>
          <w:tcPr>
            <w:tcW w:w="80" w:type="dxa"/>
            <w:vAlign w:val="bottom"/>
          </w:tcPr>
          <w:p>
            <w:pPr>
              <w:spacing w:after="0"/>
              <w:rPr>
                <w:sz w:val="12"/>
                <w:szCs w:val="12"/>
                <w:color w:val="auto"/>
              </w:rPr>
            </w:pPr>
          </w:p>
        </w:tc>
        <w:tc>
          <w:tcPr>
            <w:tcW w:w="720" w:type="dxa"/>
            <w:vAlign w:val="bottom"/>
            <w:gridSpan w:val="2"/>
          </w:tcPr>
          <w:p>
            <w:pPr>
              <w:jc w:val="center"/>
              <w:ind w:right="20"/>
              <w:spacing w:after="0" w:line="149" w:lineRule="exact"/>
              <w:rPr>
                <w:sz w:val="20"/>
                <w:szCs w:val="20"/>
                <w:color w:val="auto"/>
              </w:rPr>
            </w:pPr>
            <w:r>
              <w:rPr>
                <w:rFonts w:ascii="Arial" w:cs="Arial" w:eastAsia="Arial" w:hAnsi="Arial"/>
                <w:sz w:val="14"/>
                <w:szCs w:val="14"/>
                <w:b w:val="1"/>
                <w:bCs w:val="1"/>
                <w:color w:val="auto"/>
                <w:w w:val="91"/>
              </w:rPr>
              <w:t>Segment</w:t>
            </w:r>
          </w:p>
        </w:tc>
        <w:tc>
          <w:tcPr>
            <w:tcW w:w="3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gridSpan w:val="3"/>
            <w:vMerge w:val="restart"/>
          </w:tcPr>
          <w:p>
            <w:pPr>
              <w:jc w:val="right"/>
              <w:ind w:right="308"/>
              <w:spacing w:after="0"/>
              <w:rPr>
                <w:sz w:val="20"/>
                <w:szCs w:val="20"/>
                <w:color w:val="auto"/>
              </w:rPr>
            </w:pPr>
            <w:r>
              <w:rPr>
                <w:rFonts w:ascii="Arial" w:cs="Arial" w:eastAsia="Arial" w:hAnsi="Arial"/>
                <w:sz w:val="14"/>
                <w:szCs w:val="14"/>
                <w:b w:val="1"/>
                <w:bCs w:val="1"/>
                <w:color w:val="auto"/>
              </w:rPr>
              <w:t>Amount</w:t>
            </w:r>
          </w:p>
        </w:tc>
        <w:tc>
          <w:tcPr>
            <w:tcW w:w="60" w:type="dxa"/>
            <w:vAlign w:val="bottom"/>
          </w:tcPr>
          <w:p>
            <w:pPr>
              <w:spacing w:after="0"/>
              <w:rPr>
                <w:sz w:val="12"/>
                <w:szCs w:val="12"/>
                <w:color w:val="auto"/>
              </w:rPr>
            </w:pPr>
          </w:p>
        </w:tc>
        <w:tc>
          <w:tcPr>
            <w:tcW w:w="72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7"/>
              </w:rPr>
              <w:t>Segment</w:t>
            </w:r>
          </w:p>
        </w:tc>
        <w:tc>
          <w:tcPr>
            <w:tcW w:w="3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80" w:type="dxa"/>
            <w:vAlign w:val="bottom"/>
            <w:gridSpan w:val="4"/>
            <w:vMerge w:val="restart"/>
          </w:tcPr>
          <w:p>
            <w:pPr>
              <w:jc w:val="right"/>
              <w:ind w:right="400"/>
              <w:spacing w:after="0"/>
              <w:rPr>
                <w:sz w:val="20"/>
                <w:szCs w:val="20"/>
                <w:color w:val="auto"/>
              </w:rPr>
            </w:pPr>
            <w:r>
              <w:rPr>
                <w:rFonts w:ascii="Arial" w:cs="Arial" w:eastAsia="Arial" w:hAnsi="Arial"/>
                <w:sz w:val="14"/>
                <w:szCs w:val="14"/>
                <w:b w:val="1"/>
                <w:bCs w:val="1"/>
                <w:color w:val="auto"/>
              </w:rPr>
              <w:t>Amount</w:t>
            </w:r>
          </w:p>
        </w:tc>
        <w:tc>
          <w:tcPr>
            <w:tcW w:w="20" w:type="dxa"/>
            <w:vAlign w:val="bottom"/>
          </w:tcPr>
          <w:p>
            <w:pPr>
              <w:spacing w:after="0"/>
              <w:rPr>
                <w:sz w:val="12"/>
                <w:szCs w:val="12"/>
                <w:color w:val="auto"/>
              </w:rPr>
            </w:pPr>
          </w:p>
        </w:tc>
        <w:tc>
          <w:tcPr>
            <w:tcW w:w="7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7"/>
              </w:rPr>
              <w:t>Segment</w:t>
            </w:r>
          </w:p>
        </w:tc>
        <w:tc>
          <w:tcPr>
            <w:tcW w:w="2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gridSpan w:val="4"/>
            <w:vMerge w:val="continue"/>
          </w:tcPr>
          <w:p>
            <w:pPr>
              <w:spacing w:after="0"/>
              <w:rPr>
                <w:sz w:val="12"/>
                <w:szCs w:val="12"/>
                <w:color w:val="auto"/>
              </w:rPr>
            </w:pPr>
          </w:p>
        </w:tc>
        <w:tc>
          <w:tcPr>
            <w:tcW w:w="60" w:type="dxa"/>
            <w:vAlign w:val="bottom"/>
          </w:tcPr>
          <w:p>
            <w:pPr>
              <w:spacing w:after="0"/>
              <w:rPr>
                <w:sz w:val="12"/>
                <w:szCs w:val="12"/>
                <w:color w:val="auto"/>
              </w:rPr>
            </w:pPr>
          </w:p>
        </w:tc>
        <w:tc>
          <w:tcPr>
            <w:tcW w:w="74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1"/>
              </w:rPr>
              <w:t>Net Service</w:t>
            </w: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gridSpan w:val="4"/>
            <w:vMerge w:val="continue"/>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gridSpan w:val="2"/>
          </w:tcPr>
          <w:p>
            <w:pPr>
              <w:jc w:val="center"/>
              <w:ind w:right="20"/>
              <w:spacing w:after="0" w:line="149" w:lineRule="exact"/>
              <w:rPr>
                <w:sz w:val="20"/>
                <w:szCs w:val="20"/>
                <w:color w:val="auto"/>
              </w:rPr>
            </w:pPr>
            <w:r>
              <w:rPr>
                <w:rFonts w:ascii="Arial" w:cs="Arial" w:eastAsia="Arial" w:hAnsi="Arial"/>
                <w:sz w:val="14"/>
                <w:szCs w:val="14"/>
                <w:b w:val="1"/>
                <w:bCs w:val="1"/>
                <w:color w:val="auto"/>
                <w:w w:val="91"/>
              </w:rPr>
              <w:t>Net Service</w:t>
            </w:r>
          </w:p>
        </w:tc>
        <w:tc>
          <w:tcPr>
            <w:tcW w:w="3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gridSpan w:val="3"/>
            <w:vMerge w:val="continue"/>
          </w:tcPr>
          <w:p>
            <w:pPr>
              <w:spacing w:after="0"/>
              <w:rPr>
                <w:sz w:val="12"/>
                <w:szCs w:val="12"/>
                <w:color w:val="auto"/>
              </w:rPr>
            </w:pPr>
          </w:p>
        </w:tc>
        <w:tc>
          <w:tcPr>
            <w:tcW w:w="60" w:type="dxa"/>
            <w:vAlign w:val="bottom"/>
          </w:tcPr>
          <w:p>
            <w:pPr>
              <w:spacing w:after="0"/>
              <w:rPr>
                <w:sz w:val="12"/>
                <w:szCs w:val="12"/>
                <w:color w:val="auto"/>
              </w:rPr>
            </w:pPr>
          </w:p>
        </w:tc>
        <w:tc>
          <w:tcPr>
            <w:tcW w:w="720" w:type="dxa"/>
            <w:vAlign w:val="bottom"/>
            <w:gridSpan w:val="2"/>
          </w:tcPr>
          <w:p>
            <w:pPr>
              <w:jc w:val="center"/>
              <w:ind w:right="20"/>
              <w:spacing w:after="0" w:line="149" w:lineRule="exact"/>
              <w:rPr>
                <w:sz w:val="20"/>
                <w:szCs w:val="20"/>
                <w:color w:val="auto"/>
              </w:rPr>
            </w:pPr>
            <w:r>
              <w:rPr>
                <w:rFonts w:ascii="Arial" w:cs="Arial" w:eastAsia="Arial" w:hAnsi="Arial"/>
                <w:sz w:val="14"/>
                <w:szCs w:val="14"/>
                <w:b w:val="1"/>
                <w:bCs w:val="1"/>
                <w:color w:val="auto"/>
                <w:w w:val="91"/>
              </w:rPr>
              <w:t>Net Service</w:t>
            </w:r>
          </w:p>
        </w:tc>
        <w:tc>
          <w:tcPr>
            <w:tcW w:w="3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80" w:type="dxa"/>
            <w:vAlign w:val="bottom"/>
            <w:gridSpan w:val="4"/>
            <w:vMerge w:val="continue"/>
          </w:tcPr>
          <w:p>
            <w:pPr>
              <w:spacing w:after="0"/>
              <w:rPr>
                <w:sz w:val="12"/>
                <w:szCs w:val="12"/>
                <w:color w:val="auto"/>
              </w:rPr>
            </w:pPr>
          </w:p>
        </w:tc>
        <w:tc>
          <w:tcPr>
            <w:tcW w:w="20" w:type="dxa"/>
            <w:vAlign w:val="bottom"/>
          </w:tcPr>
          <w:p>
            <w:pPr>
              <w:spacing w:after="0"/>
              <w:rPr>
                <w:sz w:val="12"/>
                <w:szCs w:val="12"/>
                <w:color w:val="auto"/>
              </w:rPr>
            </w:pPr>
          </w:p>
        </w:tc>
        <w:tc>
          <w:tcPr>
            <w:tcW w:w="7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1"/>
              </w:rPr>
              <w:t>Net Service</w:t>
            </w:r>
          </w:p>
        </w:tc>
        <w:tc>
          <w:tcPr>
            <w:tcW w:w="2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2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80" w:type="dxa"/>
            <w:vAlign w:val="bottom"/>
            <w:gridSpan w:val="5"/>
          </w:tcPr>
          <w:p>
            <w:pPr>
              <w:spacing w:after="0"/>
              <w:rPr>
                <w:sz w:val="20"/>
                <w:szCs w:val="20"/>
                <w:color w:val="auto"/>
              </w:rPr>
            </w:pPr>
            <w:r>
              <w:rPr>
                <w:rFonts w:ascii="Arial" w:cs="Arial" w:eastAsia="Arial" w:hAnsi="Arial"/>
                <w:sz w:val="14"/>
                <w:szCs w:val="14"/>
                <w:b w:val="1"/>
                <w:bCs w:val="1"/>
                <w:color w:val="auto"/>
              </w:rPr>
              <w:t>(in Thousands)</w:t>
            </w:r>
          </w:p>
        </w:tc>
        <w:tc>
          <w:tcPr>
            <w:tcW w:w="60" w:type="dxa"/>
            <w:vAlign w:val="bottom"/>
          </w:tcPr>
          <w:p>
            <w:pPr>
              <w:spacing w:after="0"/>
              <w:rPr>
                <w:sz w:val="14"/>
                <w:szCs w:val="14"/>
                <w:color w:val="auto"/>
              </w:rPr>
            </w:pPr>
          </w:p>
        </w:tc>
        <w:tc>
          <w:tcPr>
            <w:tcW w:w="740" w:type="dxa"/>
            <w:vAlign w:val="bottom"/>
            <w:gridSpan w:val="2"/>
          </w:tcPr>
          <w:p>
            <w:pPr>
              <w:jc w:val="center"/>
              <w:ind w:right="20"/>
              <w:spacing w:after="0"/>
              <w:rPr>
                <w:sz w:val="20"/>
                <w:szCs w:val="20"/>
                <w:color w:val="auto"/>
              </w:rPr>
            </w:pPr>
            <w:r>
              <w:rPr>
                <w:rFonts w:ascii="Arial" w:cs="Arial" w:eastAsia="Arial" w:hAnsi="Arial"/>
                <w:sz w:val="14"/>
                <w:szCs w:val="14"/>
                <w:b w:val="1"/>
                <w:bCs w:val="1"/>
                <w:color w:val="auto"/>
                <w:w w:val="90"/>
              </w:rPr>
              <w:t>Revenues</w:t>
            </w:r>
          </w:p>
        </w:tc>
        <w:tc>
          <w:tcPr>
            <w:tcW w:w="3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80" w:type="dxa"/>
            <w:vAlign w:val="bottom"/>
            <w:gridSpan w:val="5"/>
          </w:tcPr>
          <w:p>
            <w:pPr>
              <w:jc w:val="right"/>
              <w:ind w:right="160"/>
              <w:spacing w:after="0"/>
              <w:rPr>
                <w:sz w:val="20"/>
                <w:szCs w:val="20"/>
                <w:color w:val="auto"/>
              </w:rPr>
            </w:pPr>
            <w:r>
              <w:rPr>
                <w:rFonts w:ascii="Arial" w:cs="Arial" w:eastAsia="Arial" w:hAnsi="Arial"/>
                <w:sz w:val="14"/>
                <w:szCs w:val="14"/>
                <w:b w:val="1"/>
                <w:bCs w:val="1"/>
                <w:color w:val="auto"/>
                <w:w w:val="89"/>
              </w:rPr>
              <w:t>(in Thousands)</w:t>
            </w:r>
          </w:p>
        </w:tc>
        <w:tc>
          <w:tcPr>
            <w:tcW w:w="80" w:type="dxa"/>
            <w:vAlign w:val="bottom"/>
          </w:tcPr>
          <w:p>
            <w:pPr>
              <w:spacing w:after="0"/>
              <w:rPr>
                <w:sz w:val="14"/>
                <w:szCs w:val="14"/>
                <w:color w:val="auto"/>
              </w:rPr>
            </w:pPr>
          </w:p>
        </w:tc>
        <w:tc>
          <w:tcPr>
            <w:tcW w:w="720" w:type="dxa"/>
            <w:vAlign w:val="bottom"/>
            <w:gridSpan w:val="2"/>
          </w:tcPr>
          <w:p>
            <w:pPr>
              <w:jc w:val="center"/>
              <w:ind w:right="20"/>
              <w:spacing w:after="0"/>
              <w:rPr>
                <w:sz w:val="20"/>
                <w:szCs w:val="20"/>
                <w:color w:val="auto"/>
              </w:rPr>
            </w:pPr>
            <w:r>
              <w:rPr>
                <w:rFonts w:ascii="Arial" w:cs="Arial" w:eastAsia="Arial" w:hAnsi="Arial"/>
                <w:sz w:val="14"/>
                <w:szCs w:val="14"/>
                <w:b w:val="1"/>
                <w:bCs w:val="1"/>
                <w:color w:val="auto"/>
                <w:w w:val="87"/>
              </w:rPr>
              <w:t>Revenues</w:t>
            </w:r>
          </w:p>
        </w:tc>
        <w:tc>
          <w:tcPr>
            <w:tcW w:w="3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80" w:type="dxa"/>
            <w:vAlign w:val="bottom"/>
            <w:gridSpan w:val="4"/>
          </w:tcPr>
          <w:p>
            <w:pPr>
              <w:jc w:val="right"/>
              <w:ind w:right="88"/>
              <w:spacing w:after="0"/>
              <w:rPr>
                <w:sz w:val="20"/>
                <w:szCs w:val="20"/>
                <w:color w:val="auto"/>
              </w:rPr>
            </w:pPr>
            <w:r>
              <w:rPr>
                <w:rFonts w:ascii="Arial" w:cs="Arial" w:eastAsia="Arial" w:hAnsi="Arial"/>
                <w:sz w:val="14"/>
                <w:szCs w:val="14"/>
                <w:b w:val="1"/>
                <w:bCs w:val="1"/>
                <w:color w:val="auto"/>
                <w:w w:val="89"/>
              </w:rPr>
              <w:t>(in Thousands)</w:t>
            </w:r>
          </w:p>
        </w:tc>
        <w:tc>
          <w:tcPr>
            <w:tcW w:w="60" w:type="dxa"/>
            <w:vAlign w:val="bottom"/>
          </w:tcPr>
          <w:p>
            <w:pPr>
              <w:spacing w:after="0"/>
              <w:rPr>
                <w:sz w:val="14"/>
                <w:szCs w:val="14"/>
                <w:color w:val="auto"/>
              </w:rPr>
            </w:pPr>
          </w:p>
        </w:tc>
        <w:tc>
          <w:tcPr>
            <w:tcW w:w="720" w:type="dxa"/>
            <w:vAlign w:val="bottom"/>
            <w:gridSpan w:val="2"/>
          </w:tcPr>
          <w:p>
            <w:pPr>
              <w:jc w:val="center"/>
              <w:ind w:right="20"/>
              <w:spacing w:after="0"/>
              <w:rPr>
                <w:sz w:val="20"/>
                <w:szCs w:val="20"/>
                <w:color w:val="auto"/>
              </w:rPr>
            </w:pPr>
            <w:r>
              <w:rPr>
                <w:rFonts w:ascii="Arial" w:cs="Arial" w:eastAsia="Arial" w:hAnsi="Arial"/>
                <w:sz w:val="14"/>
                <w:szCs w:val="14"/>
                <w:b w:val="1"/>
                <w:bCs w:val="1"/>
                <w:color w:val="auto"/>
                <w:w w:val="87"/>
              </w:rPr>
              <w:t>Revenues</w:t>
            </w:r>
          </w:p>
        </w:tc>
        <w:tc>
          <w:tcPr>
            <w:tcW w:w="3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120" w:type="dxa"/>
            <w:vAlign w:val="bottom"/>
            <w:gridSpan w:val="5"/>
          </w:tcPr>
          <w:p>
            <w:pPr>
              <w:spacing w:after="0"/>
              <w:rPr>
                <w:sz w:val="20"/>
                <w:szCs w:val="20"/>
                <w:color w:val="auto"/>
              </w:rPr>
            </w:pPr>
            <w:r>
              <w:rPr>
                <w:rFonts w:ascii="Arial" w:cs="Arial" w:eastAsia="Arial" w:hAnsi="Arial"/>
                <w:sz w:val="14"/>
                <w:szCs w:val="14"/>
                <w:b w:val="1"/>
                <w:bCs w:val="1"/>
                <w:color w:val="auto"/>
              </w:rPr>
              <w:t>(in Thousands)</w:t>
            </w:r>
          </w:p>
        </w:tc>
        <w:tc>
          <w:tcPr>
            <w:tcW w:w="20" w:type="dxa"/>
            <w:vAlign w:val="bottom"/>
          </w:tcPr>
          <w:p>
            <w:pPr>
              <w:spacing w:after="0"/>
              <w:rPr>
                <w:sz w:val="14"/>
                <w:szCs w:val="14"/>
                <w:color w:val="auto"/>
              </w:rPr>
            </w:pPr>
          </w:p>
        </w:tc>
        <w:tc>
          <w:tcPr>
            <w:tcW w:w="740" w:type="dxa"/>
            <w:vAlign w:val="bottom"/>
          </w:tcPr>
          <w:p>
            <w:pPr>
              <w:jc w:val="center"/>
              <w:spacing w:after="0"/>
              <w:rPr>
                <w:sz w:val="20"/>
                <w:szCs w:val="20"/>
                <w:color w:val="auto"/>
              </w:rPr>
            </w:pPr>
            <w:r>
              <w:rPr>
                <w:rFonts w:ascii="Arial" w:cs="Arial" w:eastAsia="Arial" w:hAnsi="Arial"/>
                <w:sz w:val="14"/>
                <w:szCs w:val="14"/>
                <w:b w:val="1"/>
                <w:bCs w:val="1"/>
                <w:color w:val="auto"/>
                <w:w w:val="87"/>
              </w:rPr>
              <w:t>Revenues</w:t>
            </w:r>
          </w:p>
        </w:tc>
        <w:tc>
          <w:tcPr>
            <w:tcW w:w="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9"/>
        </w:trPr>
        <w:tc>
          <w:tcPr>
            <w:tcW w:w="22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State, local and other</w:t>
            </w:r>
          </w:p>
        </w:tc>
        <w:tc>
          <w:tcPr>
            <w:tcW w:w="60" w:type="dxa"/>
            <w:vAlign w:val="bottom"/>
            <w:tcBorders>
              <w:top w:val="single" w:sz="8" w:color="CFF0FC"/>
            </w:tcBorders>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spacing w:after="0"/>
              <w:rPr>
                <w:sz w:val="18"/>
                <w:szCs w:val="18"/>
                <w:color w:val="auto"/>
              </w:rPr>
            </w:pPr>
          </w:p>
        </w:tc>
        <w:tc>
          <w:tcPr>
            <w:tcW w:w="760" w:type="dxa"/>
            <w:vAlign w:val="bottom"/>
            <w:tcBorders>
              <w:top w:val="single" w:sz="8" w:color="auto"/>
            </w:tcBorders>
            <w:shd w:val="clear" w:color="auto" w:fill="CFF0FC"/>
          </w:tcPr>
          <w:p>
            <w:pPr>
              <w:spacing w:after="0"/>
              <w:rPr>
                <w:sz w:val="18"/>
                <w:szCs w:val="18"/>
                <w:color w:val="auto"/>
              </w:rPr>
            </w:pPr>
          </w:p>
        </w:tc>
        <w:tc>
          <w:tcPr>
            <w:tcW w:w="40" w:type="dxa"/>
            <w:vAlign w:val="bottom"/>
            <w:tcBorders>
              <w:top w:val="single" w:sz="8" w:color="auto"/>
            </w:tcBorders>
            <w:shd w:val="clear" w:color="auto" w:fill="CFF0FC"/>
          </w:tcPr>
          <w:p>
            <w:pPr>
              <w:spacing w:after="0"/>
              <w:rPr>
                <w:sz w:val="18"/>
                <w:szCs w:val="18"/>
                <w:color w:val="auto"/>
              </w:rPr>
            </w:pPr>
          </w:p>
        </w:tc>
        <w:tc>
          <w:tcPr>
            <w:tcW w:w="140" w:type="dxa"/>
            <w:vAlign w:val="bottom"/>
            <w:tcBorders>
              <w:top w:val="single" w:sz="8" w:color="CFF0FC"/>
            </w:tcBorders>
            <w:shd w:val="clear" w:color="auto" w:fill="CFF0FC"/>
          </w:tcPr>
          <w:p>
            <w:pPr>
              <w:spacing w:after="0"/>
              <w:rPr>
                <w:sz w:val="18"/>
                <w:szCs w:val="18"/>
                <w:color w:val="auto"/>
              </w:rPr>
            </w:pPr>
          </w:p>
        </w:tc>
        <w:tc>
          <w:tcPr>
            <w:tcW w:w="20" w:type="dxa"/>
            <w:vAlign w:val="bottom"/>
            <w:tcBorders>
              <w:top w:val="single" w:sz="8" w:color="CFF0FC"/>
            </w:tcBorders>
            <w:shd w:val="clear" w:color="auto" w:fill="CFF0FC"/>
          </w:tcPr>
          <w:p>
            <w:pPr>
              <w:spacing w:after="0"/>
              <w:rPr>
                <w:sz w:val="18"/>
                <w:szCs w:val="18"/>
                <w:color w:val="auto"/>
              </w:rPr>
            </w:pPr>
          </w:p>
        </w:tc>
        <w:tc>
          <w:tcPr>
            <w:tcW w:w="60" w:type="dxa"/>
            <w:vAlign w:val="bottom"/>
            <w:tcBorders>
              <w:top w:val="single" w:sz="8" w:color="CFF0FC"/>
            </w:tcBorders>
            <w:shd w:val="clear" w:color="auto" w:fill="CFF0FC"/>
          </w:tcPr>
          <w:p>
            <w:pPr>
              <w:spacing w:after="0"/>
              <w:rPr>
                <w:sz w:val="18"/>
                <w:szCs w:val="18"/>
                <w:color w:val="auto"/>
              </w:rPr>
            </w:pPr>
          </w:p>
        </w:tc>
        <w:tc>
          <w:tcPr>
            <w:tcW w:w="660" w:type="dxa"/>
            <w:vAlign w:val="bottom"/>
            <w:tcBorders>
              <w:top w:val="single" w:sz="8" w:color="auto"/>
            </w:tcBorders>
            <w:shd w:val="clear" w:color="auto" w:fill="CFF0FC"/>
          </w:tcPr>
          <w:p>
            <w:pPr>
              <w:spacing w:after="0"/>
              <w:rPr>
                <w:sz w:val="18"/>
                <w:szCs w:val="18"/>
                <w:color w:val="auto"/>
              </w:rPr>
            </w:pPr>
          </w:p>
        </w:tc>
        <w:tc>
          <w:tcPr>
            <w:tcW w:w="80" w:type="dxa"/>
            <w:vAlign w:val="bottom"/>
            <w:tcBorders>
              <w:top w:val="single" w:sz="8" w:color="auto"/>
            </w:tcBorders>
            <w:shd w:val="clear" w:color="auto" w:fill="CFF0FC"/>
          </w:tcPr>
          <w:p>
            <w:pPr>
              <w:spacing w:after="0"/>
              <w:rPr>
                <w:sz w:val="18"/>
                <w:szCs w:val="18"/>
                <w:color w:val="auto"/>
              </w:rPr>
            </w:pPr>
          </w:p>
        </w:tc>
        <w:tc>
          <w:tcPr>
            <w:tcW w:w="300" w:type="dxa"/>
            <w:vAlign w:val="bottom"/>
            <w:tcBorders>
              <w:top w:val="single" w:sz="8" w:color="CFF0FC"/>
            </w:tcBorders>
            <w:shd w:val="clear" w:color="auto" w:fill="CFF0FC"/>
          </w:tcPr>
          <w:p>
            <w:pPr>
              <w:spacing w:after="0"/>
              <w:rPr>
                <w:sz w:val="18"/>
                <w:szCs w:val="18"/>
                <w:color w:val="auto"/>
              </w:rPr>
            </w:pPr>
          </w:p>
        </w:tc>
        <w:tc>
          <w:tcPr>
            <w:tcW w:w="80" w:type="dxa"/>
            <w:vAlign w:val="bottom"/>
            <w:tcBorders>
              <w:top w:val="single" w:sz="8" w:color="CFF0FC"/>
            </w:tcBorders>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spacing w:after="0"/>
              <w:rPr>
                <w:sz w:val="18"/>
                <w:szCs w:val="18"/>
                <w:color w:val="auto"/>
              </w:rPr>
            </w:pPr>
          </w:p>
        </w:tc>
        <w:tc>
          <w:tcPr>
            <w:tcW w:w="740" w:type="dxa"/>
            <w:vAlign w:val="bottom"/>
            <w:tcBorders>
              <w:top w:val="single" w:sz="8" w:color="auto"/>
            </w:tcBorders>
            <w:shd w:val="clear" w:color="auto" w:fill="CFF0FC"/>
          </w:tcPr>
          <w:p>
            <w:pPr>
              <w:spacing w:after="0"/>
              <w:rPr>
                <w:sz w:val="18"/>
                <w:szCs w:val="18"/>
                <w:color w:val="auto"/>
              </w:rPr>
            </w:pPr>
          </w:p>
        </w:tc>
        <w:tc>
          <w:tcPr>
            <w:tcW w:w="80" w:type="dxa"/>
            <w:vAlign w:val="bottom"/>
            <w:tcBorders>
              <w:top w:val="single" w:sz="8" w:color="auto"/>
            </w:tcBorders>
            <w:shd w:val="clear" w:color="auto" w:fill="CFF0FC"/>
          </w:tcPr>
          <w:p>
            <w:pPr>
              <w:spacing w:after="0"/>
              <w:rPr>
                <w:sz w:val="18"/>
                <w:szCs w:val="18"/>
                <w:color w:val="auto"/>
              </w:rPr>
            </w:pPr>
          </w:p>
        </w:tc>
        <w:tc>
          <w:tcPr>
            <w:tcW w:w="100" w:type="dxa"/>
            <w:vAlign w:val="bottom"/>
            <w:tcBorders>
              <w:top w:val="single" w:sz="8" w:color="CFF0FC"/>
            </w:tcBorders>
            <w:shd w:val="clear" w:color="auto" w:fill="CFF0FC"/>
          </w:tcPr>
          <w:p>
            <w:pPr>
              <w:spacing w:after="0"/>
              <w:rPr>
                <w:sz w:val="18"/>
                <w:szCs w:val="18"/>
                <w:color w:val="auto"/>
              </w:rPr>
            </w:pPr>
          </w:p>
        </w:tc>
        <w:tc>
          <w:tcPr>
            <w:tcW w:w="40" w:type="dxa"/>
            <w:vAlign w:val="bottom"/>
            <w:tcBorders>
              <w:top w:val="single" w:sz="8" w:color="auto"/>
            </w:tcBorders>
            <w:shd w:val="clear" w:color="auto" w:fill="CFF0FC"/>
          </w:tcPr>
          <w:p>
            <w:pPr>
              <w:spacing w:after="0"/>
              <w:rPr>
                <w:sz w:val="18"/>
                <w:szCs w:val="18"/>
                <w:color w:val="auto"/>
              </w:rPr>
            </w:pPr>
          </w:p>
        </w:tc>
        <w:tc>
          <w:tcPr>
            <w:tcW w:w="80" w:type="dxa"/>
            <w:vAlign w:val="bottom"/>
            <w:tcBorders>
              <w:top w:val="single" w:sz="8" w:color="auto"/>
            </w:tcBorders>
            <w:shd w:val="clear" w:color="auto" w:fill="CFF0FC"/>
          </w:tcPr>
          <w:p>
            <w:pPr>
              <w:spacing w:after="0"/>
              <w:rPr>
                <w:sz w:val="18"/>
                <w:szCs w:val="18"/>
                <w:color w:val="auto"/>
              </w:rPr>
            </w:pPr>
          </w:p>
        </w:tc>
        <w:tc>
          <w:tcPr>
            <w:tcW w:w="660" w:type="dxa"/>
            <w:vAlign w:val="bottom"/>
            <w:tcBorders>
              <w:top w:val="single" w:sz="8" w:color="auto"/>
            </w:tcBorders>
            <w:shd w:val="clear" w:color="auto" w:fill="CFF0FC"/>
          </w:tcPr>
          <w:p>
            <w:pPr>
              <w:spacing w:after="0"/>
              <w:rPr>
                <w:sz w:val="18"/>
                <w:szCs w:val="18"/>
                <w:color w:val="auto"/>
              </w:rPr>
            </w:pPr>
          </w:p>
        </w:tc>
        <w:tc>
          <w:tcPr>
            <w:tcW w:w="60" w:type="dxa"/>
            <w:vAlign w:val="bottom"/>
            <w:tcBorders>
              <w:top w:val="single" w:sz="8" w:color="auto"/>
            </w:tcBorders>
            <w:shd w:val="clear" w:color="auto" w:fill="CFF0FC"/>
          </w:tcPr>
          <w:p>
            <w:pPr>
              <w:spacing w:after="0"/>
              <w:rPr>
                <w:sz w:val="18"/>
                <w:szCs w:val="18"/>
                <w:color w:val="auto"/>
              </w:rPr>
            </w:pPr>
          </w:p>
        </w:tc>
        <w:tc>
          <w:tcPr>
            <w:tcW w:w="340" w:type="dxa"/>
            <w:vAlign w:val="bottom"/>
            <w:tcBorders>
              <w:top w:val="single" w:sz="8" w:color="CFF0FC"/>
            </w:tcBorders>
            <w:shd w:val="clear" w:color="auto" w:fill="CFF0FC"/>
          </w:tcPr>
          <w:p>
            <w:pPr>
              <w:spacing w:after="0"/>
              <w:rPr>
                <w:sz w:val="18"/>
                <w:szCs w:val="18"/>
                <w:color w:val="auto"/>
              </w:rPr>
            </w:pPr>
          </w:p>
        </w:tc>
        <w:tc>
          <w:tcPr>
            <w:tcW w:w="60" w:type="dxa"/>
            <w:vAlign w:val="bottom"/>
            <w:tcBorders>
              <w:top w:val="single" w:sz="8" w:color="CFF0FC"/>
            </w:tcBorders>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spacing w:after="0"/>
              <w:rPr>
                <w:sz w:val="18"/>
                <w:szCs w:val="18"/>
                <w:color w:val="auto"/>
              </w:rPr>
            </w:pPr>
          </w:p>
        </w:tc>
        <w:tc>
          <w:tcPr>
            <w:tcW w:w="740" w:type="dxa"/>
            <w:vAlign w:val="bottom"/>
            <w:tcBorders>
              <w:top w:val="single" w:sz="8" w:color="auto"/>
            </w:tcBorders>
            <w:shd w:val="clear" w:color="auto" w:fill="CFF0FC"/>
          </w:tcPr>
          <w:p>
            <w:pPr>
              <w:spacing w:after="0"/>
              <w:rPr>
                <w:sz w:val="18"/>
                <w:szCs w:val="18"/>
                <w:color w:val="auto"/>
              </w:rPr>
            </w:pPr>
          </w:p>
        </w:tc>
        <w:tc>
          <w:tcPr>
            <w:tcW w:w="60" w:type="dxa"/>
            <w:vAlign w:val="bottom"/>
            <w:tcBorders>
              <w:top w:val="single" w:sz="8" w:color="auto"/>
            </w:tcBorders>
            <w:shd w:val="clear" w:color="auto" w:fill="CFF0FC"/>
          </w:tcPr>
          <w:p>
            <w:pPr>
              <w:spacing w:after="0"/>
              <w:rPr>
                <w:sz w:val="18"/>
                <w:szCs w:val="18"/>
                <w:color w:val="auto"/>
              </w:rPr>
            </w:pPr>
          </w:p>
        </w:tc>
        <w:tc>
          <w:tcPr>
            <w:tcW w:w="160" w:type="dxa"/>
            <w:vAlign w:val="bottom"/>
            <w:tcBorders>
              <w:top w:val="single" w:sz="8" w:color="CFF0FC"/>
            </w:tcBorders>
            <w:shd w:val="clear" w:color="auto" w:fill="CFF0FC"/>
          </w:tcPr>
          <w:p>
            <w:pPr>
              <w:spacing w:after="0"/>
              <w:rPr>
                <w:sz w:val="18"/>
                <w:szCs w:val="18"/>
                <w:color w:val="auto"/>
              </w:rPr>
            </w:pPr>
          </w:p>
        </w:tc>
        <w:tc>
          <w:tcPr>
            <w:tcW w:w="60" w:type="dxa"/>
            <w:vAlign w:val="bottom"/>
            <w:tcBorders>
              <w:top w:val="single" w:sz="8" w:color="CFF0FC"/>
            </w:tcBorders>
            <w:shd w:val="clear" w:color="auto" w:fill="CFF0FC"/>
          </w:tcPr>
          <w:p>
            <w:pPr>
              <w:spacing w:after="0"/>
              <w:rPr>
                <w:sz w:val="18"/>
                <w:szCs w:val="18"/>
                <w:color w:val="auto"/>
              </w:rPr>
            </w:pPr>
          </w:p>
        </w:tc>
        <w:tc>
          <w:tcPr>
            <w:tcW w:w="700" w:type="dxa"/>
            <w:vAlign w:val="bottom"/>
            <w:tcBorders>
              <w:top w:val="single" w:sz="8" w:color="auto"/>
            </w:tcBorders>
            <w:shd w:val="clear" w:color="auto" w:fill="CFF0FC"/>
          </w:tcPr>
          <w:p>
            <w:pPr>
              <w:spacing w:after="0"/>
              <w:rPr>
                <w:sz w:val="18"/>
                <w:szCs w:val="18"/>
                <w:color w:val="auto"/>
              </w:rPr>
            </w:pPr>
          </w:p>
        </w:tc>
        <w:tc>
          <w:tcPr>
            <w:tcW w:w="20" w:type="dxa"/>
            <w:vAlign w:val="bottom"/>
            <w:tcBorders>
              <w:top w:val="single" w:sz="8" w:color="auto"/>
            </w:tcBorders>
            <w:shd w:val="clear" w:color="auto" w:fill="CFF0FC"/>
          </w:tcPr>
          <w:p>
            <w:pPr>
              <w:spacing w:after="0"/>
              <w:rPr>
                <w:sz w:val="18"/>
                <w:szCs w:val="18"/>
                <w:color w:val="auto"/>
              </w:rPr>
            </w:pPr>
          </w:p>
        </w:tc>
        <w:tc>
          <w:tcPr>
            <w:tcW w:w="380" w:type="dxa"/>
            <w:vAlign w:val="bottom"/>
            <w:tcBorders>
              <w:top w:val="single" w:sz="8" w:color="CFF0FC"/>
            </w:tcBorders>
            <w:shd w:val="clear" w:color="auto" w:fill="CFF0FC"/>
          </w:tcPr>
          <w:p>
            <w:pPr>
              <w:spacing w:after="0"/>
              <w:rPr>
                <w:sz w:val="18"/>
                <w:szCs w:val="18"/>
                <w:color w:val="auto"/>
              </w:rPr>
            </w:pPr>
          </w:p>
        </w:tc>
        <w:tc>
          <w:tcPr>
            <w:tcW w:w="20" w:type="dxa"/>
            <w:vAlign w:val="bottom"/>
            <w:tcBorders>
              <w:top w:val="single" w:sz="8" w:color="CFF0FC"/>
            </w:tcBorders>
            <w:shd w:val="clear" w:color="auto" w:fill="CFF0FC"/>
          </w:tcPr>
          <w:p>
            <w:pPr>
              <w:spacing w:after="0"/>
              <w:rPr>
                <w:sz w:val="18"/>
                <w:szCs w:val="18"/>
                <w:color w:val="auto"/>
              </w:rPr>
            </w:pPr>
          </w:p>
        </w:tc>
        <w:tc>
          <w:tcPr>
            <w:tcW w:w="140" w:type="dxa"/>
            <w:vAlign w:val="bottom"/>
            <w:tcBorders>
              <w:top w:val="single" w:sz="8" w:color="auto"/>
            </w:tcBorders>
            <w:shd w:val="clear" w:color="auto" w:fill="CFF0FC"/>
          </w:tcPr>
          <w:p>
            <w:pPr>
              <w:spacing w:after="0"/>
              <w:rPr>
                <w:sz w:val="18"/>
                <w:szCs w:val="18"/>
                <w:color w:val="auto"/>
              </w:rPr>
            </w:pPr>
          </w:p>
        </w:tc>
        <w:tc>
          <w:tcPr>
            <w:tcW w:w="760" w:type="dxa"/>
            <w:vAlign w:val="bottom"/>
            <w:tcBorders>
              <w:top w:val="single" w:sz="8" w:color="auto"/>
            </w:tcBorders>
            <w:shd w:val="clear" w:color="auto" w:fill="CFF0FC"/>
          </w:tcPr>
          <w:p>
            <w:pPr>
              <w:spacing w:after="0"/>
              <w:rPr>
                <w:sz w:val="18"/>
                <w:szCs w:val="18"/>
                <w:color w:val="auto"/>
              </w:rPr>
            </w:pPr>
          </w:p>
        </w:tc>
        <w:tc>
          <w:tcPr>
            <w:tcW w:w="40" w:type="dxa"/>
            <w:vAlign w:val="bottom"/>
            <w:tcBorders>
              <w:top w:val="single" w:sz="8" w:color="auto"/>
            </w:tcBorders>
            <w:shd w:val="clear" w:color="auto" w:fill="CFF0FC"/>
          </w:tcPr>
          <w:p>
            <w:pPr>
              <w:spacing w:after="0"/>
              <w:rPr>
                <w:sz w:val="18"/>
                <w:szCs w:val="18"/>
                <w:color w:val="auto"/>
              </w:rPr>
            </w:pPr>
          </w:p>
        </w:tc>
        <w:tc>
          <w:tcPr>
            <w:tcW w:w="100" w:type="dxa"/>
            <w:vAlign w:val="bottom"/>
            <w:tcBorders>
              <w:top w:val="single" w:sz="8" w:color="CFF0FC"/>
            </w:tcBorders>
            <w:shd w:val="clear" w:color="auto" w:fill="CFF0FC"/>
          </w:tcPr>
          <w:p>
            <w:pPr>
              <w:spacing w:after="0"/>
              <w:rPr>
                <w:sz w:val="18"/>
                <w:szCs w:val="18"/>
                <w:color w:val="auto"/>
              </w:rPr>
            </w:pPr>
          </w:p>
        </w:tc>
        <w:tc>
          <w:tcPr>
            <w:tcW w:w="80" w:type="dxa"/>
            <w:vAlign w:val="bottom"/>
            <w:tcBorders>
              <w:top w:val="single" w:sz="8" w:color="auto"/>
            </w:tcBorders>
            <w:shd w:val="clear" w:color="auto" w:fill="CFF0FC"/>
          </w:tcPr>
          <w:p>
            <w:pPr>
              <w:spacing w:after="0"/>
              <w:rPr>
                <w:sz w:val="18"/>
                <w:szCs w:val="18"/>
                <w:color w:val="auto"/>
              </w:rPr>
            </w:pPr>
          </w:p>
        </w:tc>
        <w:tc>
          <w:tcPr>
            <w:tcW w:w="20" w:type="dxa"/>
            <w:vAlign w:val="bottom"/>
            <w:tcBorders>
              <w:top w:val="single" w:sz="8" w:color="auto"/>
            </w:tcBorders>
            <w:shd w:val="clear" w:color="auto" w:fill="CFF0FC"/>
          </w:tcPr>
          <w:p>
            <w:pPr>
              <w:spacing w:after="0"/>
              <w:rPr>
                <w:sz w:val="18"/>
                <w:szCs w:val="18"/>
                <w:color w:val="auto"/>
              </w:rPr>
            </w:pPr>
          </w:p>
        </w:tc>
        <w:tc>
          <w:tcPr>
            <w:tcW w:w="740" w:type="dxa"/>
            <w:vAlign w:val="bottom"/>
            <w:tcBorders>
              <w:top w:val="single" w:sz="8" w:color="auto"/>
            </w:tcBorders>
            <w:shd w:val="clear" w:color="auto" w:fill="CFF0FC"/>
          </w:tcPr>
          <w:p>
            <w:pPr>
              <w:spacing w:after="0"/>
              <w:rPr>
                <w:sz w:val="18"/>
                <w:szCs w:val="18"/>
                <w:color w:val="auto"/>
              </w:rPr>
            </w:pPr>
          </w:p>
        </w:tc>
        <w:tc>
          <w:tcPr>
            <w:tcW w:w="280" w:type="dxa"/>
            <w:vAlign w:val="bottom"/>
            <w:tcBorders>
              <w:top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220" w:type="dxa"/>
            <w:vAlign w:val="bottom"/>
            <w:shd w:val="clear" w:color="auto" w:fill="CFF0FC"/>
          </w:tcPr>
          <w:p>
            <w:pPr>
              <w:ind w:left="140"/>
              <w:spacing w:after="0"/>
              <w:rPr>
                <w:sz w:val="20"/>
                <w:szCs w:val="20"/>
                <w:color w:val="auto"/>
              </w:rPr>
            </w:pPr>
            <w:r>
              <w:rPr>
                <w:rFonts w:ascii="Arial" w:cs="Arial" w:eastAsia="Arial" w:hAnsi="Arial"/>
                <w:sz w:val="18"/>
                <w:szCs w:val="18"/>
                <w:color w:val="auto"/>
              </w:rPr>
              <w:t>governmental programs</w:t>
            </w:r>
          </w:p>
        </w:tc>
        <w:tc>
          <w:tcPr>
            <w:tcW w:w="180" w:type="dxa"/>
            <w:vAlign w:val="bottom"/>
            <w:gridSpan w:val="2"/>
            <w:shd w:val="clear" w:color="auto" w:fill="CFF0FC"/>
          </w:tcPr>
          <w:p>
            <w:pPr>
              <w:ind w:left="60"/>
              <w:spacing w:after="0"/>
              <w:rPr>
                <w:sz w:val="20"/>
                <w:szCs w:val="20"/>
                <w:color w:val="auto"/>
              </w:rPr>
            </w:pPr>
            <w:r>
              <w:rPr>
                <w:rFonts w:ascii="Arial" w:cs="Arial" w:eastAsia="Arial" w:hAnsi="Arial"/>
                <w:sz w:val="18"/>
                <w:szCs w:val="18"/>
                <w:color w:val="auto"/>
                <w:w w:val="99"/>
              </w:rPr>
              <w:t>$</w:t>
            </w:r>
          </w:p>
        </w:tc>
        <w:tc>
          <w:tcPr>
            <w:tcW w:w="8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78,054</w:t>
            </w:r>
          </w:p>
        </w:tc>
        <w:tc>
          <w:tcPr>
            <w:tcW w:w="140" w:type="dxa"/>
            <w:vAlign w:val="bottom"/>
            <w:shd w:val="clear" w:color="auto" w:fill="CFF0FC"/>
          </w:tcPr>
          <w:p>
            <w:pPr>
              <w:spacing w:after="0"/>
              <w:rPr>
                <w:sz w:val="20"/>
                <w:szCs w:val="20"/>
                <w:color w:val="auto"/>
              </w:rPr>
            </w:pPr>
          </w:p>
        </w:tc>
        <w:tc>
          <w:tcPr>
            <w:tcW w:w="20" w:type="dxa"/>
            <w:vAlign w:val="bottom"/>
            <w:shd w:val="clear" w:color="auto" w:fill="CFF0FC"/>
          </w:tcPr>
          <w:p>
            <w:pPr>
              <w:spacing w:after="0"/>
              <w:rPr>
                <w:sz w:val="20"/>
                <w:szCs w:val="20"/>
                <w:color w:val="auto"/>
              </w:rPr>
            </w:pPr>
          </w:p>
        </w:tc>
        <w:tc>
          <w:tcPr>
            <w:tcW w:w="800" w:type="dxa"/>
            <w:vAlign w:val="bottom"/>
            <w:gridSpan w:val="3"/>
            <w:shd w:val="clear" w:color="auto" w:fill="CFF0FC"/>
          </w:tcPr>
          <w:p>
            <w:pPr>
              <w:jc w:val="right"/>
              <w:ind w:right="20"/>
              <w:spacing w:after="0"/>
              <w:rPr>
                <w:sz w:val="20"/>
                <w:szCs w:val="20"/>
                <w:color w:val="auto"/>
              </w:rPr>
            </w:pPr>
            <w:r>
              <w:rPr>
                <w:rFonts w:ascii="Arial" w:cs="Arial" w:eastAsia="Arial" w:hAnsi="Arial"/>
                <w:sz w:val="18"/>
                <w:szCs w:val="18"/>
                <w:color w:val="auto"/>
              </w:rPr>
              <w:t>50.0</w:t>
            </w:r>
          </w:p>
        </w:tc>
        <w:tc>
          <w:tcPr>
            <w:tcW w:w="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00" w:type="dxa"/>
            <w:vAlign w:val="bottom"/>
            <w:gridSpan w:val="2"/>
            <w:shd w:val="clear" w:color="auto" w:fill="CFF0FC"/>
          </w:tcPr>
          <w:p>
            <w:pPr>
              <w:ind w:left="80"/>
              <w:spacing w:after="0"/>
              <w:rPr>
                <w:sz w:val="20"/>
                <w:szCs w:val="20"/>
                <w:color w:val="auto"/>
              </w:rPr>
            </w:pPr>
            <w:r>
              <w:rPr>
                <w:rFonts w:ascii="Arial" w:cs="Arial" w:eastAsia="Arial" w:hAnsi="Arial"/>
                <w:sz w:val="18"/>
                <w:szCs w:val="18"/>
                <w:color w:val="auto"/>
                <w:w w:val="99"/>
              </w:rPr>
              <w:t>$</w:t>
            </w:r>
          </w:p>
        </w:tc>
        <w:tc>
          <w:tcPr>
            <w:tcW w:w="82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74,649</w:t>
            </w:r>
          </w:p>
        </w:tc>
        <w:tc>
          <w:tcPr>
            <w:tcW w:w="100" w:type="dxa"/>
            <w:vAlign w:val="bottom"/>
            <w:shd w:val="clear" w:color="auto" w:fill="CFF0FC"/>
          </w:tcPr>
          <w:p>
            <w:pPr>
              <w:spacing w:after="0"/>
              <w:rPr>
                <w:sz w:val="20"/>
                <w:szCs w:val="20"/>
                <w:color w:val="auto"/>
              </w:rPr>
            </w:pPr>
          </w:p>
        </w:tc>
        <w:tc>
          <w:tcPr>
            <w:tcW w:w="40" w:type="dxa"/>
            <w:vAlign w:val="bottom"/>
            <w:shd w:val="clear" w:color="auto" w:fill="CFF0FC"/>
          </w:tcPr>
          <w:p>
            <w:pPr>
              <w:spacing w:after="0"/>
              <w:rPr>
                <w:sz w:val="20"/>
                <w:szCs w:val="20"/>
                <w:color w:val="auto"/>
              </w:rPr>
            </w:pPr>
          </w:p>
        </w:tc>
        <w:tc>
          <w:tcPr>
            <w:tcW w:w="800" w:type="dxa"/>
            <w:vAlign w:val="bottom"/>
            <w:gridSpan w:val="3"/>
            <w:shd w:val="clear" w:color="auto" w:fill="CFF0FC"/>
          </w:tcPr>
          <w:p>
            <w:pPr>
              <w:jc w:val="right"/>
              <w:ind w:right="20"/>
              <w:spacing w:after="0"/>
              <w:rPr>
                <w:sz w:val="20"/>
                <w:szCs w:val="20"/>
                <w:color w:val="auto"/>
              </w:rPr>
            </w:pPr>
            <w:r>
              <w:rPr>
                <w:rFonts w:ascii="Arial" w:cs="Arial" w:eastAsia="Arial" w:hAnsi="Arial"/>
                <w:sz w:val="18"/>
                <w:szCs w:val="18"/>
                <w:color w:val="auto"/>
              </w:rPr>
              <w:t>54.2</w:t>
            </w:r>
          </w:p>
        </w:tc>
        <w:tc>
          <w:tcPr>
            <w:tcW w:w="34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9"/>
              </w:rPr>
              <w:t>%</w:t>
            </w:r>
          </w:p>
        </w:tc>
        <w:tc>
          <w:tcPr>
            <w:tcW w:w="180" w:type="dxa"/>
            <w:vAlign w:val="bottom"/>
            <w:gridSpan w:val="2"/>
            <w:shd w:val="clear" w:color="auto" w:fill="CFF0FC"/>
          </w:tcPr>
          <w:p>
            <w:pPr>
              <w:ind w:left="60"/>
              <w:spacing w:after="0"/>
              <w:rPr>
                <w:sz w:val="20"/>
                <w:szCs w:val="20"/>
                <w:color w:val="auto"/>
              </w:rPr>
            </w:pPr>
            <w:r>
              <w:rPr>
                <w:rFonts w:ascii="Arial" w:cs="Arial" w:eastAsia="Arial" w:hAnsi="Arial"/>
                <w:sz w:val="18"/>
                <w:szCs w:val="18"/>
                <w:color w:val="auto"/>
                <w:w w:val="99"/>
              </w:rPr>
              <w:t>$</w:t>
            </w:r>
          </w:p>
        </w:tc>
        <w:tc>
          <w:tcPr>
            <w:tcW w:w="8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157,398</w:t>
            </w:r>
          </w:p>
        </w:tc>
        <w:tc>
          <w:tcPr>
            <w:tcW w:w="160" w:type="dxa"/>
            <w:vAlign w:val="bottom"/>
            <w:shd w:val="clear" w:color="auto" w:fill="CFF0FC"/>
          </w:tcPr>
          <w:p>
            <w:pPr>
              <w:spacing w:after="0"/>
              <w:rPr>
                <w:sz w:val="20"/>
                <w:szCs w:val="20"/>
                <w:color w:val="auto"/>
              </w:rPr>
            </w:pPr>
          </w:p>
        </w:tc>
        <w:tc>
          <w:tcPr>
            <w:tcW w:w="780" w:type="dxa"/>
            <w:vAlign w:val="bottom"/>
            <w:gridSpan w:val="3"/>
            <w:shd w:val="clear" w:color="auto" w:fill="CFF0FC"/>
          </w:tcPr>
          <w:p>
            <w:pPr>
              <w:jc w:val="right"/>
              <w:spacing w:after="0"/>
              <w:rPr>
                <w:sz w:val="20"/>
                <w:szCs w:val="20"/>
                <w:color w:val="auto"/>
              </w:rPr>
            </w:pPr>
            <w:r>
              <w:rPr>
                <w:rFonts w:ascii="Arial" w:cs="Arial" w:eastAsia="Arial" w:hAnsi="Arial"/>
                <w:sz w:val="18"/>
                <w:szCs w:val="18"/>
                <w:color w:val="auto"/>
              </w:rPr>
              <w:t>49.7</w:t>
            </w:r>
          </w:p>
        </w:tc>
        <w:tc>
          <w:tcPr>
            <w:tcW w:w="38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87"/>
              </w:rPr>
              <w:t>%</w:t>
            </w:r>
          </w:p>
        </w:tc>
        <w:tc>
          <w:tcPr>
            <w:tcW w:w="160" w:type="dxa"/>
            <w:vAlign w:val="bottom"/>
            <w:gridSpan w:val="2"/>
            <w:shd w:val="clear" w:color="auto" w:fill="CFF0FC"/>
          </w:tcPr>
          <w:p>
            <w:pPr>
              <w:ind w:left="2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146,290</w:t>
            </w:r>
          </w:p>
        </w:tc>
        <w:tc>
          <w:tcPr>
            <w:tcW w:w="10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7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55.1</w:t>
            </w:r>
          </w:p>
        </w:tc>
        <w:tc>
          <w:tcPr>
            <w:tcW w:w="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220" w:type="dxa"/>
            <w:vAlign w:val="bottom"/>
          </w:tcPr>
          <w:p>
            <w:pPr>
              <w:spacing w:after="0"/>
              <w:rPr>
                <w:sz w:val="20"/>
                <w:szCs w:val="20"/>
                <w:color w:val="auto"/>
              </w:rPr>
            </w:pPr>
            <w:r>
              <w:rPr>
                <w:rFonts w:ascii="Arial" w:cs="Arial" w:eastAsia="Arial" w:hAnsi="Arial"/>
                <w:sz w:val="18"/>
                <w:szCs w:val="18"/>
                <w:color w:val="auto"/>
                <w:w w:val="96"/>
              </w:rPr>
              <w:t>Managed care organizations</w:t>
            </w: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69,282</w:t>
            </w: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0" w:type="dxa"/>
            <w:vAlign w:val="bottom"/>
            <w:gridSpan w:val="3"/>
          </w:tcPr>
          <w:p>
            <w:pPr>
              <w:jc w:val="right"/>
              <w:ind w:right="20"/>
              <w:spacing w:after="0"/>
              <w:rPr>
                <w:sz w:val="20"/>
                <w:szCs w:val="20"/>
                <w:color w:val="auto"/>
              </w:rPr>
            </w:pPr>
            <w:r>
              <w:rPr>
                <w:rFonts w:ascii="Arial" w:cs="Arial" w:eastAsia="Arial" w:hAnsi="Arial"/>
                <w:sz w:val="18"/>
                <w:szCs w:val="18"/>
                <w:color w:val="auto"/>
              </w:rPr>
              <w:t>44.3</w:t>
            </w:r>
          </w:p>
        </w:tc>
        <w:tc>
          <w:tcPr>
            <w:tcW w:w="3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20" w:type="dxa"/>
            <w:vAlign w:val="bottom"/>
            <w:gridSpan w:val="2"/>
          </w:tcPr>
          <w:p>
            <w:pPr>
              <w:jc w:val="right"/>
              <w:ind w:right="20"/>
              <w:spacing w:after="0"/>
              <w:rPr>
                <w:sz w:val="20"/>
                <w:szCs w:val="20"/>
                <w:color w:val="auto"/>
              </w:rPr>
            </w:pPr>
            <w:r>
              <w:rPr>
                <w:rFonts w:ascii="Arial" w:cs="Arial" w:eastAsia="Arial" w:hAnsi="Arial"/>
                <w:sz w:val="18"/>
                <w:szCs w:val="18"/>
                <w:color w:val="auto"/>
              </w:rPr>
              <w:t>53,823</w:t>
            </w: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0" w:type="dxa"/>
            <w:vAlign w:val="bottom"/>
            <w:gridSpan w:val="3"/>
          </w:tcPr>
          <w:p>
            <w:pPr>
              <w:jc w:val="right"/>
              <w:ind w:right="20"/>
              <w:spacing w:after="0"/>
              <w:rPr>
                <w:sz w:val="20"/>
                <w:szCs w:val="20"/>
                <w:color w:val="auto"/>
              </w:rPr>
            </w:pPr>
            <w:r>
              <w:rPr>
                <w:rFonts w:ascii="Arial" w:cs="Arial" w:eastAsia="Arial" w:hAnsi="Arial"/>
                <w:sz w:val="18"/>
                <w:szCs w:val="18"/>
                <w:color w:val="auto"/>
              </w:rPr>
              <w:t>39.2</w:t>
            </w:r>
          </w:p>
        </w:tc>
        <w:tc>
          <w:tcPr>
            <w:tcW w:w="3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141,393</w:t>
            </w:r>
          </w:p>
        </w:tc>
        <w:tc>
          <w:tcPr>
            <w:tcW w:w="160" w:type="dxa"/>
            <w:vAlign w:val="bottom"/>
          </w:tcPr>
          <w:p>
            <w:pPr>
              <w:spacing w:after="0"/>
              <w:rPr>
                <w:sz w:val="19"/>
                <w:szCs w:val="19"/>
                <w:color w:val="auto"/>
              </w:rPr>
            </w:pPr>
          </w:p>
        </w:tc>
        <w:tc>
          <w:tcPr>
            <w:tcW w:w="780" w:type="dxa"/>
            <w:vAlign w:val="bottom"/>
            <w:gridSpan w:val="3"/>
          </w:tcPr>
          <w:p>
            <w:pPr>
              <w:jc w:val="right"/>
              <w:spacing w:after="0"/>
              <w:rPr>
                <w:sz w:val="20"/>
                <w:szCs w:val="20"/>
                <w:color w:val="auto"/>
              </w:rPr>
            </w:pPr>
            <w:r>
              <w:rPr>
                <w:rFonts w:ascii="Arial" w:cs="Arial" w:eastAsia="Arial" w:hAnsi="Arial"/>
                <w:sz w:val="18"/>
                <w:szCs w:val="18"/>
                <w:color w:val="auto"/>
              </w:rPr>
              <w:t>44.6</w:t>
            </w:r>
          </w:p>
        </w:tc>
        <w:tc>
          <w:tcPr>
            <w:tcW w:w="3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0" w:type="dxa"/>
            <w:vAlign w:val="bottom"/>
            <w:gridSpan w:val="2"/>
          </w:tcPr>
          <w:p>
            <w:pPr>
              <w:jc w:val="right"/>
              <w:ind w:right="20"/>
              <w:spacing w:after="0"/>
              <w:rPr>
                <w:sz w:val="20"/>
                <w:szCs w:val="20"/>
                <w:color w:val="auto"/>
              </w:rPr>
            </w:pPr>
            <w:r>
              <w:rPr>
                <w:rFonts w:ascii="Arial" w:cs="Arial" w:eastAsia="Arial" w:hAnsi="Arial"/>
                <w:sz w:val="18"/>
                <w:szCs w:val="18"/>
                <w:color w:val="auto"/>
              </w:rPr>
              <w:t>101,550</w:t>
            </w: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38.3</w:t>
            </w:r>
          </w:p>
        </w:tc>
        <w:tc>
          <w:tcPr>
            <w:tcW w:w="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220" w:type="dxa"/>
            <w:vAlign w:val="bottom"/>
            <w:shd w:val="clear" w:color="auto" w:fill="CFF0FC"/>
          </w:tcPr>
          <w:p>
            <w:pPr>
              <w:spacing w:after="0"/>
              <w:rPr>
                <w:sz w:val="20"/>
                <w:szCs w:val="20"/>
                <w:color w:val="auto"/>
              </w:rPr>
            </w:pPr>
            <w:r>
              <w:rPr>
                <w:rFonts w:ascii="Arial" w:cs="Arial" w:eastAsia="Arial" w:hAnsi="Arial"/>
                <w:sz w:val="18"/>
                <w:szCs w:val="18"/>
                <w:color w:val="auto"/>
              </w:rPr>
              <w:t>Private pay</w:t>
            </w:r>
          </w:p>
        </w:tc>
        <w:tc>
          <w:tcPr>
            <w:tcW w:w="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4,986</w:t>
            </w:r>
          </w:p>
        </w:tc>
        <w:tc>
          <w:tcPr>
            <w:tcW w:w="1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800" w:type="dxa"/>
            <w:vAlign w:val="bottom"/>
            <w:gridSpan w:val="3"/>
            <w:shd w:val="clear" w:color="auto" w:fill="CFF0FC"/>
          </w:tcPr>
          <w:p>
            <w:pPr>
              <w:jc w:val="right"/>
              <w:ind w:right="20"/>
              <w:spacing w:after="0"/>
              <w:rPr>
                <w:sz w:val="20"/>
                <w:szCs w:val="20"/>
                <w:color w:val="auto"/>
              </w:rPr>
            </w:pPr>
            <w:r>
              <w:rPr>
                <w:rFonts w:ascii="Arial" w:cs="Arial" w:eastAsia="Arial" w:hAnsi="Arial"/>
                <w:sz w:val="18"/>
                <w:szCs w:val="18"/>
                <w:color w:val="auto"/>
              </w:rPr>
              <w:t>3.2</w:t>
            </w:r>
          </w:p>
        </w:tc>
        <w:tc>
          <w:tcPr>
            <w:tcW w:w="30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2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5,202</w:t>
            </w:r>
          </w:p>
        </w:tc>
        <w:tc>
          <w:tcPr>
            <w:tcW w:w="10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800" w:type="dxa"/>
            <w:vAlign w:val="bottom"/>
            <w:gridSpan w:val="3"/>
            <w:shd w:val="clear" w:color="auto" w:fill="CFF0FC"/>
          </w:tcPr>
          <w:p>
            <w:pPr>
              <w:jc w:val="right"/>
              <w:ind w:right="20"/>
              <w:spacing w:after="0"/>
              <w:rPr>
                <w:sz w:val="20"/>
                <w:szCs w:val="20"/>
                <w:color w:val="auto"/>
              </w:rPr>
            </w:pPr>
            <w:r>
              <w:rPr>
                <w:rFonts w:ascii="Arial" w:cs="Arial" w:eastAsia="Arial" w:hAnsi="Arial"/>
                <w:sz w:val="18"/>
                <w:szCs w:val="18"/>
                <w:color w:val="auto"/>
              </w:rPr>
              <w:t>3.8</w:t>
            </w:r>
          </w:p>
        </w:tc>
        <w:tc>
          <w:tcPr>
            <w:tcW w:w="34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10,257</w:t>
            </w:r>
          </w:p>
        </w:tc>
        <w:tc>
          <w:tcPr>
            <w:tcW w:w="160" w:type="dxa"/>
            <w:vAlign w:val="bottom"/>
            <w:shd w:val="clear" w:color="auto" w:fill="CFF0FC"/>
          </w:tcPr>
          <w:p>
            <w:pPr>
              <w:spacing w:after="0"/>
              <w:rPr>
                <w:sz w:val="19"/>
                <w:szCs w:val="19"/>
                <w:color w:val="auto"/>
              </w:rPr>
            </w:pPr>
          </w:p>
        </w:tc>
        <w:tc>
          <w:tcPr>
            <w:tcW w:w="780" w:type="dxa"/>
            <w:vAlign w:val="bottom"/>
            <w:gridSpan w:val="3"/>
            <w:shd w:val="clear" w:color="auto" w:fill="CFF0FC"/>
          </w:tcPr>
          <w:p>
            <w:pPr>
              <w:jc w:val="right"/>
              <w:spacing w:after="0"/>
              <w:rPr>
                <w:sz w:val="20"/>
                <w:szCs w:val="20"/>
                <w:color w:val="auto"/>
              </w:rPr>
            </w:pPr>
            <w:r>
              <w:rPr>
                <w:rFonts w:ascii="Arial" w:cs="Arial" w:eastAsia="Arial" w:hAnsi="Arial"/>
                <w:sz w:val="18"/>
                <w:szCs w:val="18"/>
                <w:color w:val="auto"/>
              </w:rPr>
              <w:t>3.2</w:t>
            </w:r>
          </w:p>
        </w:tc>
        <w:tc>
          <w:tcPr>
            <w:tcW w:w="3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0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10,192</w:t>
            </w:r>
          </w:p>
        </w:tc>
        <w:tc>
          <w:tcPr>
            <w:tcW w:w="10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7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3.8</w:t>
            </w:r>
          </w:p>
        </w:tc>
        <w:tc>
          <w:tcPr>
            <w:tcW w:w="2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220" w:type="dxa"/>
            <w:vAlign w:val="bottom"/>
          </w:tcPr>
          <w:p>
            <w:pPr>
              <w:spacing w:after="0"/>
              <w:rPr>
                <w:sz w:val="20"/>
                <w:szCs w:val="20"/>
                <w:color w:val="auto"/>
              </w:rPr>
            </w:pPr>
            <w:r>
              <w:rPr>
                <w:rFonts w:ascii="Arial" w:cs="Arial" w:eastAsia="Arial" w:hAnsi="Arial"/>
                <w:sz w:val="18"/>
                <w:szCs w:val="18"/>
                <w:color w:val="auto"/>
              </w:rPr>
              <w:t>Commercial insurance</w:t>
            </w: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2,394</w:t>
            </w: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0" w:type="dxa"/>
            <w:vAlign w:val="bottom"/>
            <w:gridSpan w:val="3"/>
          </w:tcPr>
          <w:p>
            <w:pPr>
              <w:jc w:val="right"/>
              <w:ind w:right="20"/>
              <w:spacing w:after="0"/>
              <w:rPr>
                <w:sz w:val="20"/>
                <w:szCs w:val="20"/>
                <w:color w:val="auto"/>
              </w:rPr>
            </w:pPr>
            <w:r>
              <w:rPr>
                <w:rFonts w:ascii="Arial" w:cs="Arial" w:eastAsia="Arial" w:hAnsi="Arial"/>
                <w:sz w:val="18"/>
                <w:szCs w:val="18"/>
                <w:color w:val="auto"/>
              </w:rPr>
              <w:t>1.5</w:t>
            </w:r>
          </w:p>
        </w:tc>
        <w:tc>
          <w:tcPr>
            <w:tcW w:w="3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20" w:type="dxa"/>
            <w:vAlign w:val="bottom"/>
            <w:gridSpan w:val="2"/>
          </w:tcPr>
          <w:p>
            <w:pPr>
              <w:jc w:val="right"/>
              <w:ind w:right="20"/>
              <w:spacing w:after="0"/>
              <w:rPr>
                <w:sz w:val="20"/>
                <w:szCs w:val="20"/>
                <w:color w:val="auto"/>
              </w:rPr>
            </w:pPr>
            <w:r>
              <w:rPr>
                <w:rFonts w:ascii="Arial" w:cs="Arial" w:eastAsia="Arial" w:hAnsi="Arial"/>
                <w:sz w:val="18"/>
                <w:szCs w:val="18"/>
                <w:color w:val="auto"/>
              </w:rPr>
              <w:t>2,029</w:t>
            </w: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0" w:type="dxa"/>
            <w:vAlign w:val="bottom"/>
            <w:gridSpan w:val="3"/>
          </w:tcPr>
          <w:p>
            <w:pPr>
              <w:jc w:val="right"/>
              <w:ind w:right="20"/>
              <w:spacing w:after="0"/>
              <w:rPr>
                <w:sz w:val="20"/>
                <w:szCs w:val="20"/>
                <w:color w:val="auto"/>
              </w:rPr>
            </w:pPr>
            <w:r>
              <w:rPr>
                <w:rFonts w:ascii="Arial" w:cs="Arial" w:eastAsia="Arial" w:hAnsi="Arial"/>
                <w:sz w:val="18"/>
                <w:szCs w:val="18"/>
                <w:color w:val="auto"/>
              </w:rPr>
              <w:t>1.5</w:t>
            </w:r>
          </w:p>
        </w:tc>
        <w:tc>
          <w:tcPr>
            <w:tcW w:w="3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4,970</w:t>
            </w:r>
          </w:p>
        </w:tc>
        <w:tc>
          <w:tcPr>
            <w:tcW w:w="160" w:type="dxa"/>
            <w:vAlign w:val="bottom"/>
          </w:tcPr>
          <w:p>
            <w:pPr>
              <w:spacing w:after="0"/>
              <w:rPr>
                <w:sz w:val="19"/>
                <w:szCs w:val="19"/>
                <w:color w:val="auto"/>
              </w:rPr>
            </w:pPr>
          </w:p>
        </w:tc>
        <w:tc>
          <w:tcPr>
            <w:tcW w:w="780" w:type="dxa"/>
            <w:vAlign w:val="bottom"/>
            <w:gridSpan w:val="3"/>
          </w:tcPr>
          <w:p>
            <w:pPr>
              <w:jc w:val="right"/>
              <w:spacing w:after="0"/>
              <w:rPr>
                <w:sz w:val="20"/>
                <w:szCs w:val="20"/>
                <w:color w:val="auto"/>
              </w:rPr>
            </w:pPr>
            <w:r>
              <w:rPr>
                <w:rFonts w:ascii="Arial" w:cs="Arial" w:eastAsia="Arial" w:hAnsi="Arial"/>
                <w:sz w:val="18"/>
                <w:szCs w:val="18"/>
                <w:color w:val="auto"/>
              </w:rPr>
              <w:t>1.6</w:t>
            </w:r>
          </w:p>
        </w:tc>
        <w:tc>
          <w:tcPr>
            <w:tcW w:w="3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0" w:type="dxa"/>
            <w:vAlign w:val="bottom"/>
            <w:gridSpan w:val="2"/>
          </w:tcPr>
          <w:p>
            <w:pPr>
              <w:jc w:val="right"/>
              <w:ind w:right="20"/>
              <w:spacing w:after="0"/>
              <w:rPr>
                <w:sz w:val="20"/>
                <w:szCs w:val="20"/>
                <w:color w:val="auto"/>
              </w:rPr>
            </w:pPr>
            <w:r>
              <w:rPr>
                <w:rFonts w:ascii="Arial" w:cs="Arial" w:eastAsia="Arial" w:hAnsi="Arial"/>
                <w:sz w:val="18"/>
                <w:szCs w:val="18"/>
                <w:color w:val="auto"/>
              </w:rPr>
              <w:t>3,885</w:t>
            </w: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1.5</w:t>
            </w:r>
          </w:p>
        </w:tc>
        <w:tc>
          <w:tcPr>
            <w:tcW w:w="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220" w:type="dxa"/>
            <w:vAlign w:val="bottom"/>
            <w:shd w:val="clear" w:color="auto" w:fill="CFF0FC"/>
          </w:tcPr>
          <w:p>
            <w:pPr>
              <w:spacing w:after="0"/>
              <w:rPr>
                <w:sz w:val="20"/>
                <w:szCs w:val="20"/>
                <w:color w:val="auto"/>
              </w:rPr>
            </w:pPr>
            <w:r>
              <w:rPr>
                <w:rFonts w:ascii="Arial" w:cs="Arial" w:eastAsia="Arial" w:hAnsi="Arial"/>
                <w:sz w:val="18"/>
                <w:szCs w:val="18"/>
                <w:color w:val="auto"/>
              </w:rPr>
              <w:t>Other</w:t>
            </w:r>
          </w:p>
        </w:tc>
        <w:tc>
          <w:tcPr>
            <w:tcW w:w="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1,552</w:t>
            </w:r>
          </w:p>
        </w:tc>
        <w:tc>
          <w:tcPr>
            <w:tcW w:w="1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800" w:type="dxa"/>
            <w:vAlign w:val="bottom"/>
            <w:gridSpan w:val="3"/>
            <w:shd w:val="clear" w:color="auto" w:fill="CFF0FC"/>
          </w:tcPr>
          <w:p>
            <w:pPr>
              <w:jc w:val="right"/>
              <w:ind w:right="20"/>
              <w:spacing w:after="0"/>
              <w:rPr>
                <w:sz w:val="20"/>
                <w:szCs w:val="20"/>
                <w:color w:val="auto"/>
              </w:rPr>
            </w:pPr>
            <w:r>
              <w:rPr>
                <w:rFonts w:ascii="Arial" w:cs="Arial" w:eastAsia="Arial" w:hAnsi="Arial"/>
                <w:sz w:val="18"/>
                <w:szCs w:val="18"/>
                <w:color w:val="auto"/>
              </w:rPr>
              <w:t>1.0</w:t>
            </w:r>
          </w:p>
        </w:tc>
        <w:tc>
          <w:tcPr>
            <w:tcW w:w="30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2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1,774</w:t>
            </w:r>
          </w:p>
        </w:tc>
        <w:tc>
          <w:tcPr>
            <w:tcW w:w="10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800" w:type="dxa"/>
            <w:vAlign w:val="bottom"/>
            <w:gridSpan w:val="3"/>
            <w:shd w:val="clear" w:color="auto" w:fill="CFF0FC"/>
          </w:tcPr>
          <w:p>
            <w:pPr>
              <w:jc w:val="right"/>
              <w:ind w:right="20"/>
              <w:spacing w:after="0"/>
              <w:rPr>
                <w:sz w:val="20"/>
                <w:szCs w:val="20"/>
                <w:color w:val="auto"/>
              </w:rPr>
            </w:pPr>
            <w:r>
              <w:rPr>
                <w:rFonts w:ascii="Arial" w:cs="Arial" w:eastAsia="Arial" w:hAnsi="Arial"/>
                <w:sz w:val="18"/>
                <w:szCs w:val="18"/>
                <w:color w:val="auto"/>
              </w:rPr>
              <w:t>1.3</w:t>
            </w:r>
          </w:p>
        </w:tc>
        <w:tc>
          <w:tcPr>
            <w:tcW w:w="34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2,915</w:t>
            </w:r>
          </w:p>
        </w:tc>
        <w:tc>
          <w:tcPr>
            <w:tcW w:w="160" w:type="dxa"/>
            <w:vAlign w:val="bottom"/>
            <w:shd w:val="clear" w:color="auto" w:fill="CFF0FC"/>
          </w:tcPr>
          <w:p>
            <w:pPr>
              <w:spacing w:after="0"/>
              <w:rPr>
                <w:sz w:val="19"/>
                <w:szCs w:val="19"/>
                <w:color w:val="auto"/>
              </w:rPr>
            </w:pPr>
          </w:p>
        </w:tc>
        <w:tc>
          <w:tcPr>
            <w:tcW w:w="780" w:type="dxa"/>
            <w:vAlign w:val="bottom"/>
            <w:gridSpan w:val="3"/>
            <w:shd w:val="clear" w:color="auto" w:fill="CFF0FC"/>
          </w:tcPr>
          <w:p>
            <w:pPr>
              <w:jc w:val="right"/>
              <w:spacing w:after="0"/>
              <w:rPr>
                <w:sz w:val="20"/>
                <w:szCs w:val="20"/>
                <w:color w:val="auto"/>
              </w:rPr>
            </w:pPr>
            <w:r>
              <w:rPr>
                <w:rFonts w:ascii="Arial" w:cs="Arial" w:eastAsia="Arial" w:hAnsi="Arial"/>
                <w:sz w:val="18"/>
                <w:szCs w:val="18"/>
                <w:color w:val="auto"/>
              </w:rPr>
              <w:t>0.9</w:t>
            </w:r>
          </w:p>
        </w:tc>
        <w:tc>
          <w:tcPr>
            <w:tcW w:w="3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0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3,454</w:t>
            </w:r>
          </w:p>
        </w:tc>
        <w:tc>
          <w:tcPr>
            <w:tcW w:w="10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7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1.3</w:t>
            </w:r>
          </w:p>
        </w:tc>
        <w:tc>
          <w:tcPr>
            <w:tcW w:w="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9"/>
        </w:trPr>
        <w:tc>
          <w:tcPr>
            <w:tcW w:w="2220" w:type="dxa"/>
            <w:vAlign w:val="bottom"/>
          </w:tcPr>
          <w:p>
            <w:pPr>
              <w:spacing w:after="0"/>
              <w:rPr>
                <w:sz w:val="20"/>
                <w:szCs w:val="20"/>
                <w:color w:val="auto"/>
              </w:rPr>
            </w:pPr>
            <w:r>
              <w:rPr>
                <w:rFonts w:ascii="Arial" w:cs="Arial" w:eastAsia="Arial" w:hAnsi="Arial"/>
                <w:sz w:val="18"/>
                <w:szCs w:val="18"/>
                <w:color w:val="auto"/>
                <w:w w:val="96"/>
              </w:rPr>
              <w:t>Total personal care segment</w:t>
            </w:r>
          </w:p>
        </w:tc>
        <w:tc>
          <w:tcPr>
            <w:tcW w:w="6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spacing w:after="0"/>
              <w:rPr>
                <w:sz w:val="18"/>
                <w:szCs w:val="18"/>
                <w:color w:val="auto"/>
              </w:rPr>
            </w:pPr>
          </w:p>
        </w:tc>
        <w:tc>
          <w:tcPr>
            <w:tcW w:w="4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6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tcBorders>
              <w:top w:val="single" w:sz="8" w:color="auto"/>
            </w:tcBorders>
          </w:tcPr>
          <w:p>
            <w:pPr>
              <w:spacing w:after="0"/>
              <w:rPr>
                <w:sz w:val="18"/>
                <w:szCs w:val="18"/>
                <w:color w:val="auto"/>
              </w:rPr>
            </w:pPr>
          </w:p>
        </w:tc>
        <w:tc>
          <w:tcPr>
            <w:tcW w:w="60" w:type="dxa"/>
            <w:vAlign w:val="bottom"/>
            <w:tcBorders>
              <w:top w:val="single" w:sz="8" w:color="auto"/>
            </w:tcBorders>
          </w:tcPr>
          <w:p>
            <w:pPr>
              <w:spacing w:after="0"/>
              <w:rPr>
                <w:sz w:val="18"/>
                <w:szCs w:val="18"/>
                <w:color w:val="auto"/>
              </w:rPr>
            </w:pPr>
          </w:p>
        </w:tc>
        <w:tc>
          <w:tcPr>
            <w:tcW w:w="3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spacing w:after="0"/>
              <w:rPr>
                <w:sz w:val="18"/>
                <w:szCs w:val="18"/>
                <w:color w:val="auto"/>
              </w:rPr>
            </w:pPr>
          </w:p>
        </w:tc>
        <w:tc>
          <w:tcPr>
            <w:tcW w:w="6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00" w:type="dxa"/>
            <w:vAlign w:val="bottom"/>
            <w:tcBorders>
              <w:top w:val="single" w:sz="8" w:color="auto"/>
            </w:tcBorders>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3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spacing w:after="0"/>
              <w:rPr>
                <w:sz w:val="18"/>
                <w:szCs w:val="18"/>
                <w:color w:val="auto"/>
              </w:rPr>
            </w:pPr>
          </w:p>
        </w:tc>
        <w:tc>
          <w:tcPr>
            <w:tcW w:w="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4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220" w:type="dxa"/>
            <w:vAlign w:val="bottom"/>
          </w:tcPr>
          <w:p>
            <w:pPr>
              <w:ind w:left="140"/>
              <w:spacing w:after="0"/>
              <w:rPr>
                <w:sz w:val="20"/>
                <w:szCs w:val="20"/>
                <w:color w:val="auto"/>
              </w:rPr>
            </w:pPr>
            <w:r>
              <w:rPr>
                <w:rFonts w:ascii="Arial" w:cs="Arial" w:eastAsia="Arial" w:hAnsi="Arial"/>
                <w:sz w:val="18"/>
                <w:szCs w:val="18"/>
                <w:color w:val="auto"/>
              </w:rPr>
              <w:t>net service revenues</w:t>
            </w:r>
          </w:p>
        </w:tc>
        <w:tc>
          <w:tcPr>
            <w:tcW w:w="180" w:type="dxa"/>
            <w:vAlign w:val="bottom"/>
            <w:gridSpan w:val="2"/>
          </w:tcPr>
          <w:p>
            <w:pPr>
              <w:ind w:left="60"/>
              <w:spacing w:after="0"/>
              <w:rPr>
                <w:sz w:val="20"/>
                <w:szCs w:val="20"/>
                <w:color w:val="auto"/>
              </w:rPr>
            </w:pPr>
            <w:r>
              <w:rPr>
                <w:rFonts w:ascii="Arial" w:cs="Arial" w:eastAsia="Arial" w:hAnsi="Arial"/>
                <w:sz w:val="18"/>
                <w:szCs w:val="18"/>
                <w:color w:val="auto"/>
                <w:w w:val="99"/>
              </w:rPr>
              <w:t>$</w:t>
            </w: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156,268</w:t>
            </w: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0" w:type="dxa"/>
            <w:vAlign w:val="bottom"/>
            <w:gridSpan w:val="3"/>
          </w:tcPr>
          <w:p>
            <w:pPr>
              <w:jc w:val="right"/>
              <w:ind w:right="20"/>
              <w:spacing w:after="0"/>
              <w:rPr>
                <w:sz w:val="20"/>
                <w:szCs w:val="20"/>
                <w:color w:val="auto"/>
              </w:rPr>
            </w:pPr>
            <w:r>
              <w:rPr>
                <w:rFonts w:ascii="Arial" w:cs="Arial" w:eastAsia="Arial" w:hAnsi="Arial"/>
                <w:sz w:val="18"/>
                <w:szCs w:val="18"/>
                <w:color w:val="auto"/>
              </w:rPr>
              <w:t>100.0</w:t>
            </w:r>
          </w:p>
        </w:tc>
        <w:tc>
          <w:tcPr>
            <w:tcW w:w="30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gridSpan w:val="2"/>
          </w:tcPr>
          <w:p>
            <w:pPr>
              <w:ind w:left="80"/>
              <w:spacing w:after="0"/>
              <w:rPr>
                <w:sz w:val="20"/>
                <w:szCs w:val="20"/>
                <w:color w:val="auto"/>
              </w:rPr>
            </w:pPr>
            <w:r>
              <w:rPr>
                <w:rFonts w:ascii="Arial" w:cs="Arial" w:eastAsia="Arial" w:hAnsi="Arial"/>
                <w:sz w:val="18"/>
                <w:szCs w:val="18"/>
                <w:color w:val="auto"/>
                <w:w w:val="99"/>
              </w:rPr>
              <w:t>$</w:t>
            </w:r>
          </w:p>
        </w:tc>
        <w:tc>
          <w:tcPr>
            <w:tcW w:w="820" w:type="dxa"/>
            <w:vAlign w:val="bottom"/>
            <w:gridSpan w:val="2"/>
          </w:tcPr>
          <w:p>
            <w:pPr>
              <w:jc w:val="right"/>
              <w:ind w:right="20"/>
              <w:spacing w:after="0"/>
              <w:rPr>
                <w:sz w:val="20"/>
                <w:szCs w:val="20"/>
                <w:color w:val="auto"/>
              </w:rPr>
            </w:pPr>
            <w:r>
              <w:rPr>
                <w:rFonts w:ascii="Arial" w:cs="Arial" w:eastAsia="Arial" w:hAnsi="Arial"/>
                <w:sz w:val="18"/>
                <w:szCs w:val="18"/>
                <w:color w:val="auto"/>
              </w:rPr>
              <w:t>137,477</w:t>
            </w: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0" w:type="dxa"/>
            <w:vAlign w:val="bottom"/>
            <w:gridSpan w:val="3"/>
          </w:tcPr>
          <w:p>
            <w:pPr>
              <w:jc w:val="right"/>
              <w:ind w:right="20"/>
              <w:spacing w:after="0"/>
              <w:rPr>
                <w:sz w:val="20"/>
                <w:szCs w:val="20"/>
                <w:color w:val="auto"/>
              </w:rPr>
            </w:pPr>
            <w:r>
              <w:rPr>
                <w:rFonts w:ascii="Arial" w:cs="Arial" w:eastAsia="Arial" w:hAnsi="Arial"/>
                <w:sz w:val="18"/>
                <w:szCs w:val="18"/>
                <w:color w:val="auto"/>
              </w:rPr>
              <w:t>100.0</w:t>
            </w:r>
          </w:p>
        </w:tc>
        <w:tc>
          <w:tcPr>
            <w:tcW w:w="34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180" w:type="dxa"/>
            <w:vAlign w:val="bottom"/>
            <w:gridSpan w:val="2"/>
          </w:tcPr>
          <w:p>
            <w:pPr>
              <w:ind w:left="60"/>
              <w:spacing w:after="0"/>
              <w:rPr>
                <w:sz w:val="20"/>
                <w:szCs w:val="20"/>
                <w:color w:val="auto"/>
              </w:rPr>
            </w:pPr>
            <w:r>
              <w:rPr>
                <w:rFonts w:ascii="Arial" w:cs="Arial" w:eastAsia="Arial" w:hAnsi="Arial"/>
                <w:sz w:val="18"/>
                <w:szCs w:val="18"/>
                <w:color w:val="auto"/>
                <w:w w:val="99"/>
              </w:rPr>
              <w:t>$</w:t>
            </w: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316,933</w:t>
            </w:r>
          </w:p>
        </w:tc>
        <w:tc>
          <w:tcPr>
            <w:tcW w:w="160" w:type="dxa"/>
            <w:vAlign w:val="bottom"/>
          </w:tcPr>
          <w:p>
            <w:pPr>
              <w:spacing w:after="0"/>
              <w:rPr>
                <w:sz w:val="20"/>
                <w:szCs w:val="20"/>
                <w:color w:val="auto"/>
              </w:rPr>
            </w:pPr>
          </w:p>
        </w:tc>
        <w:tc>
          <w:tcPr>
            <w:tcW w:w="780" w:type="dxa"/>
            <w:vAlign w:val="bottom"/>
            <w:gridSpan w:val="3"/>
          </w:tcPr>
          <w:p>
            <w:pPr>
              <w:jc w:val="right"/>
              <w:spacing w:after="0"/>
              <w:rPr>
                <w:sz w:val="20"/>
                <w:szCs w:val="20"/>
                <w:color w:val="auto"/>
              </w:rPr>
            </w:pPr>
            <w:r>
              <w:rPr>
                <w:rFonts w:ascii="Arial" w:cs="Arial" w:eastAsia="Arial" w:hAnsi="Arial"/>
                <w:sz w:val="18"/>
                <w:szCs w:val="18"/>
                <w:color w:val="auto"/>
              </w:rPr>
              <w:t>100.0</w:t>
            </w:r>
          </w:p>
        </w:tc>
        <w:tc>
          <w:tcPr>
            <w:tcW w:w="380" w:type="dxa"/>
            <w:vAlign w:val="bottom"/>
          </w:tcPr>
          <w:p>
            <w:pPr>
              <w:jc w:val="center"/>
              <w:spacing w:after="0"/>
              <w:rPr>
                <w:sz w:val="20"/>
                <w:szCs w:val="20"/>
                <w:color w:val="auto"/>
              </w:rPr>
            </w:pPr>
            <w:r>
              <w:rPr>
                <w:rFonts w:ascii="Arial" w:cs="Arial" w:eastAsia="Arial" w:hAnsi="Arial"/>
                <w:sz w:val="18"/>
                <w:szCs w:val="18"/>
                <w:color w:val="auto"/>
                <w:w w:val="87"/>
              </w:rPr>
              <w:t>%</w:t>
            </w:r>
          </w:p>
        </w:tc>
        <w:tc>
          <w:tcPr>
            <w:tcW w:w="160" w:type="dxa"/>
            <w:vAlign w:val="bottom"/>
            <w:gridSpan w:val="2"/>
          </w:tcPr>
          <w:p>
            <w:pPr>
              <w:ind w:left="20"/>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20"/>
              <w:spacing w:after="0"/>
              <w:rPr>
                <w:sz w:val="20"/>
                <w:szCs w:val="20"/>
                <w:color w:val="auto"/>
              </w:rPr>
            </w:pPr>
            <w:r>
              <w:rPr>
                <w:rFonts w:ascii="Arial" w:cs="Arial" w:eastAsia="Arial" w:hAnsi="Arial"/>
                <w:sz w:val="18"/>
                <w:szCs w:val="18"/>
                <w:color w:val="auto"/>
              </w:rPr>
              <w:t>265,371</w:t>
            </w: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100.0</w:t>
            </w:r>
          </w:p>
        </w:tc>
        <w:tc>
          <w:tcPr>
            <w:tcW w:w="2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5"/>
        </w:trPr>
        <w:tc>
          <w:tcPr>
            <w:tcW w:w="2220" w:type="dxa"/>
            <w:vAlign w:val="bottom"/>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gridSpan w:val="5"/>
          </w:tcPr>
          <w:p>
            <w:pPr>
              <w:jc w:val="center"/>
              <w:ind w:left="447"/>
              <w:spacing w:after="0"/>
              <w:rPr>
                <w:sz w:val="20"/>
                <w:szCs w:val="20"/>
                <w:color w:val="auto"/>
              </w:rPr>
            </w:pPr>
            <w:r>
              <w:rPr>
                <w:rFonts w:ascii="Arial" w:cs="Arial" w:eastAsia="Arial" w:hAnsi="Arial"/>
                <w:sz w:val="14"/>
                <w:szCs w:val="14"/>
                <w:b w:val="1"/>
                <w:bCs w:val="1"/>
                <w:color w:val="auto"/>
                <w:w w:val="88"/>
              </w:rPr>
              <w:t>Hospice</w:t>
            </w:r>
          </w:p>
        </w:tc>
        <w:tc>
          <w:tcPr>
            <w:tcW w:w="7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5"/>
        </w:trPr>
        <w:tc>
          <w:tcPr>
            <w:tcW w:w="2220" w:type="dxa"/>
            <w:vAlign w:val="bottom"/>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3220" w:type="dxa"/>
            <w:vAlign w:val="bottom"/>
            <w:tcBorders>
              <w:bottom w:val="single" w:sz="8" w:color="auto"/>
            </w:tcBorders>
            <w:gridSpan w:val="14"/>
          </w:tcPr>
          <w:p>
            <w:pPr>
              <w:jc w:val="right"/>
              <w:ind w:right="160"/>
              <w:spacing w:after="0" w:line="155" w:lineRule="exact"/>
              <w:rPr>
                <w:sz w:val="20"/>
                <w:szCs w:val="20"/>
                <w:color w:val="auto"/>
              </w:rPr>
            </w:pPr>
            <w:r>
              <w:rPr>
                <w:rFonts w:ascii="Arial" w:cs="Arial" w:eastAsia="Arial" w:hAnsi="Arial"/>
                <w:sz w:val="14"/>
                <w:szCs w:val="14"/>
                <w:b w:val="1"/>
                <w:bCs w:val="1"/>
                <w:color w:val="auto"/>
              </w:rPr>
              <w:t>For the Three Months Ended June 30,</w:t>
            </w:r>
          </w:p>
        </w:tc>
        <w:tc>
          <w:tcPr>
            <w:tcW w:w="80" w:type="dxa"/>
            <w:vAlign w:val="bottom"/>
            <w:tcBorders>
              <w:bottom w:val="single" w:sz="8" w:color="auto"/>
            </w:tcBorders>
          </w:tcPr>
          <w:p>
            <w:pPr>
              <w:spacing w:after="0"/>
              <w:rPr>
                <w:sz w:val="13"/>
                <w:szCs w:val="13"/>
                <w:color w:val="auto"/>
              </w:rPr>
            </w:pPr>
          </w:p>
        </w:tc>
        <w:tc>
          <w:tcPr>
            <w:tcW w:w="660" w:type="dxa"/>
            <w:vAlign w:val="bottom"/>
            <w:tcBorders>
              <w:bottom w:val="single" w:sz="8" w:color="auto"/>
            </w:tcBorders>
          </w:tcPr>
          <w:p>
            <w:pPr>
              <w:spacing w:after="0"/>
              <w:rPr>
                <w:sz w:val="13"/>
                <w:szCs w:val="13"/>
                <w:color w:val="auto"/>
              </w:rPr>
            </w:pPr>
          </w:p>
        </w:tc>
        <w:tc>
          <w:tcPr>
            <w:tcW w:w="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2460" w:type="dxa"/>
            <w:vAlign w:val="bottom"/>
            <w:tcBorders>
              <w:bottom w:val="single" w:sz="8" w:color="auto"/>
            </w:tcBorders>
            <w:gridSpan w:val="11"/>
          </w:tcPr>
          <w:p>
            <w:pPr>
              <w:jc w:val="center"/>
              <w:ind w:right="240"/>
              <w:spacing w:after="0" w:line="155" w:lineRule="exact"/>
              <w:rPr>
                <w:sz w:val="20"/>
                <w:szCs w:val="20"/>
                <w:color w:val="auto"/>
              </w:rPr>
            </w:pPr>
            <w:r>
              <w:rPr>
                <w:rFonts w:ascii="Arial" w:cs="Arial" w:eastAsia="Arial" w:hAnsi="Arial"/>
                <w:sz w:val="14"/>
                <w:szCs w:val="14"/>
                <w:b w:val="1"/>
                <w:bCs w:val="1"/>
                <w:color w:val="auto"/>
                <w:w w:val="93"/>
              </w:rPr>
              <w:t>For the Six Months Ended June 30,</w:t>
            </w:r>
          </w:p>
        </w:tc>
        <w:tc>
          <w:tcPr>
            <w:tcW w:w="2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tcPr>
          <w:p>
            <w:pPr>
              <w:spacing w:after="0"/>
              <w:rPr>
                <w:sz w:val="13"/>
                <w:szCs w:val="13"/>
                <w:color w:val="auto"/>
              </w:rPr>
            </w:pPr>
          </w:p>
        </w:tc>
        <w:tc>
          <w:tcPr>
            <w:tcW w:w="2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2220" w:type="dxa"/>
            <w:vAlign w:val="bottom"/>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940" w:type="dxa"/>
            <w:vAlign w:val="bottom"/>
            <w:tcBorders>
              <w:bottom w:val="single" w:sz="8" w:color="auto"/>
            </w:tcBorders>
            <w:gridSpan w:val="3"/>
          </w:tcPr>
          <w:p>
            <w:pPr>
              <w:jc w:val="right"/>
              <w:ind w:right="40"/>
              <w:spacing w:after="0" w:line="155" w:lineRule="exact"/>
              <w:rPr>
                <w:sz w:val="20"/>
                <w:szCs w:val="20"/>
                <w:color w:val="auto"/>
              </w:rPr>
            </w:pPr>
            <w:r>
              <w:rPr>
                <w:rFonts w:ascii="Arial" w:cs="Arial" w:eastAsia="Arial" w:hAnsi="Arial"/>
                <w:sz w:val="14"/>
                <w:szCs w:val="14"/>
                <w:b w:val="1"/>
                <w:bCs w:val="1"/>
                <w:color w:val="auto"/>
              </w:rPr>
              <w:t>2020</w:t>
            </w:r>
          </w:p>
        </w:tc>
        <w:tc>
          <w:tcPr>
            <w:tcW w:w="20" w:type="dxa"/>
            <w:vAlign w:val="bottom"/>
            <w:tcBorders>
              <w:bottom w:val="single" w:sz="8" w:color="auto"/>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660" w:type="dxa"/>
            <w:vAlign w:val="bottom"/>
            <w:tcBorders>
              <w:bottom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gridSpan w:val="3"/>
          </w:tcPr>
          <w:p>
            <w:pPr>
              <w:jc w:val="right"/>
              <w:ind w:right="20"/>
              <w:spacing w:after="0" w:line="155" w:lineRule="exact"/>
              <w:rPr>
                <w:sz w:val="20"/>
                <w:szCs w:val="20"/>
                <w:color w:val="auto"/>
              </w:rPr>
            </w:pPr>
            <w:r>
              <w:rPr>
                <w:rFonts w:ascii="Arial" w:cs="Arial" w:eastAsia="Arial" w:hAnsi="Arial"/>
                <w:sz w:val="14"/>
                <w:szCs w:val="14"/>
                <w:b w:val="1"/>
                <w:bCs w:val="1"/>
                <w:color w:val="auto"/>
              </w:rPr>
              <w:t>2019</w:t>
            </w:r>
          </w:p>
        </w:tc>
        <w:tc>
          <w:tcPr>
            <w:tcW w:w="4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660" w:type="dxa"/>
            <w:vAlign w:val="bottom"/>
            <w:tcBorders>
              <w:bottom w:val="single" w:sz="8" w:color="auto"/>
            </w:tcBorders>
          </w:tcPr>
          <w:p>
            <w:pPr>
              <w:spacing w:after="0"/>
              <w:rPr>
                <w:sz w:val="13"/>
                <w:szCs w:val="13"/>
                <w:color w:val="auto"/>
              </w:rPr>
            </w:pPr>
          </w:p>
        </w:tc>
        <w:tc>
          <w:tcPr>
            <w:tcW w:w="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gridSpan w:val="3"/>
          </w:tcPr>
          <w:p>
            <w:pPr>
              <w:jc w:val="right"/>
              <w:spacing w:after="0" w:line="155" w:lineRule="exact"/>
              <w:rPr>
                <w:sz w:val="20"/>
                <w:szCs w:val="20"/>
                <w:color w:val="auto"/>
              </w:rPr>
            </w:pPr>
            <w:r>
              <w:rPr>
                <w:rFonts w:ascii="Arial" w:cs="Arial" w:eastAsia="Arial" w:hAnsi="Arial"/>
                <w:sz w:val="14"/>
                <w:szCs w:val="14"/>
                <w:b w:val="1"/>
                <w:bCs w:val="1"/>
                <w:color w:val="auto"/>
              </w:rPr>
              <w:t>2020</w:t>
            </w:r>
          </w:p>
        </w:tc>
        <w:tc>
          <w:tcPr>
            <w:tcW w:w="6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spacing w:after="0"/>
              <w:rPr>
                <w:sz w:val="13"/>
                <w:szCs w:val="13"/>
                <w:color w:val="auto"/>
              </w:rPr>
            </w:pPr>
          </w:p>
        </w:tc>
        <w:tc>
          <w:tcPr>
            <w:tcW w:w="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980" w:type="dxa"/>
            <w:vAlign w:val="bottom"/>
            <w:tcBorders>
              <w:bottom w:val="single" w:sz="8" w:color="auto"/>
            </w:tcBorders>
            <w:gridSpan w:val="4"/>
          </w:tcPr>
          <w:p>
            <w:pPr>
              <w:jc w:val="right"/>
              <w:ind w:right="60"/>
              <w:spacing w:after="0" w:line="155" w:lineRule="exact"/>
              <w:rPr>
                <w:sz w:val="20"/>
                <w:szCs w:val="20"/>
                <w:color w:val="auto"/>
              </w:rPr>
            </w:pPr>
            <w:r>
              <w:rPr>
                <w:rFonts w:ascii="Arial" w:cs="Arial" w:eastAsia="Arial" w:hAnsi="Arial"/>
                <w:sz w:val="14"/>
                <w:szCs w:val="14"/>
                <w:b w:val="1"/>
                <w:bCs w:val="1"/>
                <w:color w:val="auto"/>
              </w:rPr>
              <w:t>2019</w:t>
            </w:r>
          </w:p>
        </w:tc>
        <w:tc>
          <w:tcPr>
            <w:tcW w:w="2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tcPr>
          <w:p>
            <w:pPr>
              <w:spacing w:after="0"/>
              <w:rPr>
                <w:sz w:val="13"/>
                <w:szCs w:val="13"/>
                <w:color w:val="auto"/>
              </w:rPr>
            </w:pPr>
          </w:p>
        </w:tc>
        <w:tc>
          <w:tcPr>
            <w:tcW w:w="2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3"/>
        </w:trPr>
        <w:tc>
          <w:tcPr>
            <w:tcW w:w="22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jc w:val="center"/>
              <w:ind w:right="8"/>
              <w:spacing w:after="0" w:line="133" w:lineRule="exact"/>
              <w:rPr>
                <w:sz w:val="20"/>
                <w:szCs w:val="20"/>
                <w:color w:val="auto"/>
              </w:rPr>
            </w:pPr>
            <w:r>
              <w:rPr>
                <w:rFonts w:ascii="Arial" w:cs="Arial" w:eastAsia="Arial" w:hAnsi="Arial"/>
                <w:sz w:val="14"/>
                <w:szCs w:val="14"/>
                <w:b w:val="1"/>
                <w:bCs w:val="1"/>
                <w:color w:val="auto"/>
              </w:rPr>
              <w:t>% of</w:t>
            </w:r>
          </w:p>
        </w:tc>
        <w:tc>
          <w:tcPr>
            <w:tcW w:w="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jc w:val="center"/>
              <w:ind w:right="7"/>
              <w:spacing w:after="0" w:line="133" w:lineRule="exact"/>
              <w:rPr>
                <w:sz w:val="20"/>
                <w:szCs w:val="20"/>
                <w:color w:val="auto"/>
              </w:rPr>
            </w:pPr>
            <w:r>
              <w:rPr>
                <w:rFonts w:ascii="Arial" w:cs="Arial" w:eastAsia="Arial" w:hAnsi="Arial"/>
                <w:sz w:val="14"/>
                <w:szCs w:val="14"/>
                <w:b w:val="1"/>
                <w:bCs w:val="1"/>
                <w:color w:val="auto"/>
              </w:rPr>
              <w:t>% of</w:t>
            </w:r>
          </w:p>
        </w:tc>
        <w:tc>
          <w:tcPr>
            <w:tcW w:w="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tcPr>
          <w:p>
            <w:pPr>
              <w:jc w:val="center"/>
              <w:ind w:right="8"/>
              <w:spacing w:after="0" w:line="133" w:lineRule="exact"/>
              <w:rPr>
                <w:sz w:val="20"/>
                <w:szCs w:val="20"/>
                <w:color w:val="auto"/>
              </w:rPr>
            </w:pPr>
            <w:r>
              <w:rPr>
                <w:rFonts w:ascii="Arial" w:cs="Arial" w:eastAsia="Arial" w:hAnsi="Arial"/>
                <w:sz w:val="14"/>
                <w:szCs w:val="14"/>
                <w:b w:val="1"/>
                <w:bCs w:val="1"/>
                <w:color w:val="auto"/>
              </w:rPr>
              <w:t>% of</w:t>
            </w: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40" w:type="dxa"/>
            <w:vAlign w:val="bottom"/>
          </w:tcPr>
          <w:p>
            <w:pPr>
              <w:jc w:val="center"/>
              <w:spacing w:after="0" w:line="133" w:lineRule="exact"/>
              <w:rPr>
                <w:sz w:val="20"/>
                <w:szCs w:val="20"/>
                <w:color w:val="auto"/>
              </w:rPr>
            </w:pPr>
            <w:r>
              <w:rPr>
                <w:rFonts w:ascii="Arial" w:cs="Arial" w:eastAsia="Arial" w:hAnsi="Arial"/>
                <w:sz w:val="14"/>
                <w:szCs w:val="14"/>
                <w:b w:val="1"/>
                <w:bCs w:val="1"/>
                <w:color w:val="auto"/>
              </w:rPr>
              <w:t>% of</w:t>
            </w:r>
          </w:p>
        </w:tc>
        <w:tc>
          <w:tcPr>
            <w:tcW w:w="2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2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gridSpan w:val="4"/>
            <w:vMerge w:val="restart"/>
          </w:tcPr>
          <w:p>
            <w:pPr>
              <w:ind w:left="20"/>
              <w:spacing w:after="0"/>
              <w:rPr>
                <w:sz w:val="20"/>
                <w:szCs w:val="20"/>
                <w:color w:val="auto"/>
              </w:rPr>
            </w:pPr>
            <w:r>
              <w:rPr>
                <w:rFonts w:ascii="Arial" w:cs="Arial" w:eastAsia="Arial" w:hAnsi="Arial"/>
                <w:sz w:val="14"/>
                <w:szCs w:val="14"/>
                <w:b w:val="1"/>
                <w:bCs w:val="1"/>
                <w:color w:val="auto"/>
              </w:rPr>
              <w:t>Amount</w:t>
            </w:r>
          </w:p>
        </w:tc>
        <w:tc>
          <w:tcPr>
            <w:tcW w:w="60" w:type="dxa"/>
            <w:vAlign w:val="bottom"/>
          </w:tcPr>
          <w:p>
            <w:pPr>
              <w:spacing w:after="0"/>
              <w:rPr>
                <w:sz w:val="12"/>
                <w:szCs w:val="12"/>
                <w:color w:val="auto"/>
              </w:rPr>
            </w:pPr>
          </w:p>
        </w:tc>
        <w:tc>
          <w:tcPr>
            <w:tcW w:w="74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91"/>
              </w:rPr>
              <w:t>Segment</w:t>
            </w: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gridSpan w:val="4"/>
            <w:vMerge w:val="restart"/>
          </w:tcPr>
          <w:p>
            <w:pPr>
              <w:ind w:left="20"/>
              <w:spacing w:after="0"/>
              <w:rPr>
                <w:sz w:val="20"/>
                <w:szCs w:val="20"/>
                <w:color w:val="auto"/>
              </w:rPr>
            </w:pPr>
            <w:r>
              <w:rPr>
                <w:rFonts w:ascii="Arial" w:cs="Arial" w:eastAsia="Arial" w:hAnsi="Arial"/>
                <w:sz w:val="14"/>
                <w:szCs w:val="14"/>
                <w:b w:val="1"/>
                <w:bCs w:val="1"/>
                <w:color w:val="auto"/>
              </w:rPr>
              <w:t>Amount</w:t>
            </w:r>
          </w:p>
        </w:tc>
        <w:tc>
          <w:tcPr>
            <w:tcW w:w="80" w:type="dxa"/>
            <w:vAlign w:val="bottom"/>
          </w:tcPr>
          <w:p>
            <w:pPr>
              <w:spacing w:after="0"/>
              <w:rPr>
                <w:sz w:val="12"/>
                <w:szCs w:val="12"/>
                <w:color w:val="auto"/>
              </w:rPr>
            </w:pPr>
          </w:p>
        </w:tc>
        <w:tc>
          <w:tcPr>
            <w:tcW w:w="72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87"/>
              </w:rPr>
              <w:t>Segment</w:t>
            </w:r>
          </w:p>
        </w:tc>
        <w:tc>
          <w:tcPr>
            <w:tcW w:w="3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gridSpan w:val="3"/>
            <w:vMerge w:val="restart"/>
          </w:tcPr>
          <w:p>
            <w:pPr>
              <w:jc w:val="right"/>
              <w:ind w:right="368"/>
              <w:spacing w:after="0"/>
              <w:rPr>
                <w:sz w:val="20"/>
                <w:szCs w:val="20"/>
                <w:color w:val="auto"/>
              </w:rPr>
            </w:pPr>
            <w:r>
              <w:rPr>
                <w:rFonts w:ascii="Arial" w:cs="Arial" w:eastAsia="Arial" w:hAnsi="Arial"/>
                <w:sz w:val="14"/>
                <w:szCs w:val="14"/>
                <w:b w:val="1"/>
                <w:bCs w:val="1"/>
                <w:color w:val="auto"/>
                <w:w w:val="94"/>
              </w:rPr>
              <w:t>Amount</w:t>
            </w:r>
          </w:p>
        </w:tc>
        <w:tc>
          <w:tcPr>
            <w:tcW w:w="60" w:type="dxa"/>
            <w:vAlign w:val="bottom"/>
          </w:tcPr>
          <w:p>
            <w:pPr>
              <w:spacing w:after="0"/>
              <w:rPr>
                <w:sz w:val="12"/>
                <w:szCs w:val="12"/>
                <w:color w:val="auto"/>
              </w:rPr>
            </w:pPr>
          </w:p>
        </w:tc>
        <w:tc>
          <w:tcPr>
            <w:tcW w:w="72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87"/>
              </w:rPr>
              <w:t>Segment</w:t>
            </w:r>
          </w:p>
        </w:tc>
        <w:tc>
          <w:tcPr>
            <w:tcW w:w="3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80" w:type="dxa"/>
            <w:vAlign w:val="bottom"/>
            <w:gridSpan w:val="4"/>
            <w:vMerge w:val="restart"/>
          </w:tcPr>
          <w:p>
            <w:pPr>
              <w:jc w:val="right"/>
              <w:ind w:right="440"/>
              <w:spacing w:after="0"/>
              <w:rPr>
                <w:sz w:val="20"/>
                <w:szCs w:val="20"/>
                <w:color w:val="auto"/>
              </w:rPr>
            </w:pPr>
            <w:r>
              <w:rPr>
                <w:rFonts w:ascii="Arial" w:cs="Arial" w:eastAsia="Arial" w:hAnsi="Arial"/>
                <w:sz w:val="14"/>
                <w:szCs w:val="14"/>
                <w:b w:val="1"/>
                <w:bCs w:val="1"/>
                <w:color w:val="auto"/>
                <w:w w:val="98"/>
              </w:rPr>
              <w:t>Amount</w:t>
            </w:r>
          </w:p>
        </w:tc>
        <w:tc>
          <w:tcPr>
            <w:tcW w:w="20" w:type="dxa"/>
            <w:vAlign w:val="bottom"/>
          </w:tcPr>
          <w:p>
            <w:pPr>
              <w:spacing w:after="0"/>
              <w:rPr>
                <w:sz w:val="12"/>
                <w:szCs w:val="12"/>
                <w:color w:val="auto"/>
              </w:rPr>
            </w:pPr>
          </w:p>
        </w:tc>
        <w:tc>
          <w:tcPr>
            <w:tcW w:w="7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1"/>
              </w:rPr>
              <w:t>Segment</w:t>
            </w:r>
          </w:p>
        </w:tc>
        <w:tc>
          <w:tcPr>
            <w:tcW w:w="2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gridSpan w:val="4"/>
            <w:vMerge w:val="continue"/>
          </w:tcPr>
          <w:p>
            <w:pPr>
              <w:spacing w:after="0"/>
              <w:rPr>
                <w:sz w:val="12"/>
                <w:szCs w:val="12"/>
                <w:color w:val="auto"/>
              </w:rPr>
            </w:pPr>
          </w:p>
        </w:tc>
        <w:tc>
          <w:tcPr>
            <w:tcW w:w="800" w:type="dxa"/>
            <w:vAlign w:val="bottom"/>
            <w:gridSpan w:val="3"/>
          </w:tcPr>
          <w:p>
            <w:pPr>
              <w:jc w:val="center"/>
              <w:ind w:right="100"/>
              <w:spacing w:after="0" w:line="149" w:lineRule="exact"/>
              <w:rPr>
                <w:sz w:val="20"/>
                <w:szCs w:val="20"/>
                <w:color w:val="auto"/>
              </w:rPr>
            </w:pPr>
            <w:r>
              <w:rPr>
                <w:rFonts w:ascii="Arial" w:cs="Arial" w:eastAsia="Arial" w:hAnsi="Arial"/>
                <w:sz w:val="14"/>
                <w:szCs w:val="14"/>
                <w:b w:val="1"/>
                <w:bCs w:val="1"/>
                <w:color w:val="auto"/>
                <w:w w:val="91"/>
              </w:rPr>
              <w:t>Net Service</w:t>
            </w: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gridSpan w:val="4"/>
            <w:vMerge w:val="continue"/>
          </w:tcPr>
          <w:p>
            <w:pPr>
              <w:spacing w:after="0"/>
              <w:rPr>
                <w:sz w:val="12"/>
                <w:szCs w:val="12"/>
                <w:color w:val="auto"/>
              </w:rPr>
            </w:pPr>
          </w:p>
        </w:tc>
        <w:tc>
          <w:tcPr>
            <w:tcW w:w="800" w:type="dxa"/>
            <w:vAlign w:val="bottom"/>
            <w:gridSpan w:val="3"/>
          </w:tcPr>
          <w:p>
            <w:pPr>
              <w:jc w:val="center"/>
              <w:ind w:right="60"/>
              <w:spacing w:after="0" w:line="149" w:lineRule="exact"/>
              <w:rPr>
                <w:sz w:val="20"/>
                <w:szCs w:val="20"/>
                <w:color w:val="auto"/>
              </w:rPr>
            </w:pPr>
            <w:r>
              <w:rPr>
                <w:rFonts w:ascii="Arial" w:cs="Arial" w:eastAsia="Arial" w:hAnsi="Arial"/>
                <w:sz w:val="14"/>
                <w:szCs w:val="14"/>
                <w:b w:val="1"/>
                <w:bCs w:val="1"/>
                <w:color w:val="auto"/>
                <w:w w:val="91"/>
              </w:rPr>
              <w:t>Net Service</w:t>
            </w:r>
          </w:p>
        </w:tc>
        <w:tc>
          <w:tcPr>
            <w:tcW w:w="3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gridSpan w:val="3"/>
            <w:vMerge w:val="continue"/>
          </w:tcPr>
          <w:p>
            <w:pPr>
              <w:spacing w:after="0"/>
              <w:rPr>
                <w:sz w:val="12"/>
                <w:szCs w:val="12"/>
                <w:color w:val="auto"/>
              </w:rPr>
            </w:pPr>
          </w:p>
        </w:tc>
        <w:tc>
          <w:tcPr>
            <w:tcW w:w="780" w:type="dxa"/>
            <w:vAlign w:val="bottom"/>
            <w:gridSpan w:val="3"/>
          </w:tcPr>
          <w:p>
            <w:pPr>
              <w:jc w:val="center"/>
              <w:ind w:right="40"/>
              <w:spacing w:after="0" w:line="149" w:lineRule="exact"/>
              <w:rPr>
                <w:sz w:val="20"/>
                <w:szCs w:val="20"/>
                <w:color w:val="auto"/>
              </w:rPr>
            </w:pPr>
            <w:r>
              <w:rPr>
                <w:rFonts w:ascii="Arial" w:cs="Arial" w:eastAsia="Arial" w:hAnsi="Arial"/>
                <w:sz w:val="14"/>
                <w:szCs w:val="14"/>
                <w:b w:val="1"/>
                <w:bCs w:val="1"/>
                <w:color w:val="auto"/>
                <w:w w:val="91"/>
              </w:rPr>
              <w:t>Net Service</w:t>
            </w:r>
          </w:p>
        </w:tc>
        <w:tc>
          <w:tcPr>
            <w:tcW w:w="3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80" w:type="dxa"/>
            <w:vAlign w:val="bottom"/>
            <w:gridSpan w:val="4"/>
            <w:vMerge w:val="continue"/>
          </w:tcPr>
          <w:p>
            <w:pPr>
              <w:spacing w:after="0"/>
              <w:rPr>
                <w:sz w:val="12"/>
                <w:szCs w:val="12"/>
                <w:color w:val="auto"/>
              </w:rPr>
            </w:pPr>
          </w:p>
        </w:tc>
        <w:tc>
          <w:tcPr>
            <w:tcW w:w="76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1"/>
              </w:rPr>
              <w:t>Net Service</w:t>
            </w:r>
          </w:p>
        </w:tc>
        <w:tc>
          <w:tcPr>
            <w:tcW w:w="2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220" w:type="dxa"/>
            <w:vAlign w:val="bottom"/>
          </w:tcPr>
          <w:p>
            <w:pPr>
              <w:spacing w:after="0"/>
              <w:rPr>
                <w:sz w:val="14"/>
                <w:szCs w:val="14"/>
                <w:color w:val="auto"/>
              </w:rPr>
            </w:pPr>
          </w:p>
        </w:tc>
        <w:tc>
          <w:tcPr>
            <w:tcW w:w="1140" w:type="dxa"/>
            <w:vAlign w:val="bottom"/>
            <w:gridSpan w:val="6"/>
          </w:tcPr>
          <w:p>
            <w:pPr>
              <w:spacing w:after="0"/>
              <w:rPr>
                <w:sz w:val="20"/>
                <w:szCs w:val="20"/>
                <w:color w:val="auto"/>
              </w:rPr>
            </w:pPr>
            <w:r>
              <w:rPr>
                <w:rFonts w:ascii="Arial" w:cs="Arial" w:eastAsia="Arial" w:hAnsi="Arial"/>
                <w:sz w:val="14"/>
                <w:szCs w:val="14"/>
                <w:b w:val="1"/>
                <w:bCs w:val="1"/>
                <w:color w:val="auto"/>
              </w:rPr>
              <w:t>(in Thousands)</w:t>
            </w:r>
          </w:p>
        </w:tc>
        <w:tc>
          <w:tcPr>
            <w:tcW w:w="80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w w:val="87"/>
              </w:rPr>
              <w:t>Revenues</w:t>
            </w:r>
          </w:p>
        </w:tc>
        <w:tc>
          <w:tcPr>
            <w:tcW w:w="300" w:type="dxa"/>
            <w:vAlign w:val="bottom"/>
          </w:tcPr>
          <w:p>
            <w:pPr>
              <w:spacing w:after="0"/>
              <w:rPr>
                <w:sz w:val="14"/>
                <w:szCs w:val="14"/>
                <w:color w:val="auto"/>
              </w:rPr>
            </w:pPr>
          </w:p>
        </w:tc>
        <w:tc>
          <w:tcPr>
            <w:tcW w:w="1160" w:type="dxa"/>
            <w:vAlign w:val="bottom"/>
            <w:gridSpan w:val="6"/>
          </w:tcPr>
          <w:p>
            <w:pPr>
              <w:spacing w:after="0"/>
              <w:rPr>
                <w:sz w:val="20"/>
                <w:szCs w:val="20"/>
                <w:color w:val="auto"/>
              </w:rPr>
            </w:pPr>
            <w:r>
              <w:rPr>
                <w:rFonts w:ascii="Arial" w:cs="Arial" w:eastAsia="Arial" w:hAnsi="Arial"/>
                <w:sz w:val="14"/>
                <w:szCs w:val="14"/>
                <w:b w:val="1"/>
                <w:bCs w:val="1"/>
                <w:color w:val="auto"/>
              </w:rPr>
              <w:t>(in Thousands)</w:t>
            </w:r>
          </w:p>
        </w:tc>
        <w:tc>
          <w:tcPr>
            <w:tcW w:w="800" w:type="dxa"/>
            <w:vAlign w:val="bottom"/>
            <w:gridSpan w:val="3"/>
          </w:tcPr>
          <w:p>
            <w:pPr>
              <w:jc w:val="center"/>
              <w:ind w:right="60"/>
              <w:spacing w:after="0"/>
              <w:rPr>
                <w:sz w:val="20"/>
                <w:szCs w:val="20"/>
                <w:color w:val="auto"/>
              </w:rPr>
            </w:pPr>
            <w:r>
              <w:rPr>
                <w:rFonts w:ascii="Arial" w:cs="Arial" w:eastAsia="Arial" w:hAnsi="Arial"/>
                <w:sz w:val="14"/>
                <w:szCs w:val="14"/>
                <w:b w:val="1"/>
                <w:bCs w:val="1"/>
                <w:color w:val="auto"/>
                <w:w w:val="87"/>
              </w:rPr>
              <w:t>Revenues</w:t>
            </w:r>
          </w:p>
        </w:tc>
        <w:tc>
          <w:tcPr>
            <w:tcW w:w="340" w:type="dxa"/>
            <w:vAlign w:val="bottom"/>
          </w:tcPr>
          <w:p>
            <w:pPr>
              <w:spacing w:after="0"/>
              <w:rPr>
                <w:sz w:val="14"/>
                <w:szCs w:val="14"/>
                <w:color w:val="auto"/>
              </w:rPr>
            </w:pPr>
          </w:p>
        </w:tc>
        <w:tc>
          <w:tcPr>
            <w:tcW w:w="1140" w:type="dxa"/>
            <w:vAlign w:val="bottom"/>
            <w:gridSpan w:val="5"/>
          </w:tcPr>
          <w:p>
            <w:pPr>
              <w:spacing w:after="0"/>
              <w:rPr>
                <w:sz w:val="20"/>
                <w:szCs w:val="20"/>
                <w:color w:val="auto"/>
              </w:rPr>
            </w:pPr>
            <w:r>
              <w:rPr>
                <w:rFonts w:ascii="Arial" w:cs="Arial" w:eastAsia="Arial" w:hAnsi="Arial"/>
                <w:sz w:val="14"/>
                <w:szCs w:val="14"/>
                <w:b w:val="1"/>
                <w:bCs w:val="1"/>
                <w:color w:val="auto"/>
              </w:rPr>
              <w:t>(in Thousands)</w:t>
            </w:r>
          </w:p>
        </w:tc>
        <w:tc>
          <w:tcPr>
            <w:tcW w:w="60" w:type="dxa"/>
            <w:vAlign w:val="bottom"/>
          </w:tcPr>
          <w:p>
            <w:pPr>
              <w:spacing w:after="0"/>
              <w:rPr>
                <w:sz w:val="14"/>
                <w:szCs w:val="14"/>
                <w:color w:val="auto"/>
              </w:rPr>
            </w:pPr>
          </w:p>
        </w:tc>
        <w:tc>
          <w:tcPr>
            <w:tcW w:w="7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7"/>
              </w:rPr>
              <w:t>Revenues</w:t>
            </w:r>
          </w:p>
        </w:tc>
        <w:tc>
          <w:tcPr>
            <w:tcW w:w="380" w:type="dxa"/>
            <w:vAlign w:val="bottom"/>
          </w:tcPr>
          <w:p>
            <w:pPr>
              <w:spacing w:after="0"/>
              <w:rPr>
                <w:sz w:val="14"/>
                <w:szCs w:val="14"/>
                <w:color w:val="auto"/>
              </w:rPr>
            </w:pPr>
          </w:p>
        </w:tc>
        <w:tc>
          <w:tcPr>
            <w:tcW w:w="1140" w:type="dxa"/>
            <w:vAlign w:val="bottom"/>
            <w:gridSpan w:val="6"/>
          </w:tcPr>
          <w:p>
            <w:pPr>
              <w:spacing w:after="0"/>
              <w:rPr>
                <w:sz w:val="20"/>
                <w:szCs w:val="20"/>
                <w:color w:val="auto"/>
              </w:rPr>
            </w:pPr>
            <w:r>
              <w:rPr>
                <w:rFonts w:ascii="Arial" w:cs="Arial" w:eastAsia="Arial" w:hAnsi="Arial"/>
                <w:sz w:val="14"/>
                <w:szCs w:val="14"/>
                <w:b w:val="1"/>
                <w:bCs w:val="1"/>
                <w:color w:val="auto"/>
              </w:rPr>
              <w:t>(in Thousands)</w:t>
            </w:r>
          </w:p>
        </w:tc>
        <w:tc>
          <w:tcPr>
            <w:tcW w:w="20" w:type="dxa"/>
            <w:vAlign w:val="bottom"/>
          </w:tcPr>
          <w:p>
            <w:pPr>
              <w:spacing w:after="0"/>
              <w:rPr>
                <w:sz w:val="14"/>
                <w:szCs w:val="14"/>
                <w:color w:val="auto"/>
              </w:rPr>
            </w:pPr>
          </w:p>
        </w:tc>
        <w:tc>
          <w:tcPr>
            <w:tcW w:w="740" w:type="dxa"/>
            <w:vAlign w:val="bottom"/>
          </w:tcPr>
          <w:p>
            <w:pPr>
              <w:jc w:val="center"/>
              <w:spacing w:after="0"/>
              <w:rPr>
                <w:sz w:val="20"/>
                <w:szCs w:val="20"/>
                <w:color w:val="auto"/>
              </w:rPr>
            </w:pPr>
            <w:r>
              <w:rPr>
                <w:rFonts w:ascii="Arial" w:cs="Arial" w:eastAsia="Arial" w:hAnsi="Arial"/>
                <w:sz w:val="14"/>
                <w:szCs w:val="14"/>
                <w:b w:val="1"/>
                <w:bCs w:val="1"/>
                <w:color w:val="auto"/>
                <w:w w:val="87"/>
              </w:rPr>
              <w:t>Revenues</w:t>
            </w:r>
          </w:p>
        </w:tc>
        <w:tc>
          <w:tcPr>
            <w:tcW w:w="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22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Medicare</w:t>
            </w:r>
          </w:p>
        </w:tc>
        <w:tc>
          <w:tcPr>
            <w:tcW w:w="180" w:type="dxa"/>
            <w:vAlign w:val="bottom"/>
            <w:tcBorders>
              <w:top w:val="single" w:sz="8" w:color="auto"/>
            </w:tcBorders>
            <w:gridSpan w:val="2"/>
            <w:shd w:val="clear" w:color="auto" w:fill="CFF0FC"/>
          </w:tcPr>
          <w:p>
            <w:pPr>
              <w:spacing w:after="0"/>
              <w:rPr>
                <w:sz w:val="20"/>
                <w:szCs w:val="20"/>
                <w:color w:val="auto"/>
              </w:rPr>
            </w:pPr>
            <w:r>
              <w:rPr>
                <w:rFonts w:ascii="Arial" w:cs="Arial" w:eastAsia="Arial" w:hAnsi="Arial"/>
                <w:sz w:val="18"/>
                <w:szCs w:val="18"/>
                <w:color w:val="auto"/>
              </w:rPr>
              <w:t>$</w:t>
            </w:r>
          </w:p>
        </w:tc>
        <w:tc>
          <w:tcPr>
            <w:tcW w:w="7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22,753</w:t>
            </w:r>
          </w:p>
        </w:tc>
        <w:tc>
          <w:tcPr>
            <w:tcW w:w="4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auto"/>
            </w:tcBorders>
            <w:shd w:val="clear" w:color="auto" w:fill="CFF0FC"/>
          </w:tcPr>
          <w:p>
            <w:pPr>
              <w:spacing w:after="0"/>
              <w:rPr>
                <w:sz w:val="19"/>
                <w:szCs w:val="19"/>
                <w:color w:val="auto"/>
              </w:rPr>
            </w:pPr>
          </w:p>
        </w:tc>
        <w:tc>
          <w:tcPr>
            <w:tcW w:w="720" w:type="dxa"/>
            <w:vAlign w:val="bottom"/>
            <w:tcBorders>
              <w:top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color w:val="auto"/>
              </w:rPr>
              <w:t>92.8</w:t>
            </w:r>
          </w:p>
        </w:tc>
        <w:tc>
          <w:tcPr>
            <w:tcW w:w="80" w:type="dxa"/>
            <w:vAlign w:val="bottom"/>
            <w:tcBorders>
              <w:top w:val="single" w:sz="8" w:color="CFF0FC"/>
            </w:tcBorders>
            <w:shd w:val="clear" w:color="auto" w:fill="CFF0FC"/>
          </w:tcPr>
          <w:p>
            <w:pPr>
              <w:spacing w:after="0"/>
              <w:rPr>
                <w:sz w:val="19"/>
                <w:szCs w:val="19"/>
                <w:color w:val="auto"/>
              </w:rPr>
            </w:pPr>
          </w:p>
        </w:tc>
        <w:tc>
          <w:tcPr>
            <w:tcW w:w="300" w:type="dxa"/>
            <w:vAlign w:val="bottom"/>
            <w:tcBorders>
              <w:top w:val="single" w:sz="8" w:color="CFF0FC"/>
            </w:tcBorders>
            <w:shd w:val="clear" w:color="auto" w:fill="CFF0FC"/>
          </w:tcPr>
          <w:p>
            <w:pPr>
              <w:jc w:val="right"/>
              <w:ind w:right="50"/>
              <w:spacing w:after="0"/>
              <w:rPr>
                <w:sz w:val="20"/>
                <w:szCs w:val="20"/>
                <w:color w:val="auto"/>
              </w:rPr>
            </w:pPr>
            <w:r>
              <w:rPr>
                <w:rFonts w:ascii="Arial" w:cs="Arial" w:eastAsia="Arial" w:hAnsi="Arial"/>
                <w:sz w:val="18"/>
                <w:szCs w:val="18"/>
                <w:color w:val="auto"/>
                <w:w w:val="87"/>
              </w:rPr>
              <w:t>%</w:t>
            </w:r>
          </w:p>
        </w:tc>
        <w:tc>
          <w:tcPr>
            <w:tcW w:w="200" w:type="dxa"/>
            <w:vAlign w:val="bottom"/>
            <w:tcBorders>
              <w:top w:val="single" w:sz="8" w:color="auto"/>
            </w:tcBorders>
            <w:gridSpan w:val="2"/>
            <w:shd w:val="clear" w:color="auto" w:fill="CFF0FC"/>
          </w:tcPr>
          <w:p>
            <w:pPr>
              <w:spacing w:after="0"/>
              <w:rPr>
                <w:sz w:val="20"/>
                <w:szCs w:val="20"/>
                <w:color w:val="auto"/>
              </w:rPr>
            </w:pPr>
            <w:r>
              <w:rPr>
                <w:rFonts w:ascii="Arial" w:cs="Arial" w:eastAsia="Arial" w:hAnsi="Arial"/>
                <w:sz w:val="18"/>
                <w:szCs w:val="18"/>
                <w:color w:val="auto"/>
              </w:rPr>
              <w:t>$</w:t>
            </w:r>
          </w:p>
        </w:tc>
        <w:tc>
          <w:tcPr>
            <w:tcW w:w="7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7,808</w:t>
            </w:r>
          </w:p>
        </w:tc>
        <w:tc>
          <w:tcPr>
            <w:tcW w:w="8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40" w:type="dxa"/>
            <w:vAlign w:val="bottom"/>
            <w:tcBorders>
              <w:top w:val="single" w:sz="8" w:color="CFF0FC"/>
            </w:tcBorders>
            <w:shd w:val="clear" w:color="auto" w:fill="CFF0FC"/>
          </w:tcPr>
          <w:p>
            <w:pPr>
              <w:spacing w:after="0"/>
              <w:rPr>
                <w:sz w:val="19"/>
                <w:szCs w:val="19"/>
                <w:color w:val="auto"/>
              </w:rPr>
            </w:pPr>
          </w:p>
        </w:tc>
        <w:tc>
          <w:tcPr>
            <w:tcW w:w="740" w:type="dxa"/>
            <w:vAlign w:val="bottom"/>
            <w:tcBorders>
              <w:top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color w:val="auto"/>
              </w:rPr>
              <w:t>92.6</w:t>
            </w:r>
          </w:p>
        </w:tc>
        <w:tc>
          <w:tcPr>
            <w:tcW w:w="60" w:type="dxa"/>
            <w:vAlign w:val="bottom"/>
            <w:tcBorders>
              <w:top w:val="single" w:sz="8" w:color="CFF0FC"/>
            </w:tcBorders>
            <w:shd w:val="clear" w:color="auto" w:fill="CFF0FC"/>
          </w:tcPr>
          <w:p>
            <w:pPr>
              <w:spacing w:after="0"/>
              <w:rPr>
                <w:sz w:val="19"/>
                <w:szCs w:val="19"/>
                <w:color w:val="auto"/>
              </w:rPr>
            </w:pPr>
          </w:p>
        </w:tc>
        <w:tc>
          <w:tcPr>
            <w:tcW w:w="340" w:type="dxa"/>
            <w:vAlign w:val="bottom"/>
            <w:tcBorders>
              <w:top w:val="single" w:sz="8" w:color="CFF0FC"/>
            </w:tcBorders>
            <w:shd w:val="clear" w:color="auto" w:fill="CFF0FC"/>
          </w:tcPr>
          <w:p>
            <w:pPr>
              <w:jc w:val="right"/>
              <w:ind w:right="50"/>
              <w:spacing w:after="0"/>
              <w:rPr>
                <w:sz w:val="20"/>
                <w:szCs w:val="20"/>
                <w:color w:val="auto"/>
              </w:rPr>
            </w:pPr>
            <w:r>
              <w:rPr>
                <w:rFonts w:ascii="Arial" w:cs="Arial" w:eastAsia="Arial" w:hAnsi="Arial"/>
                <w:sz w:val="18"/>
                <w:szCs w:val="18"/>
                <w:color w:val="auto"/>
              </w:rPr>
              <w:t>%</w:t>
            </w:r>
          </w:p>
        </w:tc>
        <w:tc>
          <w:tcPr>
            <w:tcW w:w="180" w:type="dxa"/>
            <w:vAlign w:val="bottom"/>
            <w:tcBorders>
              <w:top w:val="single" w:sz="8" w:color="auto"/>
            </w:tcBorders>
            <w:gridSpan w:val="2"/>
            <w:shd w:val="clear" w:color="auto" w:fill="CFF0FC"/>
          </w:tcPr>
          <w:p>
            <w:pPr>
              <w:spacing w:after="0"/>
              <w:rPr>
                <w:sz w:val="20"/>
                <w:szCs w:val="20"/>
                <w:color w:val="auto"/>
              </w:rPr>
            </w:pPr>
            <w:r>
              <w:rPr>
                <w:rFonts w:ascii="Arial" w:cs="Arial" w:eastAsia="Arial" w:hAnsi="Arial"/>
                <w:sz w:val="18"/>
                <w:szCs w:val="18"/>
                <w:color w:val="auto"/>
              </w:rPr>
              <w:t>$</w:t>
            </w:r>
          </w:p>
        </w:tc>
        <w:tc>
          <w:tcPr>
            <w:tcW w:w="7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45,971</w:t>
            </w:r>
          </w:p>
        </w:tc>
        <w:tc>
          <w:tcPr>
            <w:tcW w:w="6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CFF0FC"/>
            </w:tcBorders>
            <w:shd w:val="clear" w:color="auto" w:fill="CFF0FC"/>
          </w:tcPr>
          <w:p>
            <w:pPr>
              <w:spacing w:after="0"/>
              <w:rPr>
                <w:sz w:val="19"/>
                <w:szCs w:val="19"/>
                <w:color w:val="auto"/>
              </w:rPr>
            </w:pPr>
          </w:p>
        </w:tc>
        <w:tc>
          <w:tcPr>
            <w:tcW w:w="760" w:type="dxa"/>
            <w:vAlign w:val="bottom"/>
            <w:tcBorders>
              <w:top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color w:val="auto"/>
              </w:rPr>
              <w:t>92.4</w:t>
            </w:r>
          </w:p>
        </w:tc>
        <w:tc>
          <w:tcPr>
            <w:tcW w:w="20" w:type="dxa"/>
            <w:vAlign w:val="bottom"/>
            <w:tcBorders>
              <w:top w:val="single" w:sz="8" w:color="CFF0FC"/>
            </w:tcBorders>
            <w:shd w:val="clear" w:color="auto" w:fill="CFF0FC"/>
          </w:tcPr>
          <w:p>
            <w:pPr>
              <w:spacing w:after="0"/>
              <w:rPr>
                <w:sz w:val="19"/>
                <w:szCs w:val="19"/>
                <w:color w:val="auto"/>
              </w:rPr>
            </w:pPr>
          </w:p>
        </w:tc>
        <w:tc>
          <w:tcPr>
            <w:tcW w:w="380" w:type="dxa"/>
            <w:vAlign w:val="bottom"/>
            <w:tcBorders>
              <w:top w:val="single" w:sz="8" w:color="CFF0FC"/>
            </w:tcBorders>
            <w:shd w:val="clear" w:color="auto" w:fill="CFF0FC"/>
          </w:tcPr>
          <w:p>
            <w:pPr>
              <w:jc w:val="center"/>
              <w:spacing w:after="0"/>
              <w:rPr>
                <w:sz w:val="20"/>
                <w:szCs w:val="20"/>
                <w:color w:val="auto"/>
              </w:rPr>
            </w:pPr>
            <w:r>
              <w:rPr>
                <w:rFonts w:ascii="Arial" w:cs="Arial" w:eastAsia="Arial" w:hAnsi="Arial"/>
                <w:sz w:val="18"/>
                <w:szCs w:val="18"/>
                <w:color w:val="auto"/>
                <w:w w:val="99"/>
              </w:rPr>
              <w:t>%</w:t>
            </w:r>
          </w:p>
        </w:tc>
        <w:tc>
          <w:tcPr>
            <w:tcW w:w="160" w:type="dxa"/>
            <w:vAlign w:val="bottom"/>
            <w:tcBorders>
              <w:top w:val="single" w:sz="8" w:color="auto"/>
            </w:tcBorders>
            <w:gridSpan w:val="2"/>
            <w:shd w:val="clear" w:color="auto" w:fill="CFF0FC"/>
          </w:tcPr>
          <w:p>
            <w:pPr>
              <w:spacing w:after="0"/>
              <w:rPr>
                <w:sz w:val="20"/>
                <w:szCs w:val="20"/>
                <w:color w:val="auto"/>
              </w:rPr>
            </w:pPr>
            <w:r>
              <w:rPr>
                <w:rFonts w:ascii="Arial" w:cs="Arial" w:eastAsia="Arial" w:hAnsi="Arial"/>
                <w:sz w:val="18"/>
                <w:szCs w:val="18"/>
                <w:color w:val="auto"/>
              </w:rPr>
              <w:t>$</w:t>
            </w:r>
          </w:p>
        </w:tc>
        <w:tc>
          <w:tcPr>
            <w:tcW w:w="7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15,199</w:t>
            </w:r>
          </w:p>
        </w:tc>
        <w:tc>
          <w:tcPr>
            <w:tcW w:w="4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760" w:type="dxa"/>
            <w:vAlign w:val="bottom"/>
            <w:tcBorders>
              <w:top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color w:val="auto"/>
              </w:rPr>
              <w:t>92.9</w:t>
            </w:r>
          </w:p>
        </w:tc>
        <w:tc>
          <w:tcPr>
            <w:tcW w:w="280" w:type="dxa"/>
            <w:vAlign w:val="bottom"/>
            <w:tcBorders>
              <w:top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220" w:type="dxa"/>
            <w:vAlign w:val="bottom"/>
          </w:tcPr>
          <w:p>
            <w:pPr>
              <w:spacing w:after="0"/>
              <w:rPr>
                <w:sz w:val="20"/>
                <w:szCs w:val="20"/>
                <w:color w:val="auto"/>
              </w:rPr>
            </w:pPr>
            <w:r>
              <w:rPr>
                <w:rFonts w:ascii="Arial" w:cs="Arial" w:eastAsia="Arial" w:hAnsi="Arial"/>
                <w:sz w:val="18"/>
                <w:szCs w:val="18"/>
                <w:color w:val="auto"/>
                <w:w w:val="96"/>
              </w:rPr>
              <w:t>Managed care organizations</w:t>
            </w: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1,198</w:t>
            </w: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4.9</w:t>
            </w: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474</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5.6</w:t>
            </w:r>
          </w:p>
        </w:tc>
        <w:tc>
          <w:tcPr>
            <w:tcW w:w="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2,578</w:t>
            </w: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5.2</w:t>
            </w:r>
          </w:p>
        </w:tc>
        <w:tc>
          <w:tcPr>
            <w:tcW w:w="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835</w:t>
            </w: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5.1</w:t>
            </w:r>
          </w:p>
        </w:tc>
        <w:tc>
          <w:tcPr>
            <w:tcW w:w="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220" w:type="dxa"/>
            <w:vAlign w:val="bottom"/>
            <w:shd w:val="clear" w:color="auto" w:fill="CFF0FC"/>
          </w:tcPr>
          <w:p>
            <w:pPr>
              <w:spacing w:after="0"/>
              <w:rPr>
                <w:sz w:val="20"/>
                <w:szCs w:val="20"/>
                <w:color w:val="auto"/>
              </w:rPr>
            </w:pPr>
            <w:r>
              <w:rPr>
                <w:rFonts w:ascii="Arial" w:cs="Arial" w:eastAsia="Arial" w:hAnsi="Arial"/>
                <w:sz w:val="18"/>
                <w:szCs w:val="18"/>
                <w:color w:val="auto"/>
              </w:rPr>
              <w:t>Other</w:t>
            </w:r>
          </w:p>
        </w:tc>
        <w:tc>
          <w:tcPr>
            <w:tcW w:w="60" w:type="dxa"/>
            <w:vAlign w:val="bottom"/>
            <w:tcBorders>
              <w:bottom w:val="single" w:sz="8" w:color="auto"/>
            </w:tcBorders>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7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574</w:t>
            </w:r>
          </w:p>
        </w:tc>
        <w:tc>
          <w:tcPr>
            <w:tcW w:w="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20" w:type="dxa"/>
            <w:vAlign w:val="bottom"/>
            <w:tcBorders>
              <w:bottom w:val="single" w:sz="8" w:color="auto"/>
            </w:tcBorders>
            <w:shd w:val="clear" w:color="auto" w:fill="CFF0FC"/>
          </w:tcPr>
          <w:p>
            <w:pPr>
              <w:spacing w:after="0"/>
              <w:rPr>
                <w:sz w:val="19"/>
                <w:szCs w:val="19"/>
                <w:color w:val="auto"/>
              </w:rPr>
            </w:pPr>
          </w:p>
        </w:tc>
        <w:tc>
          <w:tcPr>
            <w:tcW w:w="720" w:type="dxa"/>
            <w:vAlign w:val="bottom"/>
            <w:tcBorders>
              <w:bottom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color w:val="auto"/>
              </w:rPr>
              <w:t>2.3</w:t>
            </w:r>
          </w:p>
        </w:tc>
        <w:tc>
          <w:tcPr>
            <w:tcW w:w="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80" w:type="dxa"/>
            <w:vAlign w:val="bottom"/>
            <w:tcBorders>
              <w:bottom w:val="single" w:sz="8" w:color="auto"/>
            </w:tcBorders>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7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155</w:t>
            </w: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740" w:type="dxa"/>
            <w:vAlign w:val="bottom"/>
            <w:tcBorders>
              <w:bottom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color w:val="auto"/>
              </w:rPr>
              <w:t>1.8</w:t>
            </w:r>
          </w:p>
        </w:tc>
        <w:tc>
          <w:tcPr>
            <w:tcW w:w="6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60" w:type="dxa"/>
            <w:vAlign w:val="bottom"/>
            <w:tcBorders>
              <w:bottom w:val="single" w:sz="8" w:color="auto"/>
            </w:tcBorders>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7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1,188</w:t>
            </w:r>
          </w:p>
        </w:tc>
        <w:tc>
          <w:tcPr>
            <w:tcW w:w="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760" w:type="dxa"/>
            <w:vAlign w:val="bottom"/>
            <w:tcBorders>
              <w:bottom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color w:val="auto"/>
              </w:rPr>
              <w:t>2.4</w:t>
            </w:r>
          </w:p>
        </w:tc>
        <w:tc>
          <w:tcPr>
            <w:tcW w:w="2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20" w:type="dxa"/>
            <w:vAlign w:val="bottom"/>
            <w:tcBorders>
              <w:bottom w:val="single" w:sz="8" w:color="auto"/>
            </w:tcBorders>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7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320</w:t>
            </w:r>
          </w:p>
        </w:tc>
        <w:tc>
          <w:tcPr>
            <w:tcW w:w="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760" w:type="dxa"/>
            <w:vAlign w:val="bottom"/>
            <w:tcBorders>
              <w:bottom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color w:val="auto"/>
              </w:rPr>
              <w:t>2.0</w:t>
            </w:r>
          </w:p>
        </w:tc>
        <w:tc>
          <w:tcPr>
            <w:tcW w:w="2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2220" w:type="dxa"/>
            <w:vAlign w:val="bottom"/>
          </w:tcPr>
          <w:p>
            <w:pPr>
              <w:spacing w:after="0"/>
              <w:rPr>
                <w:sz w:val="20"/>
                <w:szCs w:val="20"/>
                <w:color w:val="auto"/>
              </w:rPr>
            </w:pPr>
            <w:r>
              <w:rPr>
                <w:rFonts w:ascii="Arial" w:cs="Arial" w:eastAsia="Arial" w:hAnsi="Arial"/>
                <w:sz w:val="18"/>
                <w:szCs w:val="18"/>
                <w:color w:val="auto"/>
              </w:rPr>
              <w:t>Total hospice segment net</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0"/>
        </w:trPr>
        <w:tc>
          <w:tcPr>
            <w:tcW w:w="2220" w:type="dxa"/>
            <w:vAlign w:val="bottom"/>
            <w:tcBorders>
              <w:bottom w:val="single" w:sz="8" w:color="CFF0FC"/>
            </w:tcBorders>
          </w:tcPr>
          <w:p>
            <w:pPr>
              <w:ind w:left="140"/>
              <w:spacing w:after="0"/>
              <w:rPr>
                <w:sz w:val="20"/>
                <w:szCs w:val="20"/>
                <w:color w:val="auto"/>
              </w:rPr>
            </w:pPr>
            <w:r>
              <w:rPr>
                <w:rFonts w:ascii="Arial" w:cs="Arial" w:eastAsia="Arial" w:hAnsi="Arial"/>
                <w:sz w:val="18"/>
                <w:szCs w:val="18"/>
                <w:color w:val="auto"/>
              </w:rPr>
              <w:t>service revenues</w:t>
            </w:r>
          </w:p>
        </w:tc>
        <w:tc>
          <w:tcPr>
            <w:tcW w:w="18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24,525</w:t>
            </w:r>
          </w:p>
        </w:tc>
        <w:tc>
          <w:tcPr>
            <w:tcW w:w="40" w:type="dxa"/>
            <w:vAlign w:val="bottom"/>
            <w:tcBorders>
              <w:bottom w:val="single" w:sz="8" w:color="CFF0FC"/>
            </w:tcBorders>
          </w:tcPr>
          <w:p>
            <w:pPr>
              <w:spacing w:after="0"/>
              <w:rPr>
                <w:sz w:val="23"/>
                <w:szCs w:val="23"/>
                <w:color w:val="auto"/>
              </w:rPr>
            </w:pPr>
          </w:p>
        </w:tc>
        <w:tc>
          <w:tcPr>
            <w:tcW w:w="140" w:type="dxa"/>
            <w:vAlign w:val="bottom"/>
            <w:tcBorders>
              <w:bottom w:val="single" w:sz="8" w:color="CFF0FC"/>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72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100.0</w:t>
            </w:r>
          </w:p>
        </w:tc>
        <w:tc>
          <w:tcPr>
            <w:tcW w:w="80" w:type="dxa"/>
            <w:vAlign w:val="bottom"/>
            <w:tcBorders>
              <w:bottom w:val="single" w:sz="8" w:color="CFF0FC"/>
            </w:tcBorders>
          </w:tcPr>
          <w:p>
            <w:pPr>
              <w:spacing w:after="0"/>
              <w:rPr>
                <w:sz w:val="23"/>
                <w:szCs w:val="23"/>
                <w:color w:val="auto"/>
              </w:rPr>
            </w:pPr>
          </w:p>
        </w:tc>
        <w:tc>
          <w:tcPr>
            <w:tcW w:w="300" w:type="dxa"/>
            <w:vAlign w:val="bottom"/>
            <w:tcBorders>
              <w:bottom w:val="single" w:sz="8" w:color="CFF0FC"/>
            </w:tcBorders>
          </w:tcPr>
          <w:p>
            <w:pPr>
              <w:jc w:val="right"/>
              <w:ind w:right="50"/>
              <w:spacing w:after="0"/>
              <w:rPr>
                <w:sz w:val="20"/>
                <w:szCs w:val="20"/>
                <w:color w:val="auto"/>
              </w:rPr>
            </w:pPr>
            <w:r>
              <w:rPr>
                <w:rFonts w:ascii="Arial" w:cs="Arial" w:eastAsia="Arial" w:hAnsi="Arial"/>
                <w:sz w:val="18"/>
                <w:szCs w:val="18"/>
                <w:color w:val="auto"/>
                <w:w w:val="87"/>
              </w:rPr>
              <w:t>%</w:t>
            </w:r>
          </w:p>
        </w:tc>
        <w:tc>
          <w:tcPr>
            <w:tcW w:w="20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8,437</w:t>
            </w:r>
          </w:p>
        </w:tc>
        <w:tc>
          <w:tcPr>
            <w:tcW w:w="80" w:type="dxa"/>
            <w:vAlign w:val="bottom"/>
            <w:tcBorders>
              <w:bottom w:val="single" w:sz="8" w:color="CFF0FC"/>
            </w:tcBorders>
          </w:tcPr>
          <w:p>
            <w:pPr>
              <w:spacing w:after="0"/>
              <w:rPr>
                <w:sz w:val="23"/>
                <w:szCs w:val="23"/>
                <w:color w:val="auto"/>
              </w:rPr>
            </w:pPr>
          </w:p>
        </w:tc>
        <w:tc>
          <w:tcPr>
            <w:tcW w:w="100" w:type="dxa"/>
            <w:vAlign w:val="bottom"/>
            <w:tcBorders>
              <w:bottom w:val="single" w:sz="8" w:color="CFF0FC"/>
            </w:tcBorders>
          </w:tcPr>
          <w:p>
            <w:pPr>
              <w:spacing w:after="0"/>
              <w:rPr>
                <w:sz w:val="23"/>
                <w:szCs w:val="23"/>
                <w:color w:val="auto"/>
              </w:rPr>
            </w:pPr>
          </w:p>
        </w:tc>
        <w:tc>
          <w:tcPr>
            <w:tcW w:w="40" w:type="dxa"/>
            <w:vAlign w:val="bottom"/>
            <w:tcBorders>
              <w:bottom w:val="single" w:sz="8" w:color="CFF0FC"/>
            </w:tcBorders>
          </w:tcPr>
          <w:p>
            <w:pPr>
              <w:spacing w:after="0"/>
              <w:rPr>
                <w:sz w:val="23"/>
                <w:szCs w:val="23"/>
                <w:color w:val="auto"/>
              </w:rPr>
            </w:pPr>
          </w:p>
        </w:tc>
        <w:tc>
          <w:tcPr>
            <w:tcW w:w="74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100.0</w:t>
            </w:r>
          </w:p>
        </w:tc>
        <w:tc>
          <w:tcPr>
            <w:tcW w:w="60" w:type="dxa"/>
            <w:vAlign w:val="bottom"/>
            <w:tcBorders>
              <w:bottom w:val="single" w:sz="8" w:color="CFF0FC"/>
            </w:tcBorders>
          </w:tcPr>
          <w:p>
            <w:pPr>
              <w:spacing w:after="0"/>
              <w:rPr>
                <w:sz w:val="23"/>
                <w:szCs w:val="23"/>
                <w:color w:val="auto"/>
              </w:rPr>
            </w:pPr>
          </w:p>
        </w:tc>
        <w:tc>
          <w:tcPr>
            <w:tcW w:w="340" w:type="dxa"/>
            <w:vAlign w:val="bottom"/>
            <w:tcBorders>
              <w:bottom w:val="single" w:sz="8" w:color="CFF0FC"/>
            </w:tcBorders>
          </w:tcPr>
          <w:p>
            <w:pPr>
              <w:jc w:val="right"/>
              <w:ind w:right="5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49,737</w:t>
            </w:r>
          </w:p>
        </w:tc>
        <w:tc>
          <w:tcPr>
            <w:tcW w:w="60" w:type="dxa"/>
            <w:vAlign w:val="bottom"/>
            <w:tcBorders>
              <w:bottom w:val="single" w:sz="8" w:color="CFF0FC"/>
            </w:tcBorders>
          </w:tcPr>
          <w:p>
            <w:pPr>
              <w:spacing w:after="0"/>
              <w:rPr>
                <w:sz w:val="23"/>
                <w:szCs w:val="23"/>
                <w:color w:val="auto"/>
              </w:rPr>
            </w:pPr>
          </w:p>
        </w:tc>
        <w:tc>
          <w:tcPr>
            <w:tcW w:w="160" w:type="dxa"/>
            <w:vAlign w:val="bottom"/>
            <w:tcBorders>
              <w:bottom w:val="single" w:sz="8" w:color="CFF0FC"/>
            </w:tcBorders>
          </w:tcPr>
          <w:p>
            <w:pPr>
              <w:spacing w:after="0"/>
              <w:rPr>
                <w:sz w:val="23"/>
                <w:szCs w:val="23"/>
                <w:color w:val="auto"/>
              </w:rPr>
            </w:pPr>
          </w:p>
        </w:tc>
        <w:tc>
          <w:tcPr>
            <w:tcW w:w="76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100.0</w:t>
            </w:r>
          </w:p>
        </w:tc>
        <w:tc>
          <w:tcPr>
            <w:tcW w:w="20" w:type="dxa"/>
            <w:vAlign w:val="bottom"/>
            <w:tcBorders>
              <w:bottom w:val="single" w:sz="8" w:color="CFF0FC"/>
            </w:tcBorders>
          </w:tcPr>
          <w:p>
            <w:pPr>
              <w:spacing w:after="0"/>
              <w:rPr>
                <w:sz w:val="23"/>
                <w:szCs w:val="23"/>
                <w:color w:val="auto"/>
              </w:rPr>
            </w:pPr>
          </w:p>
        </w:tc>
        <w:tc>
          <w:tcPr>
            <w:tcW w:w="380" w:type="dxa"/>
            <w:vAlign w:val="bottom"/>
            <w:tcBorders>
              <w:bottom w:val="single" w:sz="8" w:color="CFF0FC"/>
            </w:tcBorders>
          </w:tcPr>
          <w:p>
            <w:pPr>
              <w:jc w:val="center"/>
              <w:spacing w:after="0"/>
              <w:rPr>
                <w:sz w:val="20"/>
                <w:szCs w:val="20"/>
                <w:color w:val="auto"/>
              </w:rPr>
            </w:pPr>
            <w:r>
              <w:rPr>
                <w:rFonts w:ascii="Arial" w:cs="Arial" w:eastAsia="Arial" w:hAnsi="Arial"/>
                <w:sz w:val="18"/>
                <w:szCs w:val="18"/>
                <w:color w:val="auto"/>
                <w:w w:val="99"/>
              </w:rPr>
              <w:t>%</w:t>
            </w:r>
          </w:p>
        </w:tc>
        <w:tc>
          <w:tcPr>
            <w:tcW w:w="16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16,354</w:t>
            </w:r>
          </w:p>
        </w:tc>
        <w:tc>
          <w:tcPr>
            <w:tcW w:w="40" w:type="dxa"/>
            <w:vAlign w:val="bottom"/>
            <w:tcBorders>
              <w:bottom w:val="single" w:sz="8" w:color="CFF0FC"/>
            </w:tcBorders>
          </w:tcPr>
          <w:p>
            <w:pPr>
              <w:spacing w:after="0"/>
              <w:rPr>
                <w:sz w:val="23"/>
                <w:szCs w:val="23"/>
                <w:color w:val="auto"/>
              </w:rPr>
            </w:pPr>
          </w:p>
        </w:tc>
        <w:tc>
          <w:tcPr>
            <w:tcW w:w="100" w:type="dxa"/>
            <w:vAlign w:val="bottom"/>
            <w:tcBorders>
              <w:bottom w:val="single" w:sz="8" w:color="CFF0FC"/>
            </w:tcBorders>
          </w:tcPr>
          <w:p>
            <w:pPr>
              <w:spacing w:after="0"/>
              <w:rPr>
                <w:sz w:val="23"/>
                <w:szCs w:val="23"/>
                <w:color w:val="auto"/>
              </w:rPr>
            </w:pPr>
          </w:p>
        </w:tc>
        <w:tc>
          <w:tcPr>
            <w:tcW w:w="80" w:type="dxa"/>
            <w:vAlign w:val="bottom"/>
            <w:tcBorders>
              <w:bottom w:val="single" w:sz="8" w:color="CFF0FC"/>
            </w:tcBorders>
          </w:tcPr>
          <w:p>
            <w:pPr>
              <w:spacing w:after="0"/>
              <w:rPr>
                <w:sz w:val="23"/>
                <w:szCs w:val="23"/>
                <w:color w:val="auto"/>
              </w:rPr>
            </w:pPr>
          </w:p>
        </w:tc>
        <w:tc>
          <w:tcPr>
            <w:tcW w:w="76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100.0</w:t>
            </w:r>
          </w:p>
        </w:tc>
        <w:tc>
          <w:tcPr>
            <w:tcW w:w="280" w:type="dxa"/>
            <w:vAlign w:val="bottom"/>
            <w:tcBorders>
              <w:bottom w:val="single" w:sz="8" w:color="CFF0FC"/>
            </w:tcBorders>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2220" w:type="dxa"/>
            <w:vAlign w:val="bottom"/>
            <w:shd w:val="clear" w:color="auto" w:fill="CFF0FC"/>
          </w:tcPr>
          <w:p>
            <w:pPr>
              <w:spacing w:after="0"/>
              <w:rPr>
                <w:sz w:val="20"/>
                <w:szCs w:val="20"/>
                <w:color w:val="auto"/>
              </w:rPr>
            </w:pPr>
            <w:r>
              <w:rPr>
                <w:rFonts w:ascii="Arial" w:cs="Arial" w:eastAsia="Arial" w:hAnsi="Arial"/>
                <w:sz w:val="18"/>
                <w:szCs w:val="18"/>
                <w:color w:val="auto"/>
              </w:rPr>
              <w:t>New Mexico</w:t>
            </w:r>
          </w:p>
        </w:tc>
        <w:tc>
          <w:tcPr>
            <w:tcW w:w="18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w:t>
            </w: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11,443</w:t>
            </w:r>
          </w:p>
        </w:tc>
        <w:tc>
          <w:tcPr>
            <w:tcW w:w="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7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46.7</w:t>
            </w:r>
          </w:p>
        </w:tc>
        <w:tc>
          <w:tcPr>
            <w:tcW w:w="80" w:type="dxa"/>
            <w:vAlign w:val="bottom"/>
            <w:shd w:val="clear" w:color="auto" w:fill="CFF0FC"/>
          </w:tcPr>
          <w:p>
            <w:pPr>
              <w:spacing w:after="0"/>
              <w:rPr>
                <w:sz w:val="18"/>
                <w:szCs w:val="18"/>
                <w:color w:val="auto"/>
              </w:rPr>
            </w:pPr>
          </w:p>
        </w:tc>
        <w:tc>
          <w:tcPr>
            <w:tcW w:w="30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w w:val="87"/>
              </w:rPr>
              <w:t>%</w:t>
            </w:r>
          </w:p>
        </w:tc>
        <w:tc>
          <w:tcPr>
            <w:tcW w:w="20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w:t>
            </w: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8,437</w:t>
            </w:r>
          </w:p>
        </w:tc>
        <w:tc>
          <w:tcPr>
            <w:tcW w:w="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7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100.0</w:t>
            </w:r>
          </w:p>
        </w:tc>
        <w:tc>
          <w:tcPr>
            <w:tcW w:w="60" w:type="dxa"/>
            <w:vAlign w:val="bottom"/>
            <w:shd w:val="clear" w:color="auto" w:fill="CFF0FC"/>
          </w:tcPr>
          <w:p>
            <w:pPr>
              <w:spacing w:after="0"/>
              <w:rPr>
                <w:sz w:val="18"/>
                <w:szCs w:val="18"/>
                <w:color w:val="auto"/>
              </w:rPr>
            </w:pPr>
          </w:p>
        </w:tc>
        <w:tc>
          <w:tcPr>
            <w:tcW w:w="3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w:t>
            </w:r>
          </w:p>
        </w:tc>
        <w:tc>
          <w:tcPr>
            <w:tcW w:w="18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w:t>
            </w: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22,452</w:t>
            </w:r>
          </w:p>
        </w:tc>
        <w:tc>
          <w:tcPr>
            <w:tcW w:w="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7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45.1</w:t>
            </w:r>
          </w:p>
        </w:tc>
        <w:tc>
          <w:tcPr>
            <w:tcW w:w="20" w:type="dxa"/>
            <w:vAlign w:val="bottom"/>
            <w:shd w:val="clear" w:color="auto" w:fill="CFF0FC"/>
          </w:tcPr>
          <w:p>
            <w:pPr>
              <w:spacing w:after="0"/>
              <w:rPr>
                <w:sz w:val="18"/>
                <w:szCs w:val="18"/>
                <w:color w:val="auto"/>
              </w:rPr>
            </w:pPr>
          </w:p>
        </w:tc>
        <w:tc>
          <w:tcPr>
            <w:tcW w:w="38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9"/>
              </w:rPr>
              <w:t>%</w:t>
            </w:r>
          </w:p>
        </w:tc>
        <w:tc>
          <w:tcPr>
            <w:tcW w:w="16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w:t>
            </w: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16,354</w:t>
            </w:r>
          </w:p>
        </w:tc>
        <w:tc>
          <w:tcPr>
            <w:tcW w:w="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7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100.0</w:t>
            </w:r>
          </w:p>
        </w:tc>
        <w:tc>
          <w:tcPr>
            <w:tcW w:w="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220" w:type="dxa"/>
            <w:vAlign w:val="bottom"/>
          </w:tcPr>
          <w:p>
            <w:pPr>
              <w:spacing w:after="0"/>
              <w:rPr>
                <w:sz w:val="20"/>
                <w:szCs w:val="20"/>
                <w:color w:val="auto"/>
              </w:rPr>
            </w:pPr>
            <w:r>
              <w:rPr>
                <w:rFonts w:ascii="Arial" w:cs="Arial" w:eastAsia="Arial" w:hAnsi="Arial"/>
                <w:sz w:val="18"/>
                <w:szCs w:val="18"/>
                <w:color w:val="auto"/>
              </w:rPr>
              <w:t>All other states</w:t>
            </w: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13,082</w:t>
            </w: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53.3</w:t>
            </w: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60" w:type="dxa"/>
            <w:vAlign w:val="bottom"/>
            <w:gridSpan w:val="4"/>
          </w:tcPr>
          <w:p>
            <w:pPr>
              <w:jc w:val="right"/>
              <w:ind w:right="2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72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27,285</w:t>
            </w: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54.9</w:t>
            </w:r>
          </w:p>
        </w:tc>
        <w:tc>
          <w:tcPr>
            <w:tcW w:w="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gridSpan w:val="4"/>
          </w:tcPr>
          <w:p>
            <w:pPr>
              <w:jc w:val="right"/>
              <w:ind w:right="2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22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 hospice segment net</w:t>
            </w:r>
          </w:p>
        </w:tc>
        <w:tc>
          <w:tcPr>
            <w:tcW w:w="60" w:type="dxa"/>
            <w:vAlign w:val="bottom"/>
            <w:tcBorders>
              <w:top w:val="single" w:sz="8" w:color="auto"/>
            </w:tcBorders>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spacing w:after="0"/>
              <w:rPr>
                <w:sz w:val="18"/>
                <w:szCs w:val="18"/>
                <w:color w:val="auto"/>
              </w:rPr>
            </w:pPr>
          </w:p>
        </w:tc>
        <w:tc>
          <w:tcPr>
            <w:tcW w:w="760" w:type="dxa"/>
            <w:vAlign w:val="bottom"/>
            <w:tcBorders>
              <w:top w:val="single" w:sz="8" w:color="auto"/>
            </w:tcBorders>
            <w:shd w:val="clear" w:color="auto" w:fill="CFF0FC"/>
          </w:tcPr>
          <w:p>
            <w:pPr>
              <w:spacing w:after="0"/>
              <w:rPr>
                <w:sz w:val="18"/>
                <w:szCs w:val="18"/>
                <w:color w:val="auto"/>
              </w:rPr>
            </w:pPr>
          </w:p>
        </w:tc>
        <w:tc>
          <w:tcPr>
            <w:tcW w:w="40" w:type="dxa"/>
            <w:vAlign w:val="bottom"/>
            <w:tcBorders>
              <w:top w:val="single" w:sz="8" w:color="CFF0FC"/>
            </w:tcBorders>
            <w:shd w:val="clear" w:color="auto" w:fill="CFF0FC"/>
          </w:tcPr>
          <w:p>
            <w:pPr>
              <w:spacing w:after="0"/>
              <w:rPr>
                <w:sz w:val="18"/>
                <w:szCs w:val="18"/>
                <w:color w:val="auto"/>
              </w:rPr>
            </w:pPr>
          </w:p>
        </w:tc>
        <w:tc>
          <w:tcPr>
            <w:tcW w:w="140" w:type="dxa"/>
            <w:vAlign w:val="bottom"/>
            <w:tcBorders>
              <w:top w:val="single" w:sz="8" w:color="CFF0FC"/>
            </w:tcBorders>
            <w:shd w:val="clear" w:color="auto" w:fill="CFF0FC"/>
          </w:tcPr>
          <w:p>
            <w:pPr>
              <w:spacing w:after="0"/>
              <w:rPr>
                <w:sz w:val="18"/>
                <w:szCs w:val="18"/>
                <w:color w:val="auto"/>
              </w:rPr>
            </w:pPr>
          </w:p>
        </w:tc>
        <w:tc>
          <w:tcPr>
            <w:tcW w:w="20" w:type="dxa"/>
            <w:vAlign w:val="bottom"/>
            <w:tcBorders>
              <w:top w:val="single" w:sz="8" w:color="auto"/>
            </w:tcBorders>
            <w:shd w:val="clear" w:color="auto" w:fill="CFF0FC"/>
          </w:tcPr>
          <w:p>
            <w:pPr>
              <w:spacing w:after="0"/>
              <w:rPr>
                <w:sz w:val="18"/>
                <w:szCs w:val="18"/>
                <w:color w:val="auto"/>
              </w:rPr>
            </w:pPr>
          </w:p>
        </w:tc>
        <w:tc>
          <w:tcPr>
            <w:tcW w:w="60" w:type="dxa"/>
            <w:vAlign w:val="bottom"/>
            <w:tcBorders>
              <w:top w:val="single" w:sz="8" w:color="auto"/>
            </w:tcBorders>
            <w:shd w:val="clear" w:color="auto" w:fill="CFF0FC"/>
          </w:tcPr>
          <w:p>
            <w:pPr>
              <w:spacing w:after="0"/>
              <w:rPr>
                <w:sz w:val="18"/>
                <w:szCs w:val="18"/>
                <w:color w:val="auto"/>
              </w:rPr>
            </w:pPr>
          </w:p>
        </w:tc>
        <w:tc>
          <w:tcPr>
            <w:tcW w:w="660" w:type="dxa"/>
            <w:vAlign w:val="bottom"/>
            <w:tcBorders>
              <w:top w:val="single" w:sz="8" w:color="auto"/>
            </w:tcBorders>
            <w:shd w:val="clear" w:color="auto" w:fill="CFF0FC"/>
          </w:tcPr>
          <w:p>
            <w:pPr>
              <w:spacing w:after="0"/>
              <w:rPr>
                <w:sz w:val="18"/>
                <w:szCs w:val="18"/>
                <w:color w:val="auto"/>
              </w:rPr>
            </w:pPr>
          </w:p>
        </w:tc>
        <w:tc>
          <w:tcPr>
            <w:tcW w:w="80" w:type="dxa"/>
            <w:vAlign w:val="bottom"/>
            <w:tcBorders>
              <w:top w:val="single" w:sz="8" w:color="CFF0FC"/>
            </w:tcBorders>
            <w:shd w:val="clear" w:color="auto" w:fill="CFF0FC"/>
          </w:tcPr>
          <w:p>
            <w:pPr>
              <w:spacing w:after="0"/>
              <w:rPr>
                <w:sz w:val="18"/>
                <w:szCs w:val="18"/>
                <w:color w:val="auto"/>
              </w:rPr>
            </w:pPr>
          </w:p>
        </w:tc>
        <w:tc>
          <w:tcPr>
            <w:tcW w:w="300" w:type="dxa"/>
            <w:vAlign w:val="bottom"/>
            <w:tcBorders>
              <w:top w:val="single" w:sz="8" w:color="CFF0FC"/>
            </w:tcBorders>
            <w:shd w:val="clear" w:color="auto" w:fill="CFF0FC"/>
          </w:tcPr>
          <w:p>
            <w:pPr>
              <w:spacing w:after="0"/>
              <w:rPr>
                <w:sz w:val="18"/>
                <w:szCs w:val="18"/>
                <w:color w:val="auto"/>
              </w:rPr>
            </w:pPr>
          </w:p>
        </w:tc>
        <w:tc>
          <w:tcPr>
            <w:tcW w:w="80" w:type="dxa"/>
            <w:vAlign w:val="bottom"/>
            <w:tcBorders>
              <w:top w:val="single" w:sz="8" w:color="auto"/>
            </w:tcBorders>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spacing w:after="0"/>
              <w:rPr>
                <w:sz w:val="18"/>
                <w:szCs w:val="18"/>
                <w:color w:val="auto"/>
              </w:rPr>
            </w:pPr>
          </w:p>
        </w:tc>
        <w:tc>
          <w:tcPr>
            <w:tcW w:w="740" w:type="dxa"/>
            <w:vAlign w:val="bottom"/>
            <w:tcBorders>
              <w:top w:val="single" w:sz="8" w:color="auto"/>
            </w:tcBorders>
            <w:shd w:val="clear" w:color="auto" w:fill="CFF0FC"/>
          </w:tcPr>
          <w:p>
            <w:pPr>
              <w:spacing w:after="0"/>
              <w:rPr>
                <w:sz w:val="18"/>
                <w:szCs w:val="18"/>
                <w:color w:val="auto"/>
              </w:rPr>
            </w:pPr>
          </w:p>
        </w:tc>
        <w:tc>
          <w:tcPr>
            <w:tcW w:w="80" w:type="dxa"/>
            <w:vAlign w:val="bottom"/>
            <w:tcBorders>
              <w:top w:val="single" w:sz="8" w:color="CFF0FC"/>
            </w:tcBorders>
            <w:shd w:val="clear" w:color="auto" w:fill="CFF0FC"/>
          </w:tcPr>
          <w:p>
            <w:pPr>
              <w:spacing w:after="0"/>
              <w:rPr>
                <w:sz w:val="18"/>
                <w:szCs w:val="18"/>
                <w:color w:val="auto"/>
              </w:rPr>
            </w:pPr>
          </w:p>
        </w:tc>
        <w:tc>
          <w:tcPr>
            <w:tcW w:w="100" w:type="dxa"/>
            <w:vAlign w:val="bottom"/>
            <w:tcBorders>
              <w:top w:val="single" w:sz="8" w:color="CFF0FC"/>
            </w:tcBorders>
            <w:shd w:val="clear" w:color="auto" w:fill="CFF0FC"/>
          </w:tcPr>
          <w:p>
            <w:pPr>
              <w:spacing w:after="0"/>
              <w:rPr>
                <w:sz w:val="18"/>
                <w:szCs w:val="18"/>
                <w:color w:val="auto"/>
              </w:rPr>
            </w:pPr>
          </w:p>
        </w:tc>
        <w:tc>
          <w:tcPr>
            <w:tcW w:w="40" w:type="dxa"/>
            <w:vAlign w:val="bottom"/>
            <w:tcBorders>
              <w:top w:val="single" w:sz="8" w:color="CFF0FC"/>
            </w:tcBorders>
            <w:shd w:val="clear" w:color="auto" w:fill="CFF0FC"/>
          </w:tcPr>
          <w:p>
            <w:pPr>
              <w:spacing w:after="0"/>
              <w:rPr>
                <w:sz w:val="18"/>
                <w:szCs w:val="18"/>
                <w:color w:val="auto"/>
              </w:rPr>
            </w:pPr>
          </w:p>
        </w:tc>
        <w:tc>
          <w:tcPr>
            <w:tcW w:w="80" w:type="dxa"/>
            <w:vAlign w:val="bottom"/>
            <w:tcBorders>
              <w:top w:val="single" w:sz="8" w:color="auto"/>
            </w:tcBorders>
            <w:shd w:val="clear" w:color="auto" w:fill="CFF0FC"/>
          </w:tcPr>
          <w:p>
            <w:pPr>
              <w:spacing w:after="0"/>
              <w:rPr>
                <w:sz w:val="18"/>
                <w:szCs w:val="18"/>
                <w:color w:val="auto"/>
              </w:rPr>
            </w:pPr>
          </w:p>
        </w:tc>
        <w:tc>
          <w:tcPr>
            <w:tcW w:w="660" w:type="dxa"/>
            <w:vAlign w:val="bottom"/>
            <w:tcBorders>
              <w:top w:val="single" w:sz="8" w:color="auto"/>
            </w:tcBorders>
            <w:shd w:val="clear" w:color="auto" w:fill="CFF0FC"/>
          </w:tcPr>
          <w:p>
            <w:pPr>
              <w:spacing w:after="0"/>
              <w:rPr>
                <w:sz w:val="18"/>
                <w:szCs w:val="18"/>
                <w:color w:val="auto"/>
              </w:rPr>
            </w:pPr>
          </w:p>
        </w:tc>
        <w:tc>
          <w:tcPr>
            <w:tcW w:w="60" w:type="dxa"/>
            <w:vAlign w:val="bottom"/>
            <w:tcBorders>
              <w:top w:val="single" w:sz="8" w:color="CFF0FC"/>
            </w:tcBorders>
            <w:shd w:val="clear" w:color="auto" w:fill="CFF0FC"/>
          </w:tcPr>
          <w:p>
            <w:pPr>
              <w:spacing w:after="0"/>
              <w:rPr>
                <w:sz w:val="18"/>
                <w:szCs w:val="18"/>
                <w:color w:val="auto"/>
              </w:rPr>
            </w:pPr>
          </w:p>
        </w:tc>
        <w:tc>
          <w:tcPr>
            <w:tcW w:w="340" w:type="dxa"/>
            <w:vAlign w:val="bottom"/>
            <w:tcBorders>
              <w:top w:val="single" w:sz="8" w:color="CFF0FC"/>
            </w:tcBorders>
            <w:shd w:val="clear" w:color="auto" w:fill="CFF0FC"/>
          </w:tcPr>
          <w:p>
            <w:pPr>
              <w:spacing w:after="0"/>
              <w:rPr>
                <w:sz w:val="18"/>
                <w:szCs w:val="18"/>
                <w:color w:val="auto"/>
              </w:rPr>
            </w:pPr>
          </w:p>
        </w:tc>
        <w:tc>
          <w:tcPr>
            <w:tcW w:w="60" w:type="dxa"/>
            <w:vAlign w:val="bottom"/>
            <w:tcBorders>
              <w:top w:val="single" w:sz="8" w:color="auto"/>
            </w:tcBorders>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spacing w:after="0"/>
              <w:rPr>
                <w:sz w:val="18"/>
                <w:szCs w:val="18"/>
                <w:color w:val="auto"/>
              </w:rPr>
            </w:pPr>
          </w:p>
        </w:tc>
        <w:tc>
          <w:tcPr>
            <w:tcW w:w="740" w:type="dxa"/>
            <w:vAlign w:val="bottom"/>
            <w:tcBorders>
              <w:top w:val="single" w:sz="8" w:color="auto"/>
            </w:tcBorders>
            <w:shd w:val="clear" w:color="auto" w:fill="CFF0FC"/>
          </w:tcPr>
          <w:p>
            <w:pPr>
              <w:spacing w:after="0"/>
              <w:rPr>
                <w:sz w:val="18"/>
                <w:szCs w:val="18"/>
                <w:color w:val="auto"/>
              </w:rPr>
            </w:pPr>
          </w:p>
        </w:tc>
        <w:tc>
          <w:tcPr>
            <w:tcW w:w="60" w:type="dxa"/>
            <w:vAlign w:val="bottom"/>
            <w:tcBorders>
              <w:top w:val="single" w:sz="8" w:color="CFF0FC"/>
            </w:tcBorders>
            <w:shd w:val="clear" w:color="auto" w:fill="CFF0FC"/>
          </w:tcPr>
          <w:p>
            <w:pPr>
              <w:spacing w:after="0"/>
              <w:rPr>
                <w:sz w:val="18"/>
                <w:szCs w:val="18"/>
                <w:color w:val="auto"/>
              </w:rPr>
            </w:pPr>
          </w:p>
        </w:tc>
        <w:tc>
          <w:tcPr>
            <w:tcW w:w="160" w:type="dxa"/>
            <w:vAlign w:val="bottom"/>
            <w:tcBorders>
              <w:top w:val="single" w:sz="8" w:color="CFF0FC"/>
            </w:tcBorders>
            <w:shd w:val="clear" w:color="auto" w:fill="CFF0FC"/>
          </w:tcPr>
          <w:p>
            <w:pPr>
              <w:spacing w:after="0"/>
              <w:rPr>
                <w:sz w:val="18"/>
                <w:szCs w:val="18"/>
                <w:color w:val="auto"/>
              </w:rPr>
            </w:pPr>
          </w:p>
        </w:tc>
        <w:tc>
          <w:tcPr>
            <w:tcW w:w="60" w:type="dxa"/>
            <w:vAlign w:val="bottom"/>
            <w:tcBorders>
              <w:top w:val="single" w:sz="8" w:color="auto"/>
            </w:tcBorders>
            <w:shd w:val="clear" w:color="auto" w:fill="CFF0FC"/>
          </w:tcPr>
          <w:p>
            <w:pPr>
              <w:spacing w:after="0"/>
              <w:rPr>
                <w:sz w:val="18"/>
                <w:szCs w:val="18"/>
                <w:color w:val="auto"/>
              </w:rPr>
            </w:pPr>
          </w:p>
        </w:tc>
        <w:tc>
          <w:tcPr>
            <w:tcW w:w="700" w:type="dxa"/>
            <w:vAlign w:val="bottom"/>
            <w:tcBorders>
              <w:top w:val="single" w:sz="8" w:color="auto"/>
            </w:tcBorders>
            <w:shd w:val="clear" w:color="auto" w:fill="CFF0FC"/>
          </w:tcPr>
          <w:p>
            <w:pPr>
              <w:spacing w:after="0"/>
              <w:rPr>
                <w:sz w:val="18"/>
                <w:szCs w:val="18"/>
                <w:color w:val="auto"/>
              </w:rPr>
            </w:pPr>
          </w:p>
        </w:tc>
        <w:tc>
          <w:tcPr>
            <w:tcW w:w="20" w:type="dxa"/>
            <w:vAlign w:val="bottom"/>
            <w:tcBorders>
              <w:top w:val="single" w:sz="8" w:color="CFF0FC"/>
            </w:tcBorders>
            <w:shd w:val="clear" w:color="auto" w:fill="CFF0FC"/>
          </w:tcPr>
          <w:p>
            <w:pPr>
              <w:spacing w:after="0"/>
              <w:rPr>
                <w:sz w:val="18"/>
                <w:szCs w:val="18"/>
                <w:color w:val="auto"/>
              </w:rPr>
            </w:pPr>
          </w:p>
        </w:tc>
        <w:tc>
          <w:tcPr>
            <w:tcW w:w="380" w:type="dxa"/>
            <w:vAlign w:val="bottom"/>
            <w:tcBorders>
              <w:top w:val="single" w:sz="8" w:color="CFF0FC"/>
            </w:tcBorders>
            <w:shd w:val="clear" w:color="auto" w:fill="CFF0FC"/>
          </w:tcPr>
          <w:p>
            <w:pPr>
              <w:spacing w:after="0"/>
              <w:rPr>
                <w:sz w:val="18"/>
                <w:szCs w:val="18"/>
                <w:color w:val="auto"/>
              </w:rPr>
            </w:pPr>
          </w:p>
        </w:tc>
        <w:tc>
          <w:tcPr>
            <w:tcW w:w="20" w:type="dxa"/>
            <w:vAlign w:val="bottom"/>
            <w:tcBorders>
              <w:top w:val="single" w:sz="8" w:color="auto"/>
            </w:tcBorders>
            <w:shd w:val="clear" w:color="auto" w:fill="CFF0FC"/>
          </w:tcPr>
          <w:p>
            <w:pPr>
              <w:spacing w:after="0"/>
              <w:rPr>
                <w:sz w:val="18"/>
                <w:szCs w:val="18"/>
                <w:color w:val="auto"/>
              </w:rPr>
            </w:pPr>
          </w:p>
        </w:tc>
        <w:tc>
          <w:tcPr>
            <w:tcW w:w="140" w:type="dxa"/>
            <w:vAlign w:val="bottom"/>
            <w:tcBorders>
              <w:top w:val="single" w:sz="8" w:color="auto"/>
            </w:tcBorders>
            <w:shd w:val="clear" w:color="auto" w:fill="CFF0FC"/>
          </w:tcPr>
          <w:p>
            <w:pPr>
              <w:spacing w:after="0"/>
              <w:rPr>
                <w:sz w:val="18"/>
                <w:szCs w:val="18"/>
                <w:color w:val="auto"/>
              </w:rPr>
            </w:pPr>
          </w:p>
        </w:tc>
        <w:tc>
          <w:tcPr>
            <w:tcW w:w="760" w:type="dxa"/>
            <w:vAlign w:val="bottom"/>
            <w:tcBorders>
              <w:top w:val="single" w:sz="8" w:color="auto"/>
            </w:tcBorders>
            <w:shd w:val="clear" w:color="auto" w:fill="CFF0FC"/>
          </w:tcPr>
          <w:p>
            <w:pPr>
              <w:spacing w:after="0"/>
              <w:rPr>
                <w:sz w:val="18"/>
                <w:szCs w:val="18"/>
                <w:color w:val="auto"/>
              </w:rPr>
            </w:pPr>
          </w:p>
        </w:tc>
        <w:tc>
          <w:tcPr>
            <w:tcW w:w="40" w:type="dxa"/>
            <w:vAlign w:val="bottom"/>
            <w:tcBorders>
              <w:top w:val="single" w:sz="8" w:color="CFF0FC"/>
            </w:tcBorders>
            <w:shd w:val="clear" w:color="auto" w:fill="CFF0FC"/>
          </w:tcPr>
          <w:p>
            <w:pPr>
              <w:spacing w:after="0"/>
              <w:rPr>
                <w:sz w:val="18"/>
                <w:szCs w:val="18"/>
                <w:color w:val="auto"/>
              </w:rPr>
            </w:pPr>
          </w:p>
        </w:tc>
        <w:tc>
          <w:tcPr>
            <w:tcW w:w="100" w:type="dxa"/>
            <w:vAlign w:val="bottom"/>
            <w:tcBorders>
              <w:top w:val="single" w:sz="8" w:color="CFF0FC"/>
            </w:tcBorders>
            <w:shd w:val="clear" w:color="auto" w:fill="CFF0FC"/>
          </w:tcPr>
          <w:p>
            <w:pPr>
              <w:spacing w:after="0"/>
              <w:rPr>
                <w:sz w:val="18"/>
                <w:szCs w:val="18"/>
                <w:color w:val="auto"/>
              </w:rPr>
            </w:pPr>
          </w:p>
        </w:tc>
        <w:tc>
          <w:tcPr>
            <w:tcW w:w="80" w:type="dxa"/>
            <w:vAlign w:val="bottom"/>
            <w:tcBorders>
              <w:top w:val="single" w:sz="8" w:color="CFF0FC"/>
            </w:tcBorders>
            <w:shd w:val="clear" w:color="auto" w:fill="CFF0FC"/>
          </w:tcPr>
          <w:p>
            <w:pPr>
              <w:spacing w:after="0"/>
              <w:rPr>
                <w:sz w:val="18"/>
                <w:szCs w:val="18"/>
                <w:color w:val="auto"/>
              </w:rPr>
            </w:pPr>
          </w:p>
        </w:tc>
        <w:tc>
          <w:tcPr>
            <w:tcW w:w="20" w:type="dxa"/>
            <w:vAlign w:val="bottom"/>
            <w:tcBorders>
              <w:top w:val="single" w:sz="8" w:color="auto"/>
            </w:tcBorders>
            <w:shd w:val="clear" w:color="auto" w:fill="CFF0FC"/>
          </w:tcPr>
          <w:p>
            <w:pPr>
              <w:spacing w:after="0"/>
              <w:rPr>
                <w:sz w:val="18"/>
                <w:szCs w:val="18"/>
                <w:color w:val="auto"/>
              </w:rPr>
            </w:pPr>
          </w:p>
        </w:tc>
        <w:tc>
          <w:tcPr>
            <w:tcW w:w="740" w:type="dxa"/>
            <w:vAlign w:val="bottom"/>
            <w:tcBorders>
              <w:top w:val="single" w:sz="8" w:color="auto"/>
            </w:tcBorders>
            <w:shd w:val="clear" w:color="auto" w:fill="CFF0FC"/>
          </w:tcPr>
          <w:p>
            <w:pPr>
              <w:spacing w:after="0"/>
              <w:rPr>
                <w:sz w:val="18"/>
                <w:szCs w:val="18"/>
                <w:color w:val="auto"/>
              </w:rPr>
            </w:pPr>
          </w:p>
        </w:tc>
        <w:tc>
          <w:tcPr>
            <w:tcW w:w="280" w:type="dxa"/>
            <w:vAlign w:val="bottom"/>
            <w:tcBorders>
              <w:top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220" w:type="dxa"/>
            <w:vAlign w:val="bottom"/>
            <w:tcBorders>
              <w:bottom w:val="single" w:sz="8" w:color="CFF0FC"/>
            </w:tcBorders>
            <w:shd w:val="clear" w:color="auto" w:fill="CFF0FC"/>
          </w:tcPr>
          <w:p>
            <w:pPr>
              <w:ind w:left="140"/>
              <w:spacing w:after="0"/>
              <w:rPr>
                <w:sz w:val="20"/>
                <w:szCs w:val="20"/>
                <w:color w:val="auto"/>
              </w:rPr>
            </w:pPr>
            <w:r>
              <w:rPr>
                <w:rFonts w:ascii="Arial" w:cs="Arial" w:eastAsia="Arial" w:hAnsi="Arial"/>
                <w:sz w:val="18"/>
                <w:szCs w:val="18"/>
                <w:color w:val="auto"/>
              </w:rPr>
              <w:t>service revenues</w:t>
            </w:r>
          </w:p>
        </w:tc>
        <w:tc>
          <w:tcPr>
            <w:tcW w:w="180" w:type="dxa"/>
            <w:vAlign w:val="bottom"/>
            <w:tcBorders>
              <w:bottom w:val="single" w:sz="8" w:color="auto"/>
            </w:tcBorders>
            <w:gridSpan w:val="2"/>
            <w:shd w:val="clear" w:color="auto" w:fill="CFF0FC"/>
          </w:tcPr>
          <w:p>
            <w:pPr>
              <w:spacing w:after="0"/>
              <w:rPr>
                <w:sz w:val="20"/>
                <w:szCs w:val="20"/>
                <w:color w:val="auto"/>
              </w:rPr>
            </w:pPr>
            <w:r>
              <w:rPr>
                <w:rFonts w:ascii="Arial" w:cs="Arial" w:eastAsia="Arial" w:hAnsi="Arial"/>
                <w:sz w:val="18"/>
                <w:szCs w:val="18"/>
                <w:color w:val="auto"/>
              </w:rPr>
              <w:t>$</w:t>
            </w:r>
          </w:p>
        </w:tc>
        <w:tc>
          <w:tcPr>
            <w:tcW w:w="7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24,525</w:t>
            </w:r>
          </w:p>
        </w:tc>
        <w:tc>
          <w:tcPr>
            <w:tcW w:w="40" w:type="dxa"/>
            <w:vAlign w:val="bottom"/>
            <w:tcBorders>
              <w:bottom w:val="single" w:sz="8" w:color="CFF0FC"/>
            </w:tcBorders>
            <w:shd w:val="clear" w:color="auto" w:fill="CFF0FC"/>
          </w:tcPr>
          <w:p>
            <w:pPr>
              <w:spacing w:after="0"/>
              <w:rPr>
                <w:sz w:val="20"/>
                <w:szCs w:val="20"/>
                <w:color w:val="auto"/>
              </w:rPr>
            </w:pPr>
          </w:p>
        </w:tc>
        <w:tc>
          <w:tcPr>
            <w:tcW w:w="140" w:type="dxa"/>
            <w:vAlign w:val="bottom"/>
            <w:tcBorders>
              <w:bottom w:val="single" w:sz="8" w:color="CFF0FC"/>
            </w:tcBorders>
            <w:shd w:val="clear" w:color="auto" w:fill="CFF0FC"/>
          </w:tcPr>
          <w:p>
            <w:pPr>
              <w:spacing w:after="0"/>
              <w:rPr>
                <w:sz w:val="20"/>
                <w:szCs w:val="20"/>
                <w:color w:val="auto"/>
              </w:rPr>
            </w:pPr>
          </w:p>
        </w:tc>
        <w:tc>
          <w:tcPr>
            <w:tcW w:w="20" w:type="dxa"/>
            <w:vAlign w:val="bottom"/>
            <w:tcBorders>
              <w:bottom w:val="single" w:sz="8" w:color="auto"/>
            </w:tcBorders>
            <w:shd w:val="clear" w:color="auto" w:fill="CFF0FC"/>
          </w:tcPr>
          <w:p>
            <w:pPr>
              <w:spacing w:after="0"/>
              <w:rPr>
                <w:sz w:val="20"/>
                <w:szCs w:val="20"/>
                <w:color w:val="auto"/>
              </w:rPr>
            </w:pPr>
          </w:p>
        </w:tc>
        <w:tc>
          <w:tcPr>
            <w:tcW w:w="720" w:type="dxa"/>
            <w:vAlign w:val="bottom"/>
            <w:tcBorders>
              <w:bottom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color w:val="auto"/>
              </w:rPr>
              <w:t>100.0</w:t>
            </w:r>
          </w:p>
        </w:tc>
        <w:tc>
          <w:tcPr>
            <w:tcW w:w="80" w:type="dxa"/>
            <w:vAlign w:val="bottom"/>
            <w:tcBorders>
              <w:bottom w:val="single" w:sz="8" w:color="CFF0FC"/>
            </w:tcBorders>
            <w:shd w:val="clear" w:color="auto" w:fill="CFF0FC"/>
          </w:tcPr>
          <w:p>
            <w:pPr>
              <w:spacing w:after="0"/>
              <w:rPr>
                <w:sz w:val="20"/>
                <w:szCs w:val="20"/>
                <w:color w:val="auto"/>
              </w:rPr>
            </w:pPr>
          </w:p>
        </w:tc>
        <w:tc>
          <w:tcPr>
            <w:tcW w:w="300" w:type="dxa"/>
            <w:vAlign w:val="bottom"/>
            <w:tcBorders>
              <w:bottom w:val="single" w:sz="8" w:color="CFF0FC"/>
            </w:tcBorders>
            <w:shd w:val="clear" w:color="auto" w:fill="CFF0FC"/>
          </w:tcPr>
          <w:p>
            <w:pPr>
              <w:jc w:val="right"/>
              <w:ind w:right="50"/>
              <w:spacing w:after="0"/>
              <w:rPr>
                <w:sz w:val="20"/>
                <w:szCs w:val="20"/>
                <w:color w:val="auto"/>
              </w:rPr>
            </w:pPr>
            <w:r>
              <w:rPr>
                <w:rFonts w:ascii="Arial" w:cs="Arial" w:eastAsia="Arial" w:hAnsi="Arial"/>
                <w:sz w:val="18"/>
                <w:szCs w:val="18"/>
                <w:color w:val="auto"/>
                <w:w w:val="87"/>
              </w:rPr>
              <w:t>%</w:t>
            </w:r>
          </w:p>
        </w:tc>
        <w:tc>
          <w:tcPr>
            <w:tcW w:w="200" w:type="dxa"/>
            <w:vAlign w:val="bottom"/>
            <w:tcBorders>
              <w:bottom w:val="single" w:sz="8" w:color="auto"/>
            </w:tcBorders>
            <w:gridSpan w:val="2"/>
            <w:shd w:val="clear" w:color="auto" w:fill="CFF0FC"/>
          </w:tcPr>
          <w:p>
            <w:pPr>
              <w:spacing w:after="0"/>
              <w:rPr>
                <w:sz w:val="20"/>
                <w:szCs w:val="20"/>
                <w:color w:val="auto"/>
              </w:rPr>
            </w:pPr>
            <w:r>
              <w:rPr>
                <w:rFonts w:ascii="Arial" w:cs="Arial" w:eastAsia="Arial" w:hAnsi="Arial"/>
                <w:sz w:val="18"/>
                <w:szCs w:val="18"/>
                <w:color w:val="auto"/>
              </w:rPr>
              <w:t>$</w:t>
            </w:r>
          </w:p>
        </w:tc>
        <w:tc>
          <w:tcPr>
            <w:tcW w:w="7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8,437</w:t>
            </w:r>
          </w:p>
        </w:tc>
        <w:tc>
          <w:tcPr>
            <w:tcW w:w="80" w:type="dxa"/>
            <w:vAlign w:val="bottom"/>
            <w:tcBorders>
              <w:bottom w:val="single" w:sz="8" w:color="CFF0FC"/>
            </w:tcBorders>
            <w:shd w:val="clear" w:color="auto" w:fill="CFF0FC"/>
          </w:tcPr>
          <w:p>
            <w:pPr>
              <w:spacing w:after="0"/>
              <w:rPr>
                <w:sz w:val="20"/>
                <w:szCs w:val="20"/>
                <w:color w:val="auto"/>
              </w:rPr>
            </w:pPr>
          </w:p>
        </w:tc>
        <w:tc>
          <w:tcPr>
            <w:tcW w:w="100" w:type="dxa"/>
            <w:vAlign w:val="bottom"/>
            <w:tcBorders>
              <w:bottom w:val="single" w:sz="8" w:color="CFF0FC"/>
            </w:tcBorders>
            <w:shd w:val="clear" w:color="auto" w:fill="CFF0FC"/>
          </w:tcPr>
          <w:p>
            <w:pPr>
              <w:spacing w:after="0"/>
              <w:rPr>
                <w:sz w:val="20"/>
                <w:szCs w:val="20"/>
                <w:color w:val="auto"/>
              </w:rPr>
            </w:pPr>
          </w:p>
        </w:tc>
        <w:tc>
          <w:tcPr>
            <w:tcW w:w="40" w:type="dxa"/>
            <w:vAlign w:val="bottom"/>
            <w:tcBorders>
              <w:bottom w:val="single" w:sz="8" w:color="CFF0FC"/>
            </w:tcBorders>
            <w:shd w:val="clear" w:color="auto" w:fill="CFF0FC"/>
          </w:tcPr>
          <w:p>
            <w:pPr>
              <w:spacing w:after="0"/>
              <w:rPr>
                <w:sz w:val="20"/>
                <w:szCs w:val="20"/>
                <w:color w:val="auto"/>
              </w:rPr>
            </w:pPr>
          </w:p>
        </w:tc>
        <w:tc>
          <w:tcPr>
            <w:tcW w:w="740" w:type="dxa"/>
            <w:vAlign w:val="bottom"/>
            <w:tcBorders>
              <w:bottom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color w:val="auto"/>
              </w:rPr>
              <w:t>100.0</w:t>
            </w:r>
          </w:p>
        </w:tc>
        <w:tc>
          <w:tcPr>
            <w:tcW w:w="60" w:type="dxa"/>
            <w:vAlign w:val="bottom"/>
            <w:tcBorders>
              <w:bottom w:val="single" w:sz="8" w:color="CFF0FC"/>
            </w:tcBorders>
            <w:shd w:val="clear" w:color="auto" w:fill="CFF0FC"/>
          </w:tcPr>
          <w:p>
            <w:pPr>
              <w:spacing w:after="0"/>
              <w:rPr>
                <w:sz w:val="20"/>
                <w:szCs w:val="20"/>
                <w:color w:val="auto"/>
              </w:rPr>
            </w:pPr>
          </w:p>
        </w:tc>
        <w:tc>
          <w:tcPr>
            <w:tcW w:w="340" w:type="dxa"/>
            <w:vAlign w:val="bottom"/>
            <w:tcBorders>
              <w:bottom w:val="single" w:sz="8" w:color="CFF0FC"/>
            </w:tcBorders>
            <w:shd w:val="clear" w:color="auto" w:fill="CFF0FC"/>
          </w:tcPr>
          <w:p>
            <w:pPr>
              <w:jc w:val="right"/>
              <w:ind w:right="5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auto"/>
            </w:tcBorders>
            <w:gridSpan w:val="2"/>
            <w:shd w:val="clear" w:color="auto" w:fill="CFF0FC"/>
          </w:tcPr>
          <w:p>
            <w:pPr>
              <w:spacing w:after="0"/>
              <w:rPr>
                <w:sz w:val="20"/>
                <w:szCs w:val="20"/>
                <w:color w:val="auto"/>
              </w:rPr>
            </w:pPr>
            <w:r>
              <w:rPr>
                <w:rFonts w:ascii="Arial" w:cs="Arial" w:eastAsia="Arial" w:hAnsi="Arial"/>
                <w:sz w:val="18"/>
                <w:szCs w:val="18"/>
                <w:color w:val="auto"/>
              </w:rPr>
              <w:t>$</w:t>
            </w:r>
          </w:p>
        </w:tc>
        <w:tc>
          <w:tcPr>
            <w:tcW w:w="7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49,737</w:t>
            </w:r>
          </w:p>
        </w:tc>
        <w:tc>
          <w:tcPr>
            <w:tcW w:w="60" w:type="dxa"/>
            <w:vAlign w:val="bottom"/>
            <w:tcBorders>
              <w:bottom w:val="single" w:sz="8" w:color="CFF0FC"/>
            </w:tcBorders>
            <w:shd w:val="clear" w:color="auto" w:fill="CFF0FC"/>
          </w:tcPr>
          <w:p>
            <w:pPr>
              <w:spacing w:after="0"/>
              <w:rPr>
                <w:sz w:val="20"/>
                <w:szCs w:val="20"/>
                <w:color w:val="auto"/>
              </w:rPr>
            </w:pPr>
          </w:p>
        </w:tc>
        <w:tc>
          <w:tcPr>
            <w:tcW w:w="160" w:type="dxa"/>
            <w:vAlign w:val="bottom"/>
            <w:tcBorders>
              <w:bottom w:val="single" w:sz="8" w:color="CFF0FC"/>
            </w:tcBorders>
            <w:shd w:val="clear" w:color="auto" w:fill="CFF0FC"/>
          </w:tcPr>
          <w:p>
            <w:pPr>
              <w:spacing w:after="0"/>
              <w:rPr>
                <w:sz w:val="20"/>
                <w:szCs w:val="20"/>
                <w:color w:val="auto"/>
              </w:rPr>
            </w:pPr>
          </w:p>
        </w:tc>
        <w:tc>
          <w:tcPr>
            <w:tcW w:w="760" w:type="dxa"/>
            <w:vAlign w:val="bottom"/>
            <w:tcBorders>
              <w:bottom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color w:val="auto"/>
              </w:rPr>
              <w:t>100.0</w:t>
            </w:r>
          </w:p>
        </w:tc>
        <w:tc>
          <w:tcPr>
            <w:tcW w:w="20" w:type="dxa"/>
            <w:vAlign w:val="bottom"/>
            <w:tcBorders>
              <w:bottom w:val="single" w:sz="8" w:color="CFF0FC"/>
            </w:tcBorders>
            <w:shd w:val="clear" w:color="auto" w:fill="CFF0FC"/>
          </w:tcPr>
          <w:p>
            <w:pPr>
              <w:spacing w:after="0"/>
              <w:rPr>
                <w:sz w:val="20"/>
                <w:szCs w:val="20"/>
                <w:color w:val="auto"/>
              </w:rPr>
            </w:pPr>
          </w:p>
        </w:tc>
        <w:tc>
          <w:tcPr>
            <w:tcW w:w="380" w:type="dxa"/>
            <w:vAlign w:val="bottom"/>
            <w:tcBorders>
              <w:bottom w:val="single" w:sz="8" w:color="CFF0FC"/>
            </w:tcBorders>
            <w:shd w:val="clear" w:color="auto" w:fill="CFF0FC"/>
          </w:tcPr>
          <w:p>
            <w:pPr>
              <w:jc w:val="center"/>
              <w:spacing w:after="0"/>
              <w:rPr>
                <w:sz w:val="20"/>
                <w:szCs w:val="20"/>
                <w:color w:val="auto"/>
              </w:rPr>
            </w:pPr>
            <w:r>
              <w:rPr>
                <w:rFonts w:ascii="Arial" w:cs="Arial" w:eastAsia="Arial" w:hAnsi="Arial"/>
                <w:sz w:val="18"/>
                <w:szCs w:val="18"/>
                <w:color w:val="auto"/>
                <w:w w:val="99"/>
              </w:rPr>
              <w:t>%</w:t>
            </w:r>
          </w:p>
        </w:tc>
        <w:tc>
          <w:tcPr>
            <w:tcW w:w="160" w:type="dxa"/>
            <w:vAlign w:val="bottom"/>
            <w:tcBorders>
              <w:bottom w:val="single" w:sz="8" w:color="auto"/>
            </w:tcBorders>
            <w:gridSpan w:val="2"/>
            <w:shd w:val="clear" w:color="auto" w:fill="CFF0FC"/>
          </w:tcPr>
          <w:p>
            <w:pPr>
              <w:spacing w:after="0"/>
              <w:rPr>
                <w:sz w:val="20"/>
                <w:szCs w:val="20"/>
                <w:color w:val="auto"/>
              </w:rPr>
            </w:pPr>
            <w:r>
              <w:rPr>
                <w:rFonts w:ascii="Arial" w:cs="Arial" w:eastAsia="Arial" w:hAnsi="Arial"/>
                <w:sz w:val="18"/>
                <w:szCs w:val="18"/>
                <w:color w:val="auto"/>
              </w:rPr>
              <w:t>$</w:t>
            </w:r>
          </w:p>
        </w:tc>
        <w:tc>
          <w:tcPr>
            <w:tcW w:w="7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16,354</w:t>
            </w:r>
          </w:p>
        </w:tc>
        <w:tc>
          <w:tcPr>
            <w:tcW w:w="40" w:type="dxa"/>
            <w:vAlign w:val="bottom"/>
            <w:tcBorders>
              <w:bottom w:val="single" w:sz="8" w:color="CFF0FC"/>
            </w:tcBorders>
            <w:shd w:val="clear" w:color="auto" w:fill="CFF0FC"/>
          </w:tcPr>
          <w:p>
            <w:pPr>
              <w:spacing w:after="0"/>
              <w:rPr>
                <w:sz w:val="20"/>
                <w:szCs w:val="20"/>
                <w:color w:val="auto"/>
              </w:rPr>
            </w:pPr>
          </w:p>
        </w:tc>
        <w:tc>
          <w:tcPr>
            <w:tcW w:w="100" w:type="dxa"/>
            <w:vAlign w:val="bottom"/>
            <w:tcBorders>
              <w:bottom w:val="single" w:sz="8" w:color="CFF0FC"/>
            </w:tcBorders>
            <w:shd w:val="clear" w:color="auto" w:fill="CFF0FC"/>
          </w:tcPr>
          <w:p>
            <w:pPr>
              <w:spacing w:after="0"/>
              <w:rPr>
                <w:sz w:val="20"/>
                <w:szCs w:val="20"/>
                <w:color w:val="auto"/>
              </w:rPr>
            </w:pPr>
          </w:p>
        </w:tc>
        <w:tc>
          <w:tcPr>
            <w:tcW w:w="80" w:type="dxa"/>
            <w:vAlign w:val="bottom"/>
            <w:tcBorders>
              <w:bottom w:val="single" w:sz="8" w:color="CFF0FC"/>
            </w:tcBorders>
            <w:shd w:val="clear" w:color="auto" w:fill="CFF0FC"/>
          </w:tcPr>
          <w:p>
            <w:pPr>
              <w:spacing w:after="0"/>
              <w:rPr>
                <w:sz w:val="20"/>
                <w:szCs w:val="20"/>
                <w:color w:val="auto"/>
              </w:rPr>
            </w:pPr>
          </w:p>
        </w:tc>
        <w:tc>
          <w:tcPr>
            <w:tcW w:w="760" w:type="dxa"/>
            <w:vAlign w:val="bottom"/>
            <w:tcBorders>
              <w:bottom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color w:val="auto"/>
              </w:rPr>
              <w:t>100.0</w:t>
            </w:r>
          </w:p>
        </w:tc>
        <w:tc>
          <w:tcPr>
            <w:tcW w:w="28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222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920" w:type="dxa"/>
            <w:vAlign w:val="bottom"/>
            <w:tcBorders>
              <w:bottom w:val="single" w:sz="8" w:color="auto"/>
            </w:tcBorders>
            <w:gridSpan w:val="3"/>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5"/>
        </w:trPr>
        <w:tc>
          <w:tcPr>
            <w:tcW w:w="2220" w:type="dxa"/>
            <w:vAlign w:val="bottom"/>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200" w:type="dxa"/>
            <w:vAlign w:val="bottom"/>
            <w:tcBorders>
              <w:bottom w:val="single" w:sz="8" w:color="auto"/>
            </w:tcBorders>
            <w:gridSpan w:val="8"/>
          </w:tcPr>
          <w:p>
            <w:pPr>
              <w:jc w:val="center"/>
              <w:ind w:right="348"/>
              <w:spacing w:after="0"/>
              <w:rPr>
                <w:sz w:val="20"/>
                <w:szCs w:val="20"/>
                <w:color w:val="auto"/>
              </w:rPr>
            </w:pPr>
            <w:r>
              <w:rPr>
                <w:rFonts w:ascii="Arial" w:cs="Arial" w:eastAsia="Arial" w:hAnsi="Arial"/>
                <w:sz w:val="14"/>
                <w:szCs w:val="14"/>
                <w:b w:val="1"/>
                <w:bCs w:val="1"/>
                <w:color w:val="auto"/>
                <w:w w:val="95"/>
              </w:rPr>
              <w:t>Home Health</w:t>
            </w:r>
          </w:p>
        </w:tc>
        <w:tc>
          <w:tcPr>
            <w:tcW w:w="6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6"/>
        </w:trPr>
        <w:tc>
          <w:tcPr>
            <w:tcW w:w="2220" w:type="dxa"/>
            <w:vAlign w:val="bottom"/>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3220" w:type="dxa"/>
            <w:vAlign w:val="bottom"/>
            <w:tcBorders>
              <w:bottom w:val="single" w:sz="8" w:color="auto"/>
            </w:tcBorders>
            <w:gridSpan w:val="14"/>
          </w:tcPr>
          <w:p>
            <w:pPr>
              <w:jc w:val="right"/>
              <w:ind w:right="160"/>
              <w:spacing w:after="0" w:line="155" w:lineRule="exact"/>
              <w:rPr>
                <w:sz w:val="20"/>
                <w:szCs w:val="20"/>
                <w:color w:val="auto"/>
              </w:rPr>
            </w:pPr>
            <w:r>
              <w:rPr>
                <w:rFonts w:ascii="Arial" w:cs="Arial" w:eastAsia="Arial" w:hAnsi="Arial"/>
                <w:sz w:val="14"/>
                <w:szCs w:val="14"/>
                <w:b w:val="1"/>
                <w:bCs w:val="1"/>
                <w:color w:val="auto"/>
              </w:rPr>
              <w:t>For the Three Months Ended June 30,</w:t>
            </w:r>
          </w:p>
        </w:tc>
        <w:tc>
          <w:tcPr>
            <w:tcW w:w="80" w:type="dxa"/>
            <w:vAlign w:val="bottom"/>
            <w:tcBorders>
              <w:bottom w:val="single" w:sz="8" w:color="auto"/>
            </w:tcBorders>
          </w:tcPr>
          <w:p>
            <w:pPr>
              <w:spacing w:after="0"/>
              <w:rPr>
                <w:sz w:val="13"/>
                <w:szCs w:val="13"/>
                <w:color w:val="auto"/>
              </w:rPr>
            </w:pPr>
          </w:p>
        </w:tc>
        <w:tc>
          <w:tcPr>
            <w:tcW w:w="660" w:type="dxa"/>
            <w:vAlign w:val="bottom"/>
            <w:tcBorders>
              <w:bottom w:val="single" w:sz="8" w:color="auto"/>
            </w:tcBorders>
          </w:tcPr>
          <w:p>
            <w:pPr>
              <w:spacing w:after="0"/>
              <w:rPr>
                <w:sz w:val="13"/>
                <w:szCs w:val="13"/>
                <w:color w:val="auto"/>
              </w:rPr>
            </w:pPr>
          </w:p>
        </w:tc>
        <w:tc>
          <w:tcPr>
            <w:tcW w:w="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2460" w:type="dxa"/>
            <w:vAlign w:val="bottom"/>
            <w:tcBorders>
              <w:bottom w:val="single" w:sz="8" w:color="auto"/>
            </w:tcBorders>
            <w:gridSpan w:val="11"/>
          </w:tcPr>
          <w:p>
            <w:pPr>
              <w:jc w:val="center"/>
              <w:ind w:right="240"/>
              <w:spacing w:after="0" w:line="155" w:lineRule="exact"/>
              <w:rPr>
                <w:sz w:val="20"/>
                <w:szCs w:val="20"/>
                <w:color w:val="auto"/>
              </w:rPr>
            </w:pPr>
            <w:r>
              <w:rPr>
                <w:rFonts w:ascii="Arial" w:cs="Arial" w:eastAsia="Arial" w:hAnsi="Arial"/>
                <w:sz w:val="14"/>
                <w:szCs w:val="14"/>
                <w:b w:val="1"/>
                <w:bCs w:val="1"/>
                <w:color w:val="auto"/>
                <w:w w:val="93"/>
              </w:rPr>
              <w:t>For the Six Months Ended June 30,</w:t>
            </w:r>
          </w:p>
        </w:tc>
        <w:tc>
          <w:tcPr>
            <w:tcW w:w="2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tcPr>
          <w:p>
            <w:pPr>
              <w:spacing w:after="0"/>
              <w:rPr>
                <w:sz w:val="13"/>
                <w:szCs w:val="13"/>
                <w:color w:val="auto"/>
              </w:rPr>
            </w:pPr>
          </w:p>
        </w:tc>
        <w:tc>
          <w:tcPr>
            <w:tcW w:w="2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2220" w:type="dxa"/>
            <w:vAlign w:val="bottom"/>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940" w:type="dxa"/>
            <w:vAlign w:val="bottom"/>
            <w:tcBorders>
              <w:bottom w:val="single" w:sz="8" w:color="auto"/>
            </w:tcBorders>
            <w:gridSpan w:val="3"/>
          </w:tcPr>
          <w:p>
            <w:pPr>
              <w:jc w:val="right"/>
              <w:ind w:right="40"/>
              <w:spacing w:after="0" w:line="155" w:lineRule="exact"/>
              <w:rPr>
                <w:sz w:val="20"/>
                <w:szCs w:val="20"/>
                <w:color w:val="auto"/>
              </w:rPr>
            </w:pPr>
            <w:r>
              <w:rPr>
                <w:rFonts w:ascii="Arial" w:cs="Arial" w:eastAsia="Arial" w:hAnsi="Arial"/>
                <w:sz w:val="14"/>
                <w:szCs w:val="14"/>
                <w:b w:val="1"/>
                <w:bCs w:val="1"/>
                <w:color w:val="auto"/>
              </w:rPr>
              <w:t>2020</w:t>
            </w:r>
          </w:p>
        </w:tc>
        <w:tc>
          <w:tcPr>
            <w:tcW w:w="20" w:type="dxa"/>
            <w:vAlign w:val="bottom"/>
            <w:tcBorders>
              <w:bottom w:val="single" w:sz="8" w:color="auto"/>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660" w:type="dxa"/>
            <w:vAlign w:val="bottom"/>
            <w:tcBorders>
              <w:bottom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gridSpan w:val="3"/>
          </w:tcPr>
          <w:p>
            <w:pPr>
              <w:jc w:val="right"/>
              <w:ind w:right="20"/>
              <w:spacing w:after="0" w:line="155" w:lineRule="exact"/>
              <w:rPr>
                <w:sz w:val="20"/>
                <w:szCs w:val="20"/>
                <w:color w:val="auto"/>
              </w:rPr>
            </w:pPr>
            <w:r>
              <w:rPr>
                <w:rFonts w:ascii="Arial" w:cs="Arial" w:eastAsia="Arial" w:hAnsi="Arial"/>
                <w:sz w:val="14"/>
                <w:szCs w:val="14"/>
                <w:b w:val="1"/>
                <w:bCs w:val="1"/>
                <w:color w:val="auto"/>
              </w:rPr>
              <w:t>2019</w:t>
            </w:r>
          </w:p>
        </w:tc>
        <w:tc>
          <w:tcPr>
            <w:tcW w:w="4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660" w:type="dxa"/>
            <w:vAlign w:val="bottom"/>
            <w:tcBorders>
              <w:bottom w:val="single" w:sz="8" w:color="auto"/>
            </w:tcBorders>
          </w:tcPr>
          <w:p>
            <w:pPr>
              <w:spacing w:after="0"/>
              <w:rPr>
                <w:sz w:val="13"/>
                <w:szCs w:val="13"/>
                <w:color w:val="auto"/>
              </w:rPr>
            </w:pPr>
          </w:p>
        </w:tc>
        <w:tc>
          <w:tcPr>
            <w:tcW w:w="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gridSpan w:val="3"/>
          </w:tcPr>
          <w:p>
            <w:pPr>
              <w:jc w:val="right"/>
              <w:spacing w:after="0" w:line="155" w:lineRule="exact"/>
              <w:rPr>
                <w:sz w:val="20"/>
                <w:szCs w:val="20"/>
                <w:color w:val="auto"/>
              </w:rPr>
            </w:pPr>
            <w:r>
              <w:rPr>
                <w:rFonts w:ascii="Arial" w:cs="Arial" w:eastAsia="Arial" w:hAnsi="Arial"/>
                <w:sz w:val="14"/>
                <w:szCs w:val="14"/>
                <w:b w:val="1"/>
                <w:bCs w:val="1"/>
                <w:color w:val="auto"/>
              </w:rPr>
              <w:t>2020</w:t>
            </w:r>
          </w:p>
        </w:tc>
        <w:tc>
          <w:tcPr>
            <w:tcW w:w="6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spacing w:after="0"/>
              <w:rPr>
                <w:sz w:val="13"/>
                <w:szCs w:val="13"/>
                <w:color w:val="auto"/>
              </w:rPr>
            </w:pPr>
          </w:p>
        </w:tc>
        <w:tc>
          <w:tcPr>
            <w:tcW w:w="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980" w:type="dxa"/>
            <w:vAlign w:val="bottom"/>
            <w:tcBorders>
              <w:bottom w:val="single" w:sz="8" w:color="auto"/>
            </w:tcBorders>
            <w:gridSpan w:val="4"/>
          </w:tcPr>
          <w:p>
            <w:pPr>
              <w:jc w:val="right"/>
              <w:ind w:right="60"/>
              <w:spacing w:after="0" w:line="155" w:lineRule="exact"/>
              <w:rPr>
                <w:sz w:val="20"/>
                <w:szCs w:val="20"/>
                <w:color w:val="auto"/>
              </w:rPr>
            </w:pPr>
            <w:r>
              <w:rPr>
                <w:rFonts w:ascii="Arial" w:cs="Arial" w:eastAsia="Arial" w:hAnsi="Arial"/>
                <w:sz w:val="14"/>
                <w:szCs w:val="14"/>
                <w:b w:val="1"/>
                <w:bCs w:val="1"/>
                <w:color w:val="auto"/>
              </w:rPr>
              <w:t>2019</w:t>
            </w:r>
          </w:p>
        </w:tc>
        <w:tc>
          <w:tcPr>
            <w:tcW w:w="2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tcPr>
          <w:p>
            <w:pPr>
              <w:spacing w:after="0"/>
              <w:rPr>
                <w:sz w:val="13"/>
                <w:szCs w:val="13"/>
                <w:color w:val="auto"/>
              </w:rPr>
            </w:pPr>
          </w:p>
        </w:tc>
        <w:tc>
          <w:tcPr>
            <w:tcW w:w="2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3"/>
        </w:trPr>
        <w:tc>
          <w:tcPr>
            <w:tcW w:w="22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jc w:val="center"/>
              <w:ind w:right="8"/>
              <w:spacing w:after="0" w:line="133" w:lineRule="exact"/>
              <w:rPr>
                <w:sz w:val="20"/>
                <w:szCs w:val="20"/>
                <w:color w:val="auto"/>
              </w:rPr>
            </w:pPr>
            <w:r>
              <w:rPr>
                <w:rFonts w:ascii="Arial" w:cs="Arial" w:eastAsia="Arial" w:hAnsi="Arial"/>
                <w:sz w:val="14"/>
                <w:szCs w:val="14"/>
                <w:b w:val="1"/>
                <w:bCs w:val="1"/>
                <w:color w:val="auto"/>
              </w:rPr>
              <w:t>% of</w:t>
            </w:r>
          </w:p>
        </w:tc>
        <w:tc>
          <w:tcPr>
            <w:tcW w:w="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jc w:val="center"/>
              <w:ind w:right="7"/>
              <w:spacing w:after="0" w:line="133" w:lineRule="exact"/>
              <w:rPr>
                <w:sz w:val="20"/>
                <w:szCs w:val="20"/>
                <w:color w:val="auto"/>
              </w:rPr>
            </w:pPr>
            <w:r>
              <w:rPr>
                <w:rFonts w:ascii="Arial" w:cs="Arial" w:eastAsia="Arial" w:hAnsi="Arial"/>
                <w:sz w:val="14"/>
                <w:szCs w:val="14"/>
                <w:b w:val="1"/>
                <w:bCs w:val="1"/>
                <w:color w:val="auto"/>
              </w:rPr>
              <w:t>% of</w:t>
            </w:r>
          </w:p>
        </w:tc>
        <w:tc>
          <w:tcPr>
            <w:tcW w:w="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tcPr>
          <w:p>
            <w:pPr>
              <w:jc w:val="center"/>
              <w:ind w:right="8"/>
              <w:spacing w:after="0" w:line="133" w:lineRule="exact"/>
              <w:rPr>
                <w:sz w:val="20"/>
                <w:szCs w:val="20"/>
                <w:color w:val="auto"/>
              </w:rPr>
            </w:pPr>
            <w:r>
              <w:rPr>
                <w:rFonts w:ascii="Arial" w:cs="Arial" w:eastAsia="Arial" w:hAnsi="Arial"/>
                <w:sz w:val="14"/>
                <w:szCs w:val="14"/>
                <w:b w:val="1"/>
                <w:bCs w:val="1"/>
                <w:color w:val="auto"/>
              </w:rPr>
              <w:t>% of</w:t>
            </w: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40" w:type="dxa"/>
            <w:vAlign w:val="bottom"/>
          </w:tcPr>
          <w:p>
            <w:pPr>
              <w:jc w:val="center"/>
              <w:spacing w:after="0" w:line="133" w:lineRule="exact"/>
              <w:rPr>
                <w:sz w:val="20"/>
                <w:szCs w:val="20"/>
                <w:color w:val="auto"/>
              </w:rPr>
            </w:pPr>
            <w:r>
              <w:rPr>
                <w:rFonts w:ascii="Arial" w:cs="Arial" w:eastAsia="Arial" w:hAnsi="Arial"/>
                <w:sz w:val="14"/>
                <w:szCs w:val="14"/>
                <w:b w:val="1"/>
                <w:bCs w:val="1"/>
                <w:color w:val="auto"/>
              </w:rPr>
              <w:t>% of</w:t>
            </w:r>
          </w:p>
        </w:tc>
        <w:tc>
          <w:tcPr>
            <w:tcW w:w="2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2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gridSpan w:val="4"/>
            <w:vMerge w:val="restart"/>
          </w:tcPr>
          <w:p>
            <w:pPr>
              <w:ind w:left="20"/>
              <w:spacing w:after="0"/>
              <w:rPr>
                <w:sz w:val="20"/>
                <w:szCs w:val="20"/>
                <w:color w:val="auto"/>
              </w:rPr>
            </w:pPr>
            <w:r>
              <w:rPr>
                <w:rFonts w:ascii="Arial" w:cs="Arial" w:eastAsia="Arial" w:hAnsi="Arial"/>
                <w:sz w:val="14"/>
                <w:szCs w:val="14"/>
                <w:b w:val="1"/>
                <w:bCs w:val="1"/>
                <w:color w:val="auto"/>
              </w:rPr>
              <w:t>Amount</w:t>
            </w:r>
          </w:p>
        </w:tc>
        <w:tc>
          <w:tcPr>
            <w:tcW w:w="60" w:type="dxa"/>
            <w:vAlign w:val="bottom"/>
          </w:tcPr>
          <w:p>
            <w:pPr>
              <w:spacing w:after="0"/>
              <w:rPr>
                <w:sz w:val="12"/>
                <w:szCs w:val="12"/>
                <w:color w:val="auto"/>
              </w:rPr>
            </w:pPr>
          </w:p>
        </w:tc>
        <w:tc>
          <w:tcPr>
            <w:tcW w:w="74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91"/>
              </w:rPr>
              <w:t>Segment</w:t>
            </w: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gridSpan w:val="4"/>
            <w:vMerge w:val="restart"/>
          </w:tcPr>
          <w:p>
            <w:pPr>
              <w:ind w:left="20"/>
              <w:spacing w:after="0"/>
              <w:rPr>
                <w:sz w:val="20"/>
                <w:szCs w:val="20"/>
                <w:color w:val="auto"/>
              </w:rPr>
            </w:pPr>
            <w:r>
              <w:rPr>
                <w:rFonts w:ascii="Arial" w:cs="Arial" w:eastAsia="Arial" w:hAnsi="Arial"/>
                <w:sz w:val="14"/>
                <w:szCs w:val="14"/>
                <w:b w:val="1"/>
                <w:bCs w:val="1"/>
                <w:color w:val="auto"/>
              </w:rPr>
              <w:t>Amount</w:t>
            </w:r>
          </w:p>
        </w:tc>
        <w:tc>
          <w:tcPr>
            <w:tcW w:w="80" w:type="dxa"/>
            <w:vAlign w:val="bottom"/>
          </w:tcPr>
          <w:p>
            <w:pPr>
              <w:spacing w:after="0"/>
              <w:rPr>
                <w:sz w:val="12"/>
                <w:szCs w:val="12"/>
                <w:color w:val="auto"/>
              </w:rPr>
            </w:pPr>
          </w:p>
        </w:tc>
        <w:tc>
          <w:tcPr>
            <w:tcW w:w="72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87"/>
              </w:rPr>
              <w:t>Segment</w:t>
            </w:r>
          </w:p>
        </w:tc>
        <w:tc>
          <w:tcPr>
            <w:tcW w:w="3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gridSpan w:val="3"/>
            <w:vMerge w:val="restart"/>
          </w:tcPr>
          <w:p>
            <w:pPr>
              <w:jc w:val="right"/>
              <w:ind w:right="368"/>
              <w:spacing w:after="0"/>
              <w:rPr>
                <w:sz w:val="20"/>
                <w:szCs w:val="20"/>
                <w:color w:val="auto"/>
              </w:rPr>
            </w:pPr>
            <w:r>
              <w:rPr>
                <w:rFonts w:ascii="Arial" w:cs="Arial" w:eastAsia="Arial" w:hAnsi="Arial"/>
                <w:sz w:val="14"/>
                <w:szCs w:val="14"/>
                <w:b w:val="1"/>
                <w:bCs w:val="1"/>
                <w:color w:val="auto"/>
                <w:w w:val="94"/>
              </w:rPr>
              <w:t>Amount</w:t>
            </w:r>
          </w:p>
        </w:tc>
        <w:tc>
          <w:tcPr>
            <w:tcW w:w="60" w:type="dxa"/>
            <w:vAlign w:val="bottom"/>
          </w:tcPr>
          <w:p>
            <w:pPr>
              <w:spacing w:after="0"/>
              <w:rPr>
                <w:sz w:val="12"/>
                <w:szCs w:val="12"/>
                <w:color w:val="auto"/>
              </w:rPr>
            </w:pPr>
          </w:p>
        </w:tc>
        <w:tc>
          <w:tcPr>
            <w:tcW w:w="72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87"/>
              </w:rPr>
              <w:t>Segment</w:t>
            </w:r>
          </w:p>
        </w:tc>
        <w:tc>
          <w:tcPr>
            <w:tcW w:w="3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80" w:type="dxa"/>
            <w:vAlign w:val="bottom"/>
            <w:gridSpan w:val="4"/>
            <w:vMerge w:val="restart"/>
          </w:tcPr>
          <w:p>
            <w:pPr>
              <w:jc w:val="right"/>
              <w:ind w:right="440"/>
              <w:spacing w:after="0"/>
              <w:rPr>
                <w:sz w:val="20"/>
                <w:szCs w:val="20"/>
                <w:color w:val="auto"/>
              </w:rPr>
            </w:pPr>
            <w:r>
              <w:rPr>
                <w:rFonts w:ascii="Arial" w:cs="Arial" w:eastAsia="Arial" w:hAnsi="Arial"/>
                <w:sz w:val="14"/>
                <w:szCs w:val="14"/>
                <w:b w:val="1"/>
                <w:bCs w:val="1"/>
                <w:color w:val="auto"/>
                <w:w w:val="98"/>
              </w:rPr>
              <w:t>Amount</w:t>
            </w:r>
          </w:p>
        </w:tc>
        <w:tc>
          <w:tcPr>
            <w:tcW w:w="20" w:type="dxa"/>
            <w:vAlign w:val="bottom"/>
          </w:tcPr>
          <w:p>
            <w:pPr>
              <w:spacing w:after="0"/>
              <w:rPr>
                <w:sz w:val="12"/>
                <w:szCs w:val="12"/>
                <w:color w:val="auto"/>
              </w:rPr>
            </w:pPr>
          </w:p>
        </w:tc>
        <w:tc>
          <w:tcPr>
            <w:tcW w:w="7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1"/>
              </w:rPr>
              <w:t>Segment</w:t>
            </w:r>
          </w:p>
        </w:tc>
        <w:tc>
          <w:tcPr>
            <w:tcW w:w="2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gridSpan w:val="4"/>
            <w:vMerge w:val="continue"/>
          </w:tcPr>
          <w:p>
            <w:pPr>
              <w:spacing w:after="0"/>
              <w:rPr>
                <w:sz w:val="12"/>
                <w:szCs w:val="12"/>
                <w:color w:val="auto"/>
              </w:rPr>
            </w:pPr>
          </w:p>
        </w:tc>
        <w:tc>
          <w:tcPr>
            <w:tcW w:w="800" w:type="dxa"/>
            <w:vAlign w:val="bottom"/>
            <w:gridSpan w:val="3"/>
          </w:tcPr>
          <w:p>
            <w:pPr>
              <w:jc w:val="center"/>
              <w:ind w:right="100"/>
              <w:spacing w:after="0" w:line="149" w:lineRule="exact"/>
              <w:rPr>
                <w:sz w:val="20"/>
                <w:szCs w:val="20"/>
                <w:color w:val="auto"/>
              </w:rPr>
            </w:pPr>
            <w:r>
              <w:rPr>
                <w:rFonts w:ascii="Arial" w:cs="Arial" w:eastAsia="Arial" w:hAnsi="Arial"/>
                <w:sz w:val="14"/>
                <w:szCs w:val="14"/>
                <w:b w:val="1"/>
                <w:bCs w:val="1"/>
                <w:color w:val="auto"/>
                <w:w w:val="91"/>
              </w:rPr>
              <w:t>Net Service</w:t>
            </w: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gridSpan w:val="4"/>
            <w:vMerge w:val="continue"/>
          </w:tcPr>
          <w:p>
            <w:pPr>
              <w:spacing w:after="0"/>
              <w:rPr>
                <w:sz w:val="12"/>
                <w:szCs w:val="12"/>
                <w:color w:val="auto"/>
              </w:rPr>
            </w:pPr>
          </w:p>
        </w:tc>
        <w:tc>
          <w:tcPr>
            <w:tcW w:w="800" w:type="dxa"/>
            <w:vAlign w:val="bottom"/>
            <w:gridSpan w:val="3"/>
          </w:tcPr>
          <w:p>
            <w:pPr>
              <w:jc w:val="center"/>
              <w:ind w:right="60"/>
              <w:spacing w:after="0" w:line="149" w:lineRule="exact"/>
              <w:rPr>
                <w:sz w:val="20"/>
                <w:szCs w:val="20"/>
                <w:color w:val="auto"/>
              </w:rPr>
            </w:pPr>
            <w:r>
              <w:rPr>
                <w:rFonts w:ascii="Arial" w:cs="Arial" w:eastAsia="Arial" w:hAnsi="Arial"/>
                <w:sz w:val="14"/>
                <w:szCs w:val="14"/>
                <w:b w:val="1"/>
                <w:bCs w:val="1"/>
                <w:color w:val="auto"/>
                <w:w w:val="91"/>
              </w:rPr>
              <w:t>Net Service</w:t>
            </w:r>
          </w:p>
        </w:tc>
        <w:tc>
          <w:tcPr>
            <w:tcW w:w="3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gridSpan w:val="3"/>
            <w:vMerge w:val="continue"/>
          </w:tcPr>
          <w:p>
            <w:pPr>
              <w:spacing w:after="0"/>
              <w:rPr>
                <w:sz w:val="12"/>
                <w:szCs w:val="12"/>
                <w:color w:val="auto"/>
              </w:rPr>
            </w:pPr>
          </w:p>
        </w:tc>
        <w:tc>
          <w:tcPr>
            <w:tcW w:w="780" w:type="dxa"/>
            <w:vAlign w:val="bottom"/>
            <w:gridSpan w:val="3"/>
          </w:tcPr>
          <w:p>
            <w:pPr>
              <w:jc w:val="center"/>
              <w:ind w:right="40"/>
              <w:spacing w:after="0" w:line="149" w:lineRule="exact"/>
              <w:rPr>
                <w:sz w:val="20"/>
                <w:szCs w:val="20"/>
                <w:color w:val="auto"/>
              </w:rPr>
            </w:pPr>
            <w:r>
              <w:rPr>
                <w:rFonts w:ascii="Arial" w:cs="Arial" w:eastAsia="Arial" w:hAnsi="Arial"/>
                <w:sz w:val="14"/>
                <w:szCs w:val="14"/>
                <w:b w:val="1"/>
                <w:bCs w:val="1"/>
                <w:color w:val="auto"/>
                <w:w w:val="91"/>
              </w:rPr>
              <w:t>Net Service</w:t>
            </w:r>
          </w:p>
        </w:tc>
        <w:tc>
          <w:tcPr>
            <w:tcW w:w="3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80" w:type="dxa"/>
            <w:vAlign w:val="bottom"/>
            <w:gridSpan w:val="4"/>
            <w:vMerge w:val="continue"/>
          </w:tcPr>
          <w:p>
            <w:pPr>
              <w:spacing w:after="0"/>
              <w:rPr>
                <w:sz w:val="12"/>
                <w:szCs w:val="12"/>
                <w:color w:val="auto"/>
              </w:rPr>
            </w:pPr>
          </w:p>
        </w:tc>
        <w:tc>
          <w:tcPr>
            <w:tcW w:w="76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1"/>
              </w:rPr>
              <w:t>Net Service</w:t>
            </w:r>
          </w:p>
        </w:tc>
        <w:tc>
          <w:tcPr>
            <w:tcW w:w="2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220" w:type="dxa"/>
            <w:vAlign w:val="bottom"/>
          </w:tcPr>
          <w:p>
            <w:pPr>
              <w:spacing w:after="0"/>
              <w:rPr>
                <w:sz w:val="14"/>
                <w:szCs w:val="14"/>
                <w:color w:val="auto"/>
              </w:rPr>
            </w:pPr>
          </w:p>
        </w:tc>
        <w:tc>
          <w:tcPr>
            <w:tcW w:w="1140" w:type="dxa"/>
            <w:vAlign w:val="bottom"/>
            <w:gridSpan w:val="6"/>
          </w:tcPr>
          <w:p>
            <w:pPr>
              <w:spacing w:after="0"/>
              <w:rPr>
                <w:sz w:val="20"/>
                <w:szCs w:val="20"/>
                <w:color w:val="auto"/>
              </w:rPr>
            </w:pPr>
            <w:r>
              <w:rPr>
                <w:rFonts w:ascii="Arial" w:cs="Arial" w:eastAsia="Arial" w:hAnsi="Arial"/>
                <w:sz w:val="14"/>
                <w:szCs w:val="14"/>
                <w:b w:val="1"/>
                <w:bCs w:val="1"/>
                <w:color w:val="auto"/>
              </w:rPr>
              <w:t>(in Thousands)</w:t>
            </w:r>
          </w:p>
        </w:tc>
        <w:tc>
          <w:tcPr>
            <w:tcW w:w="80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w w:val="87"/>
              </w:rPr>
              <w:t>Revenues</w:t>
            </w:r>
          </w:p>
        </w:tc>
        <w:tc>
          <w:tcPr>
            <w:tcW w:w="300" w:type="dxa"/>
            <w:vAlign w:val="bottom"/>
          </w:tcPr>
          <w:p>
            <w:pPr>
              <w:spacing w:after="0"/>
              <w:rPr>
                <w:sz w:val="14"/>
                <w:szCs w:val="14"/>
                <w:color w:val="auto"/>
              </w:rPr>
            </w:pPr>
          </w:p>
        </w:tc>
        <w:tc>
          <w:tcPr>
            <w:tcW w:w="1160" w:type="dxa"/>
            <w:vAlign w:val="bottom"/>
            <w:gridSpan w:val="6"/>
          </w:tcPr>
          <w:p>
            <w:pPr>
              <w:spacing w:after="0"/>
              <w:rPr>
                <w:sz w:val="20"/>
                <w:szCs w:val="20"/>
                <w:color w:val="auto"/>
              </w:rPr>
            </w:pPr>
            <w:r>
              <w:rPr>
                <w:rFonts w:ascii="Arial" w:cs="Arial" w:eastAsia="Arial" w:hAnsi="Arial"/>
                <w:sz w:val="14"/>
                <w:szCs w:val="14"/>
                <w:b w:val="1"/>
                <w:bCs w:val="1"/>
                <w:color w:val="auto"/>
              </w:rPr>
              <w:t>(in Thousands)</w:t>
            </w:r>
          </w:p>
        </w:tc>
        <w:tc>
          <w:tcPr>
            <w:tcW w:w="800" w:type="dxa"/>
            <w:vAlign w:val="bottom"/>
            <w:gridSpan w:val="3"/>
          </w:tcPr>
          <w:p>
            <w:pPr>
              <w:jc w:val="center"/>
              <w:ind w:right="60"/>
              <w:spacing w:after="0"/>
              <w:rPr>
                <w:sz w:val="20"/>
                <w:szCs w:val="20"/>
                <w:color w:val="auto"/>
              </w:rPr>
            </w:pPr>
            <w:r>
              <w:rPr>
                <w:rFonts w:ascii="Arial" w:cs="Arial" w:eastAsia="Arial" w:hAnsi="Arial"/>
                <w:sz w:val="14"/>
                <w:szCs w:val="14"/>
                <w:b w:val="1"/>
                <w:bCs w:val="1"/>
                <w:color w:val="auto"/>
                <w:w w:val="87"/>
              </w:rPr>
              <w:t>Revenues</w:t>
            </w:r>
          </w:p>
        </w:tc>
        <w:tc>
          <w:tcPr>
            <w:tcW w:w="340" w:type="dxa"/>
            <w:vAlign w:val="bottom"/>
          </w:tcPr>
          <w:p>
            <w:pPr>
              <w:spacing w:after="0"/>
              <w:rPr>
                <w:sz w:val="14"/>
                <w:szCs w:val="14"/>
                <w:color w:val="auto"/>
              </w:rPr>
            </w:pPr>
          </w:p>
        </w:tc>
        <w:tc>
          <w:tcPr>
            <w:tcW w:w="1140" w:type="dxa"/>
            <w:vAlign w:val="bottom"/>
            <w:gridSpan w:val="5"/>
          </w:tcPr>
          <w:p>
            <w:pPr>
              <w:spacing w:after="0"/>
              <w:rPr>
                <w:sz w:val="20"/>
                <w:szCs w:val="20"/>
                <w:color w:val="auto"/>
              </w:rPr>
            </w:pPr>
            <w:r>
              <w:rPr>
                <w:rFonts w:ascii="Arial" w:cs="Arial" w:eastAsia="Arial" w:hAnsi="Arial"/>
                <w:sz w:val="14"/>
                <w:szCs w:val="14"/>
                <w:b w:val="1"/>
                <w:bCs w:val="1"/>
                <w:color w:val="auto"/>
              </w:rPr>
              <w:t>(in Thousands)</w:t>
            </w:r>
          </w:p>
        </w:tc>
        <w:tc>
          <w:tcPr>
            <w:tcW w:w="60" w:type="dxa"/>
            <w:vAlign w:val="bottom"/>
          </w:tcPr>
          <w:p>
            <w:pPr>
              <w:spacing w:after="0"/>
              <w:rPr>
                <w:sz w:val="14"/>
                <w:szCs w:val="14"/>
                <w:color w:val="auto"/>
              </w:rPr>
            </w:pPr>
          </w:p>
        </w:tc>
        <w:tc>
          <w:tcPr>
            <w:tcW w:w="7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7"/>
              </w:rPr>
              <w:t>Revenues</w:t>
            </w:r>
          </w:p>
        </w:tc>
        <w:tc>
          <w:tcPr>
            <w:tcW w:w="380" w:type="dxa"/>
            <w:vAlign w:val="bottom"/>
          </w:tcPr>
          <w:p>
            <w:pPr>
              <w:spacing w:after="0"/>
              <w:rPr>
                <w:sz w:val="14"/>
                <w:szCs w:val="14"/>
                <w:color w:val="auto"/>
              </w:rPr>
            </w:pPr>
          </w:p>
        </w:tc>
        <w:tc>
          <w:tcPr>
            <w:tcW w:w="1140" w:type="dxa"/>
            <w:vAlign w:val="bottom"/>
            <w:gridSpan w:val="6"/>
          </w:tcPr>
          <w:p>
            <w:pPr>
              <w:spacing w:after="0"/>
              <w:rPr>
                <w:sz w:val="20"/>
                <w:szCs w:val="20"/>
                <w:color w:val="auto"/>
              </w:rPr>
            </w:pPr>
            <w:r>
              <w:rPr>
                <w:rFonts w:ascii="Arial" w:cs="Arial" w:eastAsia="Arial" w:hAnsi="Arial"/>
                <w:sz w:val="14"/>
                <w:szCs w:val="14"/>
                <w:b w:val="1"/>
                <w:bCs w:val="1"/>
                <w:color w:val="auto"/>
              </w:rPr>
              <w:t>(in Thousands)</w:t>
            </w:r>
          </w:p>
        </w:tc>
        <w:tc>
          <w:tcPr>
            <w:tcW w:w="20" w:type="dxa"/>
            <w:vAlign w:val="bottom"/>
          </w:tcPr>
          <w:p>
            <w:pPr>
              <w:spacing w:after="0"/>
              <w:rPr>
                <w:sz w:val="14"/>
                <w:szCs w:val="14"/>
                <w:color w:val="auto"/>
              </w:rPr>
            </w:pPr>
          </w:p>
        </w:tc>
        <w:tc>
          <w:tcPr>
            <w:tcW w:w="740" w:type="dxa"/>
            <w:vAlign w:val="bottom"/>
          </w:tcPr>
          <w:p>
            <w:pPr>
              <w:jc w:val="center"/>
              <w:spacing w:after="0"/>
              <w:rPr>
                <w:sz w:val="20"/>
                <w:szCs w:val="20"/>
                <w:color w:val="auto"/>
              </w:rPr>
            </w:pPr>
            <w:r>
              <w:rPr>
                <w:rFonts w:ascii="Arial" w:cs="Arial" w:eastAsia="Arial" w:hAnsi="Arial"/>
                <w:sz w:val="14"/>
                <w:szCs w:val="14"/>
                <w:b w:val="1"/>
                <w:bCs w:val="1"/>
                <w:color w:val="auto"/>
                <w:w w:val="87"/>
              </w:rPr>
              <w:t>Revenues</w:t>
            </w:r>
          </w:p>
        </w:tc>
        <w:tc>
          <w:tcPr>
            <w:tcW w:w="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22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Medicare</w:t>
            </w:r>
          </w:p>
        </w:tc>
        <w:tc>
          <w:tcPr>
            <w:tcW w:w="180" w:type="dxa"/>
            <w:vAlign w:val="bottom"/>
            <w:tcBorders>
              <w:top w:val="single" w:sz="8" w:color="auto"/>
            </w:tcBorders>
            <w:gridSpan w:val="2"/>
            <w:shd w:val="clear" w:color="auto" w:fill="CFF0FC"/>
          </w:tcPr>
          <w:p>
            <w:pPr>
              <w:spacing w:after="0"/>
              <w:rPr>
                <w:sz w:val="20"/>
                <w:szCs w:val="20"/>
                <w:color w:val="auto"/>
              </w:rPr>
            </w:pPr>
            <w:r>
              <w:rPr>
                <w:rFonts w:ascii="Arial" w:cs="Arial" w:eastAsia="Arial" w:hAnsi="Arial"/>
                <w:sz w:val="18"/>
                <w:szCs w:val="18"/>
                <w:color w:val="auto"/>
              </w:rPr>
              <w:t>$</w:t>
            </w:r>
          </w:p>
        </w:tc>
        <w:tc>
          <w:tcPr>
            <w:tcW w:w="7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3,010</w:t>
            </w:r>
          </w:p>
        </w:tc>
        <w:tc>
          <w:tcPr>
            <w:tcW w:w="4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auto"/>
            </w:tcBorders>
            <w:shd w:val="clear" w:color="auto" w:fill="CFF0FC"/>
          </w:tcPr>
          <w:p>
            <w:pPr>
              <w:spacing w:after="0"/>
              <w:rPr>
                <w:sz w:val="19"/>
                <w:szCs w:val="19"/>
                <w:color w:val="auto"/>
              </w:rPr>
            </w:pPr>
          </w:p>
        </w:tc>
        <w:tc>
          <w:tcPr>
            <w:tcW w:w="720" w:type="dxa"/>
            <w:vAlign w:val="bottom"/>
            <w:tcBorders>
              <w:top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color w:val="auto"/>
              </w:rPr>
              <w:t>79.6</w:t>
            </w:r>
          </w:p>
        </w:tc>
        <w:tc>
          <w:tcPr>
            <w:tcW w:w="80" w:type="dxa"/>
            <w:vAlign w:val="bottom"/>
            <w:tcBorders>
              <w:top w:val="single" w:sz="8" w:color="CFF0FC"/>
            </w:tcBorders>
            <w:shd w:val="clear" w:color="auto" w:fill="CFF0FC"/>
          </w:tcPr>
          <w:p>
            <w:pPr>
              <w:spacing w:after="0"/>
              <w:rPr>
                <w:sz w:val="19"/>
                <w:szCs w:val="19"/>
                <w:color w:val="auto"/>
              </w:rPr>
            </w:pPr>
          </w:p>
        </w:tc>
        <w:tc>
          <w:tcPr>
            <w:tcW w:w="300" w:type="dxa"/>
            <w:vAlign w:val="bottom"/>
            <w:tcBorders>
              <w:top w:val="single" w:sz="8" w:color="CFF0FC"/>
            </w:tcBorders>
            <w:shd w:val="clear" w:color="auto" w:fill="CFF0FC"/>
          </w:tcPr>
          <w:p>
            <w:pPr>
              <w:jc w:val="right"/>
              <w:ind w:right="50"/>
              <w:spacing w:after="0"/>
              <w:rPr>
                <w:sz w:val="20"/>
                <w:szCs w:val="20"/>
                <w:color w:val="auto"/>
              </w:rPr>
            </w:pPr>
            <w:r>
              <w:rPr>
                <w:rFonts w:ascii="Arial" w:cs="Arial" w:eastAsia="Arial" w:hAnsi="Arial"/>
                <w:sz w:val="18"/>
                <w:szCs w:val="18"/>
                <w:color w:val="auto"/>
                <w:w w:val="87"/>
              </w:rPr>
              <w:t>%</w:t>
            </w:r>
          </w:p>
        </w:tc>
        <w:tc>
          <w:tcPr>
            <w:tcW w:w="200" w:type="dxa"/>
            <w:vAlign w:val="bottom"/>
            <w:tcBorders>
              <w:top w:val="single" w:sz="8" w:color="auto"/>
            </w:tcBorders>
            <w:gridSpan w:val="2"/>
            <w:shd w:val="clear" w:color="auto" w:fill="CFF0FC"/>
          </w:tcPr>
          <w:p>
            <w:pPr>
              <w:spacing w:after="0"/>
              <w:rPr>
                <w:sz w:val="20"/>
                <w:szCs w:val="20"/>
                <w:color w:val="auto"/>
              </w:rPr>
            </w:pPr>
            <w:r>
              <w:rPr>
                <w:rFonts w:ascii="Arial" w:cs="Arial" w:eastAsia="Arial" w:hAnsi="Arial"/>
                <w:sz w:val="18"/>
                <w:szCs w:val="18"/>
                <w:color w:val="auto"/>
              </w:rPr>
              <w:t>$</w:t>
            </w:r>
          </w:p>
        </w:tc>
        <w:tc>
          <w:tcPr>
            <w:tcW w:w="7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2,436</w:t>
            </w:r>
          </w:p>
        </w:tc>
        <w:tc>
          <w:tcPr>
            <w:tcW w:w="8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40" w:type="dxa"/>
            <w:vAlign w:val="bottom"/>
            <w:tcBorders>
              <w:top w:val="single" w:sz="8" w:color="CFF0FC"/>
            </w:tcBorders>
            <w:shd w:val="clear" w:color="auto" w:fill="CFF0FC"/>
          </w:tcPr>
          <w:p>
            <w:pPr>
              <w:spacing w:after="0"/>
              <w:rPr>
                <w:sz w:val="19"/>
                <w:szCs w:val="19"/>
                <w:color w:val="auto"/>
              </w:rPr>
            </w:pPr>
          </w:p>
        </w:tc>
        <w:tc>
          <w:tcPr>
            <w:tcW w:w="740" w:type="dxa"/>
            <w:vAlign w:val="bottom"/>
            <w:tcBorders>
              <w:top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color w:val="auto"/>
              </w:rPr>
              <w:t>81.2</w:t>
            </w:r>
          </w:p>
        </w:tc>
        <w:tc>
          <w:tcPr>
            <w:tcW w:w="60" w:type="dxa"/>
            <w:vAlign w:val="bottom"/>
            <w:tcBorders>
              <w:top w:val="single" w:sz="8" w:color="CFF0FC"/>
            </w:tcBorders>
            <w:shd w:val="clear" w:color="auto" w:fill="CFF0FC"/>
          </w:tcPr>
          <w:p>
            <w:pPr>
              <w:spacing w:after="0"/>
              <w:rPr>
                <w:sz w:val="19"/>
                <w:szCs w:val="19"/>
                <w:color w:val="auto"/>
              </w:rPr>
            </w:pPr>
          </w:p>
        </w:tc>
        <w:tc>
          <w:tcPr>
            <w:tcW w:w="340" w:type="dxa"/>
            <w:vAlign w:val="bottom"/>
            <w:tcBorders>
              <w:top w:val="single" w:sz="8" w:color="CFF0FC"/>
            </w:tcBorders>
            <w:shd w:val="clear" w:color="auto" w:fill="CFF0FC"/>
          </w:tcPr>
          <w:p>
            <w:pPr>
              <w:jc w:val="right"/>
              <w:ind w:right="50"/>
              <w:spacing w:after="0"/>
              <w:rPr>
                <w:sz w:val="20"/>
                <w:szCs w:val="20"/>
                <w:color w:val="auto"/>
              </w:rPr>
            </w:pPr>
            <w:r>
              <w:rPr>
                <w:rFonts w:ascii="Arial" w:cs="Arial" w:eastAsia="Arial" w:hAnsi="Arial"/>
                <w:sz w:val="18"/>
                <w:szCs w:val="18"/>
                <w:color w:val="auto"/>
              </w:rPr>
              <w:t>%</w:t>
            </w:r>
          </w:p>
        </w:tc>
        <w:tc>
          <w:tcPr>
            <w:tcW w:w="180" w:type="dxa"/>
            <w:vAlign w:val="bottom"/>
            <w:tcBorders>
              <w:top w:val="single" w:sz="8" w:color="auto"/>
            </w:tcBorders>
            <w:gridSpan w:val="2"/>
            <w:shd w:val="clear" w:color="auto" w:fill="CFF0FC"/>
          </w:tcPr>
          <w:p>
            <w:pPr>
              <w:spacing w:after="0"/>
              <w:rPr>
                <w:sz w:val="20"/>
                <w:szCs w:val="20"/>
                <w:color w:val="auto"/>
              </w:rPr>
            </w:pPr>
            <w:r>
              <w:rPr>
                <w:rFonts w:ascii="Arial" w:cs="Arial" w:eastAsia="Arial" w:hAnsi="Arial"/>
                <w:sz w:val="18"/>
                <w:szCs w:val="18"/>
                <w:color w:val="auto"/>
              </w:rPr>
              <w:t>$</w:t>
            </w:r>
          </w:p>
        </w:tc>
        <w:tc>
          <w:tcPr>
            <w:tcW w:w="7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6,480</w:t>
            </w:r>
          </w:p>
        </w:tc>
        <w:tc>
          <w:tcPr>
            <w:tcW w:w="6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CFF0FC"/>
            </w:tcBorders>
            <w:shd w:val="clear" w:color="auto" w:fill="CFF0FC"/>
          </w:tcPr>
          <w:p>
            <w:pPr>
              <w:spacing w:after="0"/>
              <w:rPr>
                <w:sz w:val="19"/>
                <w:szCs w:val="19"/>
                <w:color w:val="auto"/>
              </w:rPr>
            </w:pPr>
          </w:p>
        </w:tc>
        <w:tc>
          <w:tcPr>
            <w:tcW w:w="760" w:type="dxa"/>
            <w:vAlign w:val="bottom"/>
            <w:tcBorders>
              <w:top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color w:val="auto"/>
              </w:rPr>
              <w:t>79.8</w:t>
            </w:r>
          </w:p>
        </w:tc>
        <w:tc>
          <w:tcPr>
            <w:tcW w:w="20" w:type="dxa"/>
            <w:vAlign w:val="bottom"/>
            <w:tcBorders>
              <w:top w:val="single" w:sz="8" w:color="CFF0FC"/>
            </w:tcBorders>
            <w:shd w:val="clear" w:color="auto" w:fill="CFF0FC"/>
          </w:tcPr>
          <w:p>
            <w:pPr>
              <w:spacing w:after="0"/>
              <w:rPr>
                <w:sz w:val="19"/>
                <w:szCs w:val="19"/>
                <w:color w:val="auto"/>
              </w:rPr>
            </w:pPr>
          </w:p>
        </w:tc>
        <w:tc>
          <w:tcPr>
            <w:tcW w:w="380" w:type="dxa"/>
            <w:vAlign w:val="bottom"/>
            <w:tcBorders>
              <w:top w:val="single" w:sz="8" w:color="CFF0FC"/>
            </w:tcBorders>
            <w:shd w:val="clear" w:color="auto" w:fill="CFF0FC"/>
          </w:tcPr>
          <w:p>
            <w:pPr>
              <w:jc w:val="center"/>
              <w:spacing w:after="0"/>
              <w:rPr>
                <w:sz w:val="20"/>
                <w:szCs w:val="20"/>
                <w:color w:val="auto"/>
              </w:rPr>
            </w:pPr>
            <w:r>
              <w:rPr>
                <w:rFonts w:ascii="Arial" w:cs="Arial" w:eastAsia="Arial" w:hAnsi="Arial"/>
                <w:sz w:val="18"/>
                <w:szCs w:val="18"/>
                <w:color w:val="auto"/>
                <w:w w:val="99"/>
              </w:rPr>
              <w:t>%</w:t>
            </w:r>
          </w:p>
        </w:tc>
        <w:tc>
          <w:tcPr>
            <w:tcW w:w="160" w:type="dxa"/>
            <w:vAlign w:val="bottom"/>
            <w:tcBorders>
              <w:top w:val="single" w:sz="8" w:color="auto"/>
            </w:tcBorders>
            <w:gridSpan w:val="2"/>
            <w:shd w:val="clear" w:color="auto" w:fill="CFF0FC"/>
          </w:tcPr>
          <w:p>
            <w:pPr>
              <w:spacing w:after="0"/>
              <w:rPr>
                <w:sz w:val="20"/>
                <w:szCs w:val="20"/>
                <w:color w:val="auto"/>
              </w:rPr>
            </w:pPr>
            <w:r>
              <w:rPr>
                <w:rFonts w:ascii="Arial" w:cs="Arial" w:eastAsia="Arial" w:hAnsi="Arial"/>
                <w:sz w:val="18"/>
                <w:szCs w:val="18"/>
                <w:color w:val="auto"/>
              </w:rPr>
              <w:t>$</w:t>
            </w:r>
          </w:p>
        </w:tc>
        <w:tc>
          <w:tcPr>
            <w:tcW w:w="7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4,635</w:t>
            </w:r>
          </w:p>
        </w:tc>
        <w:tc>
          <w:tcPr>
            <w:tcW w:w="4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760" w:type="dxa"/>
            <w:vAlign w:val="bottom"/>
            <w:tcBorders>
              <w:top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color w:val="auto"/>
              </w:rPr>
              <w:t>81.4</w:t>
            </w:r>
          </w:p>
        </w:tc>
        <w:tc>
          <w:tcPr>
            <w:tcW w:w="280" w:type="dxa"/>
            <w:vAlign w:val="bottom"/>
            <w:tcBorders>
              <w:top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2220" w:type="dxa"/>
            <w:vAlign w:val="bottom"/>
          </w:tcPr>
          <w:p>
            <w:pPr>
              <w:spacing w:after="0"/>
              <w:rPr>
                <w:sz w:val="20"/>
                <w:szCs w:val="20"/>
                <w:color w:val="auto"/>
              </w:rPr>
            </w:pPr>
            <w:r>
              <w:rPr>
                <w:rFonts w:ascii="Arial" w:cs="Arial" w:eastAsia="Arial" w:hAnsi="Arial"/>
                <w:sz w:val="18"/>
                <w:szCs w:val="18"/>
                <w:color w:val="auto"/>
                <w:w w:val="96"/>
              </w:rPr>
              <w:t>Managed care organizations</w:t>
            </w: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688</w:t>
            </w: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18.2</w:t>
            </w: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477</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15.9</w:t>
            </w:r>
          </w:p>
        </w:tc>
        <w:tc>
          <w:tcPr>
            <w:tcW w:w="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1,495</w:t>
            </w: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18.4</w:t>
            </w:r>
          </w:p>
        </w:tc>
        <w:tc>
          <w:tcPr>
            <w:tcW w:w="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891</w:t>
            </w: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15.6</w:t>
            </w:r>
          </w:p>
        </w:tc>
        <w:tc>
          <w:tcPr>
            <w:tcW w:w="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220" w:type="dxa"/>
            <w:vAlign w:val="bottom"/>
            <w:shd w:val="clear" w:color="auto" w:fill="CFF0FC"/>
          </w:tcPr>
          <w:p>
            <w:pPr>
              <w:spacing w:after="0"/>
              <w:rPr>
                <w:sz w:val="20"/>
                <w:szCs w:val="20"/>
                <w:color w:val="auto"/>
              </w:rPr>
            </w:pPr>
            <w:r>
              <w:rPr>
                <w:rFonts w:ascii="Arial" w:cs="Arial" w:eastAsia="Arial" w:hAnsi="Arial"/>
                <w:sz w:val="18"/>
                <w:szCs w:val="18"/>
                <w:color w:val="auto"/>
              </w:rPr>
              <w:t>Other</w:t>
            </w:r>
          </w:p>
        </w:tc>
        <w:tc>
          <w:tcPr>
            <w:tcW w:w="60" w:type="dxa"/>
            <w:vAlign w:val="bottom"/>
            <w:tcBorders>
              <w:bottom w:val="single" w:sz="8" w:color="auto"/>
            </w:tcBorders>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7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85</w:t>
            </w:r>
          </w:p>
        </w:tc>
        <w:tc>
          <w:tcPr>
            <w:tcW w:w="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20" w:type="dxa"/>
            <w:vAlign w:val="bottom"/>
            <w:tcBorders>
              <w:bottom w:val="single" w:sz="8" w:color="auto"/>
            </w:tcBorders>
            <w:shd w:val="clear" w:color="auto" w:fill="CFF0FC"/>
          </w:tcPr>
          <w:p>
            <w:pPr>
              <w:spacing w:after="0"/>
              <w:rPr>
                <w:sz w:val="19"/>
                <w:szCs w:val="19"/>
                <w:color w:val="auto"/>
              </w:rPr>
            </w:pPr>
          </w:p>
        </w:tc>
        <w:tc>
          <w:tcPr>
            <w:tcW w:w="720" w:type="dxa"/>
            <w:vAlign w:val="bottom"/>
            <w:tcBorders>
              <w:bottom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color w:val="auto"/>
              </w:rPr>
              <w:t>2.2</w:t>
            </w:r>
          </w:p>
        </w:tc>
        <w:tc>
          <w:tcPr>
            <w:tcW w:w="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80" w:type="dxa"/>
            <w:vAlign w:val="bottom"/>
            <w:tcBorders>
              <w:bottom w:val="single" w:sz="8" w:color="auto"/>
            </w:tcBorders>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7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88</w:t>
            </w: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740" w:type="dxa"/>
            <w:vAlign w:val="bottom"/>
            <w:tcBorders>
              <w:bottom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color w:val="auto"/>
              </w:rPr>
              <w:t>2.9</w:t>
            </w:r>
          </w:p>
        </w:tc>
        <w:tc>
          <w:tcPr>
            <w:tcW w:w="6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60" w:type="dxa"/>
            <w:vAlign w:val="bottom"/>
            <w:tcBorders>
              <w:bottom w:val="single" w:sz="8" w:color="auto"/>
            </w:tcBorders>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7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147</w:t>
            </w:r>
          </w:p>
        </w:tc>
        <w:tc>
          <w:tcPr>
            <w:tcW w:w="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760" w:type="dxa"/>
            <w:vAlign w:val="bottom"/>
            <w:tcBorders>
              <w:bottom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color w:val="auto"/>
              </w:rPr>
              <w:t>1.8</w:t>
            </w:r>
          </w:p>
        </w:tc>
        <w:tc>
          <w:tcPr>
            <w:tcW w:w="2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20" w:type="dxa"/>
            <w:vAlign w:val="bottom"/>
            <w:tcBorders>
              <w:bottom w:val="single" w:sz="8" w:color="auto"/>
            </w:tcBorders>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7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171</w:t>
            </w:r>
          </w:p>
        </w:tc>
        <w:tc>
          <w:tcPr>
            <w:tcW w:w="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760" w:type="dxa"/>
            <w:vAlign w:val="bottom"/>
            <w:tcBorders>
              <w:bottom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color w:val="auto"/>
              </w:rPr>
              <w:t>3.0</w:t>
            </w:r>
          </w:p>
        </w:tc>
        <w:tc>
          <w:tcPr>
            <w:tcW w:w="2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2220" w:type="dxa"/>
            <w:vAlign w:val="bottom"/>
          </w:tcPr>
          <w:p>
            <w:pPr>
              <w:spacing w:after="0"/>
              <w:rPr>
                <w:sz w:val="20"/>
                <w:szCs w:val="20"/>
                <w:color w:val="auto"/>
              </w:rPr>
            </w:pPr>
            <w:r>
              <w:rPr>
                <w:rFonts w:ascii="Arial" w:cs="Arial" w:eastAsia="Arial" w:hAnsi="Arial"/>
                <w:sz w:val="18"/>
                <w:szCs w:val="18"/>
                <w:color w:val="auto"/>
                <w:w w:val="98"/>
              </w:rPr>
              <w:t>Total Home Health segment</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0"/>
        </w:trPr>
        <w:tc>
          <w:tcPr>
            <w:tcW w:w="2220" w:type="dxa"/>
            <w:vAlign w:val="bottom"/>
            <w:tcBorders>
              <w:bottom w:val="single" w:sz="8" w:color="CFF0FC"/>
            </w:tcBorders>
          </w:tcPr>
          <w:p>
            <w:pPr>
              <w:ind w:left="140"/>
              <w:spacing w:after="0"/>
              <w:rPr>
                <w:sz w:val="20"/>
                <w:szCs w:val="20"/>
                <w:color w:val="auto"/>
              </w:rPr>
            </w:pPr>
            <w:r>
              <w:rPr>
                <w:rFonts w:ascii="Arial" w:cs="Arial" w:eastAsia="Arial" w:hAnsi="Arial"/>
                <w:sz w:val="18"/>
                <w:szCs w:val="18"/>
                <w:color w:val="auto"/>
              </w:rPr>
              <w:t>net service revenues</w:t>
            </w:r>
          </w:p>
        </w:tc>
        <w:tc>
          <w:tcPr>
            <w:tcW w:w="18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3,783</w:t>
            </w:r>
          </w:p>
        </w:tc>
        <w:tc>
          <w:tcPr>
            <w:tcW w:w="40" w:type="dxa"/>
            <w:vAlign w:val="bottom"/>
            <w:tcBorders>
              <w:bottom w:val="single" w:sz="8" w:color="CFF0FC"/>
            </w:tcBorders>
          </w:tcPr>
          <w:p>
            <w:pPr>
              <w:spacing w:after="0"/>
              <w:rPr>
                <w:sz w:val="23"/>
                <w:szCs w:val="23"/>
                <w:color w:val="auto"/>
              </w:rPr>
            </w:pPr>
          </w:p>
        </w:tc>
        <w:tc>
          <w:tcPr>
            <w:tcW w:w="140" w:type="dxa"/>
            <w:vAlign w:val="bottom"/>
            <w:tcBorders>
              <w:bottom w:val="single" w:sz="8" w:color="CFF0FC"/>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72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100.0</w:t>
            </w:r>
          </w:p>
        </w:tc>
        <w:tc>
          <w:tcPr>
            <w:tcW w:w="80" w:type="dxa"/>
            <w:vAlign w:val="bottom"/>
            <w:tcBorders>
              <w:bottom w:val="single" w:sz="8" w:color="CFF0FC"/>
            </w:tcBorders>
          </w:tcPr>
          <w:p>
            <w:pPr>
              <w:spacing w:after="0"/>
              <w:rPr>
                <w:sz w:val="23"/>
                <w:szCs w:val="23"/>
                <w:color w:val="auto"/>
              </w:rPr>
            </w:pPr>
          </w:p>
        </w:tc>
        <w:tc>
          <w:tcPr>
            <w:tcW w:w="300" w:type="dxa"/>
            <w:vAlign w:val="bottom"/>
            <w:tcBorders>
              <w:bottom w:val="single" w:sz="8" w:color="CFF0FC"/>
            </w:tcBorders>
          </w:tcPr>
          <w:p>
            <w:pPr>
              <w:jc w:val="right"/>
              <w:ind w:right="50"/>
              <w:spacing w:after="0"/>
              <w:rPr>
                <w:sz w:val="20"/>
                <w:szCs w:val="20"/>
                <w:color w:val="auto"/>
              </w:rPr>
            </w:pPr>
            <w:r>
              <w:rPr>
                <w:rFonts w:ascii="Arial" w:cs="Arial" w:eastAsia="Arial" w:hAnsi="Arial"/>
                <w:sz w:val="18"/>
                <w:szCs w:val="18"/>
                <w:color w:val="auto"/>
                <w:w w:val="87"/>
              </w:rPr>
              <w:t>%</w:t>
            </w:r>
          </w:p>
        </w:tc>
        <w:tc>
          <w:tcPr>
            <w:tcW w:w="20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3,001</w:t>
            </w:r>
          </w:p>
        </w:tc>
        <w:tc>
          <w:tcPr>
            <w:tcW w:w="80" w:type="dxa"/>
            <w:vAlign w:val="bottom"/>
            <w:tcBorders>
              <w:bottom w:val="single" w:sz="8" w:color="CFF0FC"/>
            </w:tcBorders>
          </w:tcPr>
          <w:p>
            <w:pPr>
              <w:spacing w:after="0"/>
              <w:rPr>
                <w:sz w:val="23"/>
                <w:szCs w:val="23"/>
                <w:color w:val="auto"/>
              </w:rPr>
            </w:pPr>
          </w:p>
        </w:tc>
        <w:tc>
          <w:tcPr>
            <w:tcW w:w="100" w:type="dxa"/>
            <w:vAlign w:val="bottom"/>
            <w:tcBorders>
              <w:bottom w:val="single" w:sz="8" w:color="CFF0FC"/>
            </w:tcBorders>
          </w:tcPr>
          <w:p>
            <w:pPr>
              <w:spacing w:after="0"/>
              <w:rPr>
                <w:sz w:val="23"/>
                <w:szCs w:val="23"/>
                <w:color w:val="auto"/>
              </w:rPr>
            </w:pPr>
          </w:p>
        </w:tc>
        <w:tc>
          <w:tcPr>
            <w:tcW w:w="40" w:type="dxa"/>
            <w:vAlign w:val="bottom"/>
            <w:tcBorders>
              <w:bottom w:val="single" w:sz="8" w:color="CFF0FC"/>
            </w:tcBorders>
          </w:tcPr>
          <w:p>
            <w:pPr>
              <w:spacing w:after="0"/>
              <w:rPr>
                <w:sz w:val="23"/>
                <w:szCs w:val="23"/>
                <w:color w:val="auto"/>
              </w:rPr>
            </w:pPr>
          </w:p>
        </w:tc>
        <w:tc>
          <w:tcPr>
            <w:tcW w:w="74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100.0</w:t>
            </w:r>
          </w:p>
        </w:tc>
        <w:tc>
          <w:tcPr>
            <w:tcW w:w="60" w:type="dxa"/>
            <w:vAlign w:val="bottom"/>
            <w:tcBorders>
              <w:bottom w:val="single" w:sz="8" w:color="CFF0FC"/>
            </w:tcBorders>
          </w:tcPr>
          <w:p>
            <w:pPr>
              <w:spacing w:after="0"/>
              <w:rPr>
                <w:sz w:val="23"/>
                <w:szCs w:val="23"/>
                <w:color w:val="auto"/>
              </w:rPr>
            </w:pPr>
          </w:p>
        </w:tc>
        <w:tc>
          <w:tcPr>
            <w:tcW w:w="340" w:type="dxa"/>
            <w:vAlign w:val="bottom"/>
            <w:tcBorders>
              <w:bottom w:val="single" w:sz="8" w:color="CFF0FC"/>
            </w:tcBorders>
          </w:tcPr>
          <w:p>
            <w:pPr>
              <w:jc w:val="right"/>
              <w:ind w:right="5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8,122</w:t>
            </w:r>
          </w:p>
        </w:tc>
        <w:tc>
          <w:tcPr>
            <w:tcW w:w="60" w:type="dxa"/>
            <w:vAlign w:val="bottom"/>
            <w:tcBorders>
              <w:bottom w:val="single" w:sz="8" w:color="CFF0FC"/>
            </w:tcBorders>
          </w:tcPr>
          <w:p>
            <w:pPr>
              <w:spacing w:after="0"/>
              <w:rPr>
                <w:sz w:val="23"/>
                <w:szCs w:val="23"/>
                <w:color w:val="auto"/>
              </w:rPr>
            </w:pPr>
          </w:p>
        </w:tc>
        <w:tc>
          <w:tcPr>
            <w:tcW w:w="160" w:type="dxa"/>
            <w:vAlign w:val="bottom"/>
            <w:tcBorders>
              <w:bottom w:val="single" w:sz="8" w:color="CFF0FC"/>
            </w:tcBorders>
          </w:tcPr>
          <w:p>
            <w:pPr>
              <w:spacing w:after="0"/>
              <w:rPr>
                <w:sz w:val="23"/>
                <w:szCs w:val="23"/>
                <w:color w:val="auto"/>
              </w:rPr>
            </w:pPr>
          </w:p>
        </w:tc>
        <w:tc>
          <w:tcPr>
            <w:tcW w:w="76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100.0</w:t>
            </w:r>
          </w:p>
        </w:tc>
        <w:tc>
          <w:tcPr>
            <w:tcW w:w="20" w:type="dxa"/>
            <w:vAlign w:val="bottom"/>
            <w:tcBorders>
              <w:bottom w:val="single" w:sz="8" w:color="CFF0FC"/>
            </w:tcBorders>
          </w:tcPr>
          <w:p>
            <w:pPr>
              <w:spacing w:after="0"/>
              <w:rPr>
                <w:sz w:val="23"/>
                <w:szCs w:val="23"/>
                <w:color w:val="auto"/>
              </w:rPr>
            </w:pPr>
          </w:p>
        </w:tc>
        <w:tc>
          <w:tcPr>
            <w:tcW w:w="380" w:type="dxa"/>
            <w:vAlign w:val="bottom"/>
            <w:tcBorders>
              <w:bottom w:val="single" w:sz="8" w:color="CFF0FC"/>
            </w:tcBorders>
          </w:tcPr>
          <w:p>
            <w:pPr>
              <w:jc w:val="center"/>
              <w:spacing w:after="0"/>
              <w:rPr>
                <w:sz w:val="20"/>
                <w:szCs w:val="20"/>
                <w:color w:val="auto"/>
              </w:rPr>
            </w:pPr>
            <w:r>
              <w:rPr>
                <w:rFonts w:ascii="Arial" w:cs="Arial" w:eastAsia="Arial" w:hAnsi="Arial"/>
                <w:sz w:val="18"/>
                <w:szCs w:val="18"/>
                <w:color w:val="auto"/>
                <w:w w:val="99"/>
              </w:rPr>
              <w:t>%</w:t>
            </w:r>
          </w:p>
        </w:tc>
        <w:tc>
          <w:tcPr>
            <w:tcW w:w="16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5,697</w:t>
            </w:r>
          </w:p>
        </w:tc>
        <w:tc>
          <w:tcPr>
            <w:tcW w:w="40" w:type="dxa"/>
            <w:vAlign w:val="bottom"/>
            <w:tcBorders>
              <w:bottom w:val="single" w:sz="8" w:color="CFF0FC"/>
            </w:tcBorders>
          </w:tcPr>
          <w:p>
            <w:pPr>
              <w:spacing w:after="0"/>
              <w:rPr>
                <w:sz w:val="23"/>
                <w:szCs w:val="23"/>
                <w:color w:val="auto"/>
              </w:rPr>
            </w:pPr>
          </w:p>
        </w:tc>
        <w:tc>
          <w:tcPr>
            <w:tcW w:w="100" w:type="dxa"/>
            <w:vAlign w:val="bottom"/>
            <w:tcBorders>
              <w:bottom w:val="single" w:sz="8" w:color="CFF0FC"/>
            </w:tcBorders>
          </w:tcPr>
          <w:p>
            <w:pPr>
              <w:spacing w:after="0"/>
              <w:rPr>
                <w:sz w:val="23"/>
                <w:szCs w:val="23"/>
                <w:color w:val="auto"/>
              </w:rPr>
            </w:pPr>
          </w:p>
        </w:tc>
        <w:tc>
          <w:tcPr>
            <w:tcW w:w="80" w:type="dxa"/>
            <w:vAlign w:val="bottom"/>
            <w:tcBorders>
              <w:bottom w:val="single" w:sz="8" w:color="CFF0FC"/>
            </w:tcBorders>
          </w:tcPr>
          <w:p>
            <w:pPr>
              <w:spacing w:after="0"/>
              <w:rPr>
                <w:sz w:val="23"/>
                <w:szCs w:val="23"/>
                <w:color w:val="auto"/>
              </w:rPr>
            </w:pPr>
          </w:p>
        </w:tc>
        <w:tc>
          <w:tcPr>
            <w:tcW w:w="76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100.0</w:t>
            </w:r>
          </w:p>
        </w:tc>
        <w:tc>
          <w:tcPr>
            <w:tcW w:w="280" w:type="dxa"/>
            <w:vAlign w:val="bottom"/>
            <w:tcBorders>
              <w:bottom w:val="single" w:sz="8" w:color="CFF0FC"/>
            </w:tcBorders>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2220" w:type="dxa"/>
            <w:vAlign w:val="bottom"/>
            <w:shd w:val="clear" w:color="auto" w:fill="CFF0FC"/>
          </w:tcPr>
          <w:p>
            <w:pPr>
              <w:spacing w:after="0"/>
              <w:rPr>
                <w:sz w:val="20"/>
                <w:szCs w:val="20"/>
                <w:color w:val="auto"/>
              </w:rPr>
            </w:pPr>
            <w:r>
              <w:rPr>
                <w:rFonts w:ascii="Arial" w:cs="Arial" w:eastAsia="Arial" w:hAnsi="Arial"/>
                <w:sz w:val="18"/>
                <w:szCs w:val="18"/>
                <w:color w:val="auto"/>
              </w:rPr>
              <w:t>New Mexico</w:t>
            </w:r>
          </w:p>
        </w:tc>
        <w:tc>
          <w:tcPr>
            <w:tcW w:w="180" w:type="dxa"/>
            <w:vAlign w:val="bottom"/>
            <w:tcBorders>
              <w:bottom w:val="single" w:sz="8" w:color="auto"/>
            </w:tcBorders>
            <w:gridSpan w:val="2"/>
            <w:shd w:val="clear" w:color="auto" w:fill="CFF0FC"/>
          </w:tcPr>
          <w:p>
            <w:pPr>
              <w:spacing w:after="0"/>
              <w:rPr>
                <w:sz w:val="20"/>
                <w:szCs w:val="20"/>
                <w:color w:val="auto"/>
              </w:rPr>
            </w:pPr>
            <w:r>
              <w:rPr>
                <w:rFonts w:ascii="Arial" w:cs="Arial" w:eastAsia="Arial" w:hAnsi="Arial"/>
                <w:sz w:val="18"/>
                <w:szCs w:val="18"/>
                <w:color w:val="auto"/>
              </w:rPr>
              <w:t>$</w:t>
            </w:r>
          </w:p>
        </w:tc>
        <w:tc>
          <w:tcPr>
            <w:tcW w:w="7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3,783</w:t>
            </w:r>
          </w:p>
        </w:tc>
        <w:tc>
          <w:tcPr>
            <w:tcW w:w="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20" w:type="dxa"/>
            <w:vAlign w:val="bottom"/>
            <w:tcBorders>
              <w:bottom w:val="single" w:sz="8" w:color="auto"/>
            </w:tcBorders>
            <w:shd w:val="clear" w:color="auto" w:fill="CFF0FC"/>
          </w:tcPr>
          <w:p>
            <w:pPr>
              <w:spacing w:after="0"/>
              <w:rPr>
                <w:sz w:val="18"/>
                <w:szCs w:val="18"/>
                <w:color w:val="auto"/>
              </w:rPr>
            </w:pPr>
          </w:p>
        </w:tc>
        <w:tc>
          <w:tcPr>
            <w:tcW w:w="720" w:type="dxa"/>
            <w:vAlign w:val="bottom"/>
            <w:tcBorders>
              <w:bottom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color w:val="auto"/>
              </w:rPr>
              <w:t>100.0</w:t>
            </w:r>
          </w:p>
        </w:tc>
        <w:tc>
          <w:tcPr>
            <w:tcW w:w="80" w:type="dxa"/>
            <w:vAlign w:val="bottom"/>
            <w:shd w:val="clear" w:color="auto" w:fill="CFF0FC"/>
          </w:tcPr>
          <w:p>
            <w:pPr>
              <w:spacing w:after="0"/>
              <w:rPr>
                <w:sz w:val="18"/>
                <w:szCs w:val="18"/>
                <w:color w:val="auto"/>
              </w:rPr>
            </w:pPr>
          </w:p>
        </w:tc>
        <w:tc>
          <w:tcPr>
            <w:tcW w:w="30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w w:val="87"/>
              </w:rPr>
              <w:t>%</w:t>
            </w:r>
          </w:p>
        </w:tc>
        <w:tc>
          <w:tcPr>
            <w:tcW w:w="200" w:type="dxa"/>
            <w:vAlign w:val="bottom"/>
            <w:tcBorders>
              <w:bottom w:val="single" w:sz="8" w:color="auto"/>
            </w:tcBorders>
            <w:gridSpan w:val="2"/>
            <w:shd w:val="clear" w:color="auto" w:fill="CFF0FC"/>
          </w:tcPr>
          <w:p>
            <w:pPr>
              <w:spacing w:after="0"/>
              <w:rPr>
                <w:sz w:val="20"/>
                <w:szCs w:val="20"/>
                <w:color w:val="auto"/>
              </w:rPr>
            </w:pPr>
            <w:r>
              <w:rPr>
                <w:rFonts w:ascii="Arial" w:cs="Arial" w:eastAsia="Arial" w:hAnsi="Arial"/>
                <w:sz w:val="18"/>
                <w:szCs w:val="18"/>
                <w:color w:val="auto"/>
              </w:rPr>
              <w:t>$</w:t>
            </w:r>
          </w:p>
        </w:tc>
        <w:tc>
          <w:tcPr>
            <w:tcW w:w="7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3,001</w:t>
            </w:r>
          </w:p>
        </w:tc>
        <w:tc>
          <w:tcPr>
            <w:tcW w:w="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740" w:type="dxa"/>
            <w:vAlign w:val="bottom"/>
            <w:tcBorders>
              <w:bottom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color w:val="auto"/>
              </w:rPr>
              <w:t>100.0</w:t>
            </w:r>
          </w:p>
        </w:tc>
        <w:tc>
          <w:tcPr>
            <w:tcW w:w="60" w:type="dxa"/>
            <w:vAlign w:val="bottom"/>
            <w:shd w:val="clear" w:color="auto" w:fill="CFF0FC"/>
          </w:tcPr>
          <w:p>
            <w:pPr>
              <w:spacing w:after="0"/>
              <w:rPr>
                <w:sz w:val="18"/>
                <w:szCs w:val="18"/>
                <w:color w:val="auto"/>
              </w:rPr>
            </w:pPr>
          </w:p>
        </w:tc>
        <w:tc>
          <w:tcPr>
            <w:tcW w:w="3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auto"/>
            </w:tcBorders>
            <w:gridSpan w:val="2"/>
            <w:shd w:val="clear" w:color="auto" w:fill="CFF0FC"/>
          </w:tcPr>
          <w:p>
            <w:pPr>
              <w:spacing w:after="0"/>
              <w:rPr>
                <w:sz w:val="20"/>
                <w:szCs w:val="20"/>
                <w:color w:val="auto"/>
              </w:rPr>
            </w:pPr>
            <w:r>
              <w:rPr>
                <w:rFonts w:ascii="Arial" w:cs="Arial" w:eastAsia="Arial" w:hAnsi="Arial"/>
                <w:sz w:val="18"/>
                <w:szCs w:val="18"/>
                <w:color w:val="auto"/>
              </w:rPr>
              <w:t>$</w:t>
            </w:r>
          </w:p>
        </w:tc>
        <w:tc>
          <w:tcPr>
            <w:tcW w:w="7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8,122</w:t>
            </w:r>
          </w:p>
        </w:tc>
        <w:tc>
          <w:tcPr>
            <w:tcW w:w="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760" w:type="dxa"/>
            <w:vAlign w:val="bottom"/>
            <w:tcBorders>
              <w:bottom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color w:val="auto"/>
              </w:rPr>
              <w:t>100.0</w:t>
            </w:r>
          </w:p>
        </w:tc>
        <w:tc>
          <w:tcPr>
            <w:tcW w:w="20" w:type="dxa"/>
            <w:vAlign w:val="bottom"/>
            <w:shd w:val="clear" w:color="auto" w:fill="CFF0FC"/>
          </w:tcPr>
          <w:p>
            <w:pPr>
              <w:spacing w:after="0"/>
              <w:rPr>
                <w:sz w:val="18"/>
                <w:szCs w:val="18"/>
                <w:color w:val="auto"/>
              </w:rPr>
            </w:pPr>
          </w:p>
        </w:tc>
        <w:tc>
          <w:tcPr>
            <w:tcW w:w="38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9"/>
              </w:rPr>
              <w:t>%</w:t>
            </w:r>
          </w:p>
        </w:tc>
        <w:tc>
          <w:tcPr>
            <w:tcW w:w="160" w:type="dxa"/>
            <w:vAlign w:val="bottom"/>
            <w:tcBorders>
              <w:bottom w:val="single" w:sz="8" w:color="auto"/>
            </w:tcBorders>
            <w:gridSpan w:val="2"/>
            <w:shd w:val="clear" w:color="auto" w:fill="CFF0FC"/>
          </w:tcPr>
          <w:p>
            <w:pPr>
              <w:spacing w:after="0"/>
              <w:rPr>
                <w:sz w:val="20"/>
                <w:szCs w:val="20"/>
                <w:color w:val="auto"/>
              </w:rPr>
            </w:pPr>
            <w:r>
              <w:rPr>
                <w:rFonts w:ascii="Arial" w:cs="Arial" w:eastAsia="Arial" w:hAnsi="Arial"/>
                <w:sz w:val="18"/>
                <w:szCs w:val="18"/>
                <w:color w:val="auto"/>
              </w:rPr>
              <w:t>$</w:t>
            </w:r>
          </w:p>
        </w:tc>
        <w:tc>
          <w:tcPr>
            <w:tcW w:w="7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5,697</w:t>
            </w:r>
          </w:p>
        </w:tc>
        <w:tc>
          <w:tcPr>
            <w:tcW w:w="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760" w:type="dxa"/>
            <w:vAlign w:val="bottom"/>
            <w:tcBorders>
              <w:bottom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color w:val="auto"/>
              </w:rPr>
              <w:t>100.0</w:t>
            </w:r>
          </w:p>
        </w:tc>
        <w:tc>
          <w:tcPr>
            <w:tcW w:w="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9"/>
        </w:trPr>
        <w:tc>
          <w:tcPr>
            <w:tcW w:w="2220" w:type="dxa"/>
            <w:vAlign w:val="bottom"/>
          </w:tcPr>
          <w:p>
            <w:pPr>
              <w:spacing w:after="0"/>
              <w:rPr>
                <w:sz w:val="20"/>
                <w:szCs w:val="20"/>
                <w:color w:val="auto"/>
              </w:rPr>
            </w:pPr>
            <w:r>
              <w:rPr>
                <w:rFonts w:ascii="Arial" w:cs="Arial" w:eastAsia="Arial" w:hAnsi="Arial"/>
                <w:sz w:val="18"/>
                <w:szCs w:val="18"/>
                <w:color w:val="auto"/>
                <w:w w:val="98"/>
              </w:rPr>
              <w:t>Total Home Health segment</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220" w:type="dxa"/>
            <w:vAlign w:val="bottom"/>
          </w:tcPr>
          <w:p>
            <w:pPr>
              <w:ind w:left="140"/>
              <w:spacing w:after="0"/>
              <w:rPr>
                <w:sz w:val="20"/>
                <w:szCs w:val="20"/>
                <w:color w:val="auto"/>
              </w:rPr>
            </w:pPr>
            <w:r>
              <w:rPr>
                <w:rFonts w:ascii="Arial" w:cs="Arial" w:eastAsia="Arial" w:hAnsi="Arial"/>
                <w:sz w:val="18"/>
                <w:szCs w:val="18"/>
                <w:color w:val="auto"/>
              </w:rPr>
              <w:t>net service revenues</w:t>
            </w:r>
          </w:p>
        </w:tc>
        <w:tc>
          <w:tcPr>
            <w:tcW w:w="18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3,783</w:t>
            </w:r>
          </w:p>
        </w:tc>
        <w:tc>
          <w:tcPr>
            <w:tcW w:w="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100.0</w:t>
            </w:r>
          </w:p>
        </w:tc>
        <w:tc>
          <w:tcPr>
            <w:tcW w:w="80" w:type="dxa"/>
            <w:vAlign w:val="bottom"/>
          </w:tcPr>
          <w:p>
            <w:pPr>
              <w:spacing w:after="0"/>
              <w:rPr>
                <w:sz w:val="20"/>
                <w:szCs w:val="20"/>
                <w:color w:val="auto"/>
              </w:rPr>
            </w:pPr>
          </w:p>
        </w:tc>
        <w:tc>
          <w:tcPr>
            <w:tcW w:w="300" w:type="dxa"/>
            <w:vAlign w:val="bottom"/>
          </w:tcPr>
          <w:p>
            <w:pPr>
              <w:jc w:val="right"/>
              <w:ind w:right="50"/>
              <w:spacing w:after="0"/>
              <w:rPr>
                <w:sz w:val="20"/>
                <w:szCs w:val="20"/>
                <w:color w:val="auto"/>
              </w:rPr>
            </w:pPr>
            <w:r>
              <w:rPr>
                <w:rFonts w:ascii="Arial" w:cs="Arial" w:eastAsia="Arial" w:hAnsi="Arial"/>
                <w:sz w:val="18"/>
                <w:szCs w:val="18"/>
                <w:color w:val="auto"/>
                <w:w w:val="87"/>
              </w:rPr>
              <w:t>%</w:t>
            </w:r>
          </w:p>
        </w:tc>
        <w:tc>
          <w:tcPr>
            <w:tcW w:w="20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3,001</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74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100.0</w:t>
            </w:r>
          </w:p>
        </w:tc>
        <w:tc>
          <w:tcPr>
            <w:tcW w:w="60" w:type="dxa"/>
            <w:vAlign w:val="bottom"/>
          </w:tcPr>
          <w:p>
            <w:pPr>
              <w:spacing w:after="0"/>
              <w:rPr>
                <w:sz w:val="20"/>
                <w:szCs w:val="20"/>
                <w:color w:val="auto"/>
              </w:rPr>
            </w:pPr>
          </w:p>
        </w:tc>
        <w:tc>
          <w:tcPr>
            <w:tcW w:w="34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8,122</w:t>
            </w: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6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100.0</w:t>
            </w:r>
          </w:p>
        </w:tc>
        <w:tc>
          <w:tcPr>
            <w:tcW w:w="20" w:type="dxa"/>
            <w:vAlign w:val="bottom"/>
          </w:tcPr>
          <w:p>
            <w:pPr>
              <w:spacing w:after="0"/>
              <w:rPr>
                <w:sz w:val="20"/>
                <w:szCs w:val="20"/>
                <w:color w:val="auto"/>
              </w:rPr>
            </w:pPr>
          </w:p>
        </w:tc>
        <w:tc>
          <w:tcPr>
            <w:tcW w:w="38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16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5,697</w:t>
            </w: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6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100.0</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222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20" w:type="dxa"/>
            <w:vAlign w:val="bottom"/>
            <w:gridSpan w:val="3"/>
          </w:tcPr>
          <w:p>
            <w:pPr>
              <w:spacing w:after="0" w:line="20" w:lineRule="exact"/>
              <w:rPr>
                <w:sz w:val="1"/>
                <w:szCs w:val="1"/>
                <w:color w:val="auto"/>
              </w:rPr>
            </w:pPr>
          </w:p>
        </w:tc>
        <w:tc>
          <w:tcPr>
            <w:tcW w:w="740" w:type="dxa"/>
            <w:vAlign w:val="bottom"/>
            <w:tcBorders>
              <w:bottom w:val="single" w:sz="8" w:color="auto"/>
            </w:tcBorders>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3"/>
        </w:trPr>
        <w:tc>
          <w:tcPr>
            <w:tcW w:w="2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700" w:type="dxa"/>
            <w:vAlign w:val="bottom"/>
            <w:gridSpan w:val="6"/>
          </w:tcPr>
          <w:p>
            <w:pPr>
              <w:jc w:val="right"/>
              <w:ind w:right="587"/>
              <w:spacing w:after="0"/>
              <w:rPr>
                <w:sz w:val="20"/>
                <w:szCs w:val="20"/>
                <w:color w:val="auto"/>
              </w:rPr>
            </w:pPr>
            <w:r>
              <w:rPr>
                <w:rFonts w:ascii="Arial" w:cs="Arial" w:eastAsia="Arial" w:hAnsi="Arial"/>
                <w:sz w:val="16"/>
                <w:szCs w:val="16"/>
                <w:color w:val="auto"/>
              </w:rPr>
              <w:t>24</w:t>
            </w:r>
          </w:p>
        </w:tc>
        <w:tc>
          <w:tcPr>
            <w:tcW w:w="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7"/>
        </w:trPr>
        <w:tc>
          <w:tcPr>
            <w:tcW w:w="222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76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66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74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66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34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74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70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38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76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74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-8255</wp:posOffset>
            </wp:positionV>
            <wp:extent cx="8255"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96"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14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2240" w:type="dxa"/>
            <w:vAlign w:val="bottom"/>
            <w:tcBorders>
              <w:bottom w:val="single" w:sz="8" w:color="auto"/>
            </w:tcBorders>
            <w:gridSpan w:val="5"/>
          </w:tcPr>
          <w:p>
            <w:pPr>
              <w:jc w:val="center"/>
              <w:ind w:right="320"/>
              <w:spacing w:after="0"/>
              <w:rPr>
                <w:sz w:val="20"/>
                <w:szCs w:val="20"/>
                <w:color w:val="auto"/>
              </w:rPr>
            </w:pPr>
            <w:r>
              <w:rPr>
                <w:rFonts w:ascii="Arial" w:cs="Arial" w:eastAsia="Arial" w:hAnsi="Arial"/>
                <w:sz w:val="14"/>
                <w:szCs w:val="14"/>
                <w:b w:val="1"/>
                <w:bCs w:val="1"/>
                <w:color w:val="auto"/>
                <w:w w:val="93"/>
              </w:rPr>
              <w:t>Personal Care</w:t>
            </w:r>
          </w:p>
        </w:tc>
        <w:tc>
          <w:tcPr>
            <w:tcW w:w="6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214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3300" w:type="dxa"/>
            <w:vAlign w:val="bottom"/>
            <w:tcBorders>
              <w:bottom w:val="single" w:sz="8" w:color="auto"/>
            </w:tcBorders>
            <w:gridSpan w:val="7"/>
          </w:tcPr>
          <w:p>
            <w:pPr>
              <w:jc w:val="center"/>
              <w:ind w:left="517"/>
              <w:spacing w:after="0" w:line="155" w:lineRule="exact"/>
              <w:rPr>
                <w:sz w:val="20"/>
                <w:szCs w:val="20"/>
                <w:color w:val="auto"/>
              </w:rPr>
            </w:pPr>
            <w:r>
              <w:rPr>
                <w:rFonts w:ascii="Arial" w:cs="Arial" w:eastAsia="Arial" w:hAnsi="Arial"/>
                <w:sz w:val="14"/>
                <w:szCs w:val="14"/>
                <w:b w:val="1"/>
                <w:bCs w:val="1"/>
                <w:color w:val="auto"/>
                <w:w w:val="93"/>
              </w:rPr>
              <w:t>For the Three Months Ended June 30,</w:t>
            </w:r>
          </w:p>
        </w:tc>
        <w:tc>
          <w:tcPr>
            <w:tcW w:w="760" w:type="dxa"/>
            <w:vAlign w:val="bottom"/>
            <w:tcBorders>
              <w:bottom w:val="single" w:sz="8" w:color="auto"/>
            </w:tcBorders>
          </w:tcPr>
          <w:p>
            <w:pPr>
              <w:spacing w:after="0"/>
              <w:rPr>
                <w:sz w:val="13"/>
                <w:szCs w:val="13"/>
                <w:color w:val="auto"/>
              </w:rPr>
            </w:pPr>
          </w:p>
        </w:tc>
        <w:tc>
          <w:tcPr>
            <w:tcW w:w="40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2360" w:type="dxa"/>
            <w:vAlign w:val="bottom"/>
            <w:tcBorders>
              <w:bottom w:val="single" w:sz="8" w:color="auto"/>
            </w:tcBorders>
            <w:gridSpan w:val="7"/>
          </w:tcPr>
          <w:p>
            <w:pPr>
              <w:jc w:val="center"/>
              <w:ind w:right="320"/>
              <w:spacing w:after="0"/>
              <w:rPr>
                <w:sz w:val="20"/>
                <w:szCs w:val="20"/>
                <w:color w:val="auto"/>
              </w:rPr>
            </w:pPr>
            <w:r>
              <w:rPr>
                <w:rFonts w:ascii="Arial" w:cs="Arial" w:eastAsia="Arial" w:hAnsi="Arial"/>
                <w:sz w:val="13"/>
                <w:szCs w:val="13"/>
                <w:b w:val="1"/>
                <w:bCs w:val="1"/>
                <w:color w:val="auto"/>
                <w:w w:val="94"/>
              </w:rPr>
              <w:t>For the Six Months Ended June 30,</w:t>
            </w:r>
          </w:p>
        </w:tc>
        <w:tc>
          <w:tcPr>
            <w:tcW w:w="780" w:type="dxa"/>
            <w:vAlign w:val="bottom"/>
            <w:tcBorders>
              <w:bottom w:val="single" w:sz="8" w:color="auto"/>
            </w:tcBorders>
          </w:tcPr>
          <w:p>
            <w:pPr>
              <w:spacing w:after="0"/>
              <w:rPr>
                <w:sz w:val="13"/>
                <w:szCs w:val="13"/>
                <w:color w:val="auto"/>
              </w:rPr>
            </w:pPr>
          </w:p>
        </w:tc>
        <w:tc>
          <w:tcPr>
            <w:tcW w:w="2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214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gridSpan w:val="2"/>
          </w:tcPr>
          <w:p>
            <w:pPr>
              <w:jc w:val="right"/>
              <w:ind w:right="60"/>
              <w:spacing w:after="0" w:line="155" w:lineRule="exact"/>
              <w:rPr>
                <w:sz w:val="20"/>
                <w:szCs w:val="20"/>
                <w:color w:val="auto"/>
              </w:rPr>
            </w:pPr>
            <w:r>
              <w:rPr>
                <w:rFonts w:ascii="Arial" w:cs="Arial" w:eastAsia="Arial" w:hAnsi="Arial"/>
                <w:sz w:val="14"/>
                <w:szCs w:val="14"/>
                <w:b w:val="1"/>
                <w:bCs w:val="1"/>
                <w:color w:val="auto"/>
              </w:rPr>
              <w:t>2020</w:t>
            </w:r>
          </w:p>
        </w:tc>
        <w:tc>
          <w:tcPr>
            <w:tcW w:w="760" w:type="dxa"/>
            <w:vAlign w:val="bottom"/>
            <w:tcBorders>
              <w:bottom w:val="single" w:sz="8" w:color="auto"/>
            </w:tcBorders>
          </w:tcPr>
          <w:p>
            <w:pPr>
              <w:spacing w:after="0"/>
              <w:rPr>
                <w:sz w:val="13"/>
                <w:szCs w:val="13"/>
                <w:color w:val="auto"/>
              </w:rPr>
            </w:pPr>
          </w:p>
        </w:tc>
        <w:tc>
          <w:tcPr>
            <w:tcW w:w="40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gridSpan w:val="2"/>
          </w:tcPr>
          <w:p>
            <w:pPr>
              <w:jc w:val="right"/>
              <w:ind w:right="60"/>
              <w:spacing w:after="0" w:line="155" w:lineRule="exact"/>
              <w:rPr>
                <w:sz w:val="20"/>
                <w:szCs w:val="20"/>
                <w:color w:val="auto"/>
              </w:rPr>
            </w:pPr>
            <w:r>
              <w:rPr>
                <w:rFonts w:ascii="Arial" w:cs="Arial" w:eastAsia="Arial" w:hAnsi="Arial"/>
                <w:sz w:val="14"/>
                <w:szCs w:val="14"/>
                <w:b w:val="1"/>
                <w:bCs w:val="1"/>
                <w:color w:val="auto"/>
              </w:rPr>
              <w:t>2019</w:t>
            </w:r>
          </w:p>
        </w:tc>
        <w:tc>
          <w:tcPr>
            <w:tcW w:w="760" w:type="dxa"/>
            <w:vAlign w:val="bottom"/>
            <w:tcBorders>
              <w:bottom w:val="single" w:sz="8" w:color="auto"/>
            </w:tcBorders>
          </w:tcPr>
          <w:p>
            <w:pPr>
              <w:spacing w:after="0"/>
              <w:rPr>
                <w:sz w:val="13"/>
                <w:szCs w:val="13"/>
                <w:color w:val="auto"/>
              </w:rPr>
            </w:pPr>
          </w:p>
        </w:tc>
        <w:tc>
          <w:tcPr>
            <w:tcW w:w="40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940" w:type="dxa"/>
            <w:vAlign w:val="bottom"/>
            <w:tcBorders>
              <w:bottom w:val="single" w:sz="8" w:color="auto"/>
            </w:tcBorders>
            <w:gridSpan w:val="2"/>
          </w:tcPr>
          <w:p>
            <w:pPr>
              <w:jc w:val="right"/>
              <w:spacing w:after="0"/>
              <w:rPr>
                <w:sz w:val="20"/>
                <w:szCs w:val="20"/>
                <w:color w:val="auto"/>
              </w:rPr>
            </w:pPr>
            <w:r>
              <w:rPr>
                <w:rFonts w:ascii="Arial" w:cs="Arial" w:eastAsia="Arial" w:hAnsi="Arial"/>
                <w:sz w:val="13"/>
                <w:szCs w:val="13"/>
                <w:b w:val="1"/>
                <w:bCs w:val="1"/>
                <w:color w:val="auto"/>
              </w:rPr>
              <w:t>2020</w:t>
            </w:r>
          </w:p>
        </w:tc>
        <w:tc>
          <w:tcPr>
            <w:tcW w:w="6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spacing w:after="0"/>
              <w:rPr>
                <w:sz w:val="13"/>
                <w:szCs w:val="13"/>
                <w:color w:val="auto"/>
              </w:rPr>
            </w:pPr>
          </w:p>
        </w:tc>
        <w:tc>
          <w:tcPr>
            <w:tcW w:w="3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3"/>
                <w:szCs w:val="13"/>
                <w:b w:val="1"/>
                <w:bCs w:val="1"/>
                <w:color w:val="auto"/>
              </w:rPr>
              <w:t>2019</w:t>
            </w:r>
          </w:p>
        </w:tc>
        <w:tc>
          <w:tcPr>
            <w:tcW w:w="780" w:type="dxa"/>
            <w:vAlign w:val="bottom"/>
            <w:tcBorders>
              <w:bottom w:val="single" w:sz="8" w:color="auto"/>
            </w:tcBorders>
          </w:tcPr>
          <w:p>
            <w:pPr>
              <w:spacing w:after="0"/>
              <w:rPr>
                <w:sz w:val="13"/>
                <w:szCs w:val="13"/>
                <w:color w:val="auto"/>
              </w:rPr>
            </w:pPr>
          </w:p>
        </w:tc>
        <w:tc>
          <w:tcPr>
            <w:tcW w:w="2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3"/>
        </w:trPr>
        <w:tc>
          <w:tcPr>
            <w:tcW w:w="2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60" w:type="dxa"/>
            <w:vAlign w:val="bottom"/>
          </w:tcPr>
          <w:p>
            <w:pPr>
              <w:jc w:val="center"/>
              <w:spacing w:after="0" w:line="133" w:lineRule="exact"/>
              <w:rPr>
                <w:sz w:val="20"/>
                <w:szCs w:val="20"/>
                <w:color w:val="auto"/>
              </w:rPr>
            </w:pPr>
            <w:r>
              <w:rPr>
                <w:rFonts w:ascii="Arial" w:cs="Arial" w:eastAsia="Arial" w:hAnsi="Arial"/>
                <w:sz w:val="14"/>
                <w:szCs w:val="14"/>
                <w:b w:val="1"/>
                <w:bCs w:val="1"/>
                <w:color w:val="auto"/>
                <w:w w:val="94"/>
              </w:rPr>
              <w:t>% of</w:t>
            </w:r>
          </w:p>
        </w:tc>
        <w:tc>
          <w:tcPr>
            <w:tcW w:w="4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60" w:type="dxa"/>
            <w:vAlign w:val="bottom"/>
          </w:tcPr>
          <w:p>
            <w:pPr>
              <w:jc w:val="center"/>
              <w:spacing w:after="0" w:line="133" w:lineRule="exact"/>
              <w:rPr>
                <w:sz w:val="20"/>
                <w:szCs w:val="20"/>
                <w:color w:val="auto"/>
              </w:rPr>
            </w:pPr>
            <w:r>
              <w:rPr>
                <w:rFonts w:ascii="Arial" w:cs="Arial" w:eastAsia="Arial" w:hAnsi="Arial"/>
                <w:sz w:val="14"/>
                <w:szCs w:val="14"/>
                <w:b w:val="1"/>
                <w:bCs w:val="1"/>
                <w:color w:val="auto"/>
              </w:rPr>
              <w:t>% of</w:t>
            </w:r>
          </w:p>
        </w:tc>
        <w:tc>
          <w:tcPr>
            <w:tcW w:w="4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jc w:val="center"/>
              <w:spacing w:after="0" w:line="133" w:lineRule="exact"/>
              <w:rPr>
                <w:sz w:val="20"/>
                <w:szCs w:val="20"/>
                <w:color w:val="auto"/>
              </w:rPr>
            </w:pPr>
            <w:r>
              <w:rPr>
                <w:rFonts w:ascii="Arial" w:cs="Arial" w:eastAsia="Arial" w:hAnsi="Arial"/>
                <w:sz w:val="14"/>
                <w:szCs w:val="14"/>
                <w:b w:val="1"/>
                <w:bCs w:val="1"/>
                <w:color w:val="auto"/>
              </w:rPr>
              <w:t>% of</w:t>
            </w:r>
          </w:p>
        </w:tc>
        <w:tc>
          <w:tcPr>
            <w:tcW w:w="3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80" w:type="dxa"/>
            <w:vAlign w:val="bottom"/>
          </w:tcPr>
          <w:p>
            <w:pPr>
              <w:jc w:val="center"/>
              <w:spacing w:after="0" w:line="133" w:lineRule="exact"/>
              <w:rPr>
                <w:sz w:val="20"/>
                <w:szCs w:val="20"/>
                <w:color w:val="auto"/>
              </w:rPr>
            </w:pPr>
            <w:r>
              <w:rPr>
                <w:rFonts w:ascii="Arial" w:cs="Arial" w:eastAsia="Arial" w:hAnsi="Arial"/>
                <w:sz w:val="14"/>
                <w:szCs w:val="14"/>
                <w:b w:val="1"/>
                <w:bCs w:val="1"/>
                <w:color w:val="auto"/>
              </w:rPr>
              <w:t>% of</w:t>
            </w:r>
          </w:p>
        </w:tc>
        <w:tc>
          <w:tcPr>
            <w:tcW w:w="2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2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0" w:type="dxa"/>
            <w:vAlign w:val="bottom"/>
            <w:gridSpan w:val="2"/>
            <w:vMerge w:val="restart"/>
          </w:tcPr>
          <w:p>
            <w:pPr>
              <w:jc w:val="right"/>
              <w:ind w:right="420"/>
              <w:spacing w:after="0"/>
              <w:rPr>
                <w:sz w:val="20"/>
                <w:szCs w:val="20"/>
                <w:color w:val="auto"/>
              </w:rPr>
            </w:pPr>
            <w:r>
              <w:rPr>
                <w:rFonts w:ascii="Arial" w:cs="Arial" w:eastAsia="Arial" w:hAnsi="Arial"/>
                <w:sz w:val="14"/>
                <w:szCs w:val="14"/>
                <w:b w:val="1"/>
                <w:bCs w:val="1"/>
                <w:color w:val="auto"/>
              </w:rPr>
              <w:t>Amount</w:t>
            </w:r>
          </w:p>
        </w:tc>
        <w:tc>
          <w:tcPr>
            <w:tcW w:w="7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7"/>
              </w:rPr>
              <w:t>Segment</w:t>
            </w:r>
          </w:p>
        </w:tc>
        <w:tc>
          <w:tcPr>
            <w:tcW w:w="4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0" w:type="dxa"/>
            <w:vAlign w:val="bottom"/>
            <w:gridSpan w:val="2"/>
            <w:vMerge w:val="restart"/>
          </w:tcPr>
          <w:p>
            <w:pPr>
              <w:jc w:val="right"/>
              <w:ind w:right="440"/>
              <w:spacing w:after="0"/>
              <w:rPr>
                <w:sz w:val="20"/>
                <w:szCs w:val="20"/>
                <w:color w:val="auto"/>
              </w:rPr>
            </w:pPr>
            <w:r>
              <w:rPr>
                <w:rFonts w:ascii="Arial" w:cs="Arial" w:eastAsia="Arial" w:hAnsi="Arial"/>
                <w:sz w:val="14"/>
                <w:szCs w:val="14"/>
                <w:b w:val="1"/>
                <w:bCs w:val="1"/>
                <w:color w:val="auto"/>
              </w:rPr>
              <w:t>Amount</w:t>
            </w:r>
          </w:p>
        </w:tc>
        <w:tc>
          <w:tcPr>
            <w:tcW w:w="7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7"/>
              </w:rPr>
              <w:t>Segment</w:t>
            </w:r>
          </w:p>
        </w:tc>
        <w:tc>
          <w:tcPr>
            <w:tcW w:w="4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40" w:type="dxa"/>
            <w:vAlign w:val="bottom"/>
            <w:gridSpan w:val="2"/>
            <w:vMerge w:val="restart"/>
          </w:tcPr>
          <w:p>
            <w:pPr>
              <w:jc w:val="right"/>
              <w:ind w:right="380"/>
              <w:spacing w:after="0"/>
              <w:rPr>
                <w:sz w:val="20"/>
                <w:szCs w:val="20"/>
                <w:color w:val="auto"/>
              </w:rPr>
            </w:pPr>
            <w:r>
              <w:rPr>
                <w:rFonts w:ascii="Arial" w:cs="Arial" w:eastAsia="Arial" w:hAnsi="Arial"/>
                <w:sz w:val="14"/>
                <w:szCs w:val="14"/>
                <w:b w:val="1"/>
                <w:bCs w:val="1"/>
                <w:color w:val="auto"/>
              </w:rPr>
              <w:t>Amount</w:t>
            </w:r>
          </w:p>
        </w:tc>
        <w:tc>
          <w:tcPr>
            <w:tcW w:w="60" w:type="dxa"/>
            <w:vAlign w:val="bottom"/>
          </w:tcPr>
          <w:p>
            <w:pPr>
              <w:spacing w:after="0"/>
              <w:rPr>
                <w:sz w:val="12"/>
                <w:szCs w:val="12"/>
                <w:color w:val="auto"/>
              </w:rPr>
            </w:pPr>
          </w:p>
        </w:tc>
        <w:tc>
          <w:tcPr>
            <w:tcW w:w="7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7"/>
              </w:rPr>
              <w:t>Segment</w:t>
            </w:r>
          </w:p>
        </w:tc>
        <w:tc>
          <w:tcPr>
            <w:tcW w:w="3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0" w:type="dxa"/>
            <w:vAlign w:val="bottom"/>
            <w:gridSpan w:val="2"/>
            <w:vMerge w:val="restart"/>
          </w:tcPr>
          <w:p>
            <w:pPr>
              <w:jc w:val="right"/>
              <w:ind w:right="420"/>
              <w:spacing w:after="0"/>
              <w:rPr>
                <w:sz w:val="20"/>
                <w:szCs w:val="20"/>
                <w:color w:val="auto"/>
              </w:rPr>
            </w:pPr>
            <w:r>
              <w:rPr>
                <w:rFonts w:ascii="Arial" w:cs="Arial" w:eastAsia="Arial" w:hAnsi="Arial"/>
                <w:sz w:val="14"/>
                <w:szCs w:val="14"/>
                <w:b w:val="1"/>
                <w:bCs w:val="1"/>
                <w:color w:val="auto"/>
              </w:rPr>
              <w:t>Amount</w:t>
            </w:r>
          </w:p>
        </w:tc>
        <w:tc>
          <w:tcPr>
            <w:tcW w:w="7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7"/>
              </w:rPr>
              <w:t>Segment</w:t>
            </w:r>
          </w:p>
        </w:tc>
        <w:tc>
          <w:tcPr>
            <w:tcW w:w="2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0" w:type="dxa"/>
            <w:vAlign w:val="bottom"/>
            <w:gridSpan w:val="2"/>
            <w:vMerge w:val="continue"/>
          </w:tcPr>
          <w:p>
            <w:pPr>
              <w:spacing w:after="0"/>
              <w:rPr>
                <w:sz w:val="12"/>
                <w:szCs w:val="12"/>
                <w:color w:val="auto"/>
              </w:rPr>
            </w:pPr>
          </w:p>
        </w:tc>
        <w:tc>
          <w:tcPr>
            <w:tcW w:w="7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Net Service</w:t>
            </w:r>
          </w:p>
        </w:tc>
        <w:tc>
          <w:tcPr>
            <w:tcW w:w="4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0" w:type="dxa"/>
            <w:vAlign w:val="bottom"/>
            <w:gridSpan w:val="2"/>
            <w:vMerge w:val="continue"/>
          </w:tcPr>
          <w:p>
            <w:pPr>
              <w:spacing w:after="0"/>
              <w:rPr>
                <w:sz w:val="12"/>
                <w:szCs w:val="12"/>
                <w:color w:val="auto"/>
              </w:rPr>
            </w:pPr>
          </w:p>
        </w:tc>
        <w:tc>
          <w:tcPr>
            <w:tcW w:w="7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1"/>
              </w:rPr>
              <w:t>Net Service</w:t>
            </w:r>
          </w:p>
        </w:tc>
        <w:tc>
          <w:tcPr>
            <w:tcW w:w="4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40" w:type="dxa"/>
            <w:vAlign w:val="bottom"/>
            <w:gridSpan w:val="2"/>
            <w:vMerge w:val="continue"/>
          </w:tcPr>
          <w:p>
            <w:pPr>
              <w:spacing w:after="0"/>
              <w:rPr>
                <w:sz w:val="12"/>
                <w:szCs w:val="12"/>
                <w:color w:val="auto"/>
              </w:rPr>
            </w:pPr>
          </w:p>
        </w:tc>
        <w:tc>
          <w:tcPr>
            <w:tcW w:w="60" w:type="dxa"/>
            <w:vAlign w:val="bottom"/>
          </w:tcPr>
          <w:p>
            <w:pPr>
              <w:spacing w:after="0"/>
              <w:rPr>
                <w:sz w:val="12"/>
                <w:szCs w:val="12"/>
                <w:color w:val="auto"/>
              </w:rPr>
            </w:pPr>
          </w:p>
        </w:tc>
        <w:tc>
          <w:tcPr>
            <w:tcW w:w="7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1"/>
              </w:rPr>
              <w:t>Net Service</w:t>
            </w:r>
          </w:p>
        </w:tc>
        <w:tc>
          <w:tcPr>
            <w:tcW w:w="3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0" w:type="dxa"/>
            <w:vAlign w:val="bottom"/>
            <w:gridSpan w:val="2"/>
            <w:vMerge w:val="continue"/>
          </w:tcPr>
          <w:p>
            <w:pPr>
              <w:spacing w:after="0"/>
              <w:rPr>
                <w:sz w:val="12"/>
                <w:szCs w:val="12"/>
                <w:color w:val="auto"/>
              </w:rPr>
            </w:pPr>
          </w:p>
        </w:tc>
        <w:tc>
          <w:tcPr>
            <w:tcW w:w="7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1"/>
              </w:rPr>
              <w:t>Net Service</w:t>
            </w:r>
          </w:p>
        </w:tc>
        <w:tc>
          <w:tcPr>
            <w:tcW w:w="2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140" w:type="dxa"/>
            <w:vAlign w:val="bottom"/>
          </w:tcPr>
          <w:p>
            <w:pPr>
              <w:spacing w:after="0"/>
              <w:rPr>
                <w:sz w:val="14"/>
                <w:szCs w:val="14"/>
                <w:color w:val="auto"/>
              </w:rPr>
            </w:pPr>
          </w:p>
        </w:tc>
        <w:tc>
          <w:tcPr>
            <w:tcW w:w="1140" w:type="dxa"/>
            <w:vAlign w:val="bottom"/>
            <w:gridSpan w:val="3"/>
          </w:tcPr>
          <w:p>
            <w:pPr>
              <w:spacing w:after="0"/>
              <w:rPr>
                <w:sz w:val="20"/>
                <w:szCs w:val="20"/>
                <w:color w:val="auto"/>
              </w:rPr>
            </w:pPr>
            <w:r>
              <w:rPr>
                <w:rFonts w:ascii="Arial" w:cs="Arial" w:eastAsia="Arial" w:hAnsi="Arial"/>
                <w:sz w:val="14"/>
                <w:szCs w:val="14"/>
                <w:b w:val="1"/>
                <w:bCs w:val="1"/>
                <w:color w:val="auto"/>
              </w:rPr>
              <w:t>(in Thousands)</w:t>
            </w:r>
          </w:p>
        </w:tc>
        <w:tc>
          <w:tcPr>
            <w:tcW w:w="760" w:type="dxa"/>
            <w:vAlign w:val="bottom"/>
          </w:tcPr>
          <w:p>
            <w:pPr>
              <w:jc w:val="center"/>
              <w:spacing w:after="0"/>
              <w:rPr>
                <w:sz w:val="20"/>
                <w:szCs w:val="20"/>
                <w:color w:val="auto"/>
              </w:rPr>
            </w:pPr>
            <w:r>
              <w:rPr>
                <w:rFonts w:ascii="Arial" w:cs="Arial" w:eastAsia="Arial" w:hAnsi="Arial"/>
                <w:sz w:val="14"/>
                <w:szCs w:val="14"/>
                <w:b w:val="1"/>
                <w:bCs w:val="1"/>
                <w:color w:val="auto"/>
                <w:w w:val="90"/>
              </w:rPr>
              <w:t>Revenues</w:t>
            </w:r>
          </w:p>
        </w:tc>
        <w:tc>
          <w:tcPr>
            <w:tcW w:w="400" w:type="dxa"/>
            <w:vAlign w:val="bottom"/>
          </w:tcPr>
          <w:p>
            <w:pPr>
              <w:spacing w:after="0"/>
              <w:rPr>
                <w:sz w:val="14"/>
                <w:szCs w:val="14"/>
                <w:color w:val="auto"/>
              </w:rPr>
            </w:pPr>
          </w:p>
        </w:tc>
        <w:tc>
          <w:tcPr>
            <w:tcW w:w="1140" w:type="dxa"/>
            <w:vAlign w:val="bottom"/>
            <w:gridSpan w:val="3"/>
          </w:tcPr>
          <w:p>
            <w:pPr>
              <w:spacing w:after="0"/>
              <w:rPr>
                <w:sz w:val="20"/>
                <w:szCs w:val="20"/>
                <w:color w:val="auto"/>
              </w:rPr>
            </w:pPr>
            <w:r>
              <w:rPr>
                <w:rFonts w:ascii="Arial" w:cs="Arial" w:eastAsia="Arial" w:hAnsi="Arial"/>
                <w:sz w:val="14"/>
                <w:szCs w:val="14"/>
                <w:b w:val="1"/>
                <w:bCs w:val="1"/>
                <w:color w:val="auto"/>
              </w:rPr>
              <w:t>(in Thousands)</w:t>
            </w:r>
          </w:p>
        </w:tc>
        <w:tc>
          <w:tcPr>
            <w:tcW w:w="760" w:type="dxa"/>
            <w:vAlign w:val="bottom"/>
          </w:tcPr>
          <w:p>
            <w:pPr>
              <w:jc w:val="center"/>
              <w:spacing w:after="0"/>
              <w:rPr>
                <w:sz w:val="20"/>
                <w:szCs w:val="20"/>
                <w:color w:val="auto"/>
              </w:rPr>
            </w:pPr>
            <w:r>
              <w:rPr>
                <w:rFonts w:ascii="Arial" w:cs="Arial" w:eastAsia="Arial" w:hAnsi="Arial"/>
                <w:sz w:val="14"/>
                <w:szCs w:val="14"/>
                <w:b w:val="1"/>
                <w:bCs w:val="1"/>
                <w:color w:val="auto"/>
                <w:w w:val="87"/>
              </w:rPr>
              <w:t>Revenues</w:t>
            </w:r>
          </w:p>
        </w:tc>
        <w:tc>
          <w:tcPr>
            <w:tcW w:w="400" w:type="dxa"/>
            <w:vAlign w:val="bottom"/>
          </w:tcPr>
          <w:p>
            <w:pPr>
              <w:spacing w:after="0"/>
              <w:rPr>
                <w:sz w:val="14"/>
                <w:szCs w:val="14"/>
                <w:color w:val="auto"/>
              </w:rPr>
            </w:pPr>
          </w:p>
        </w:tc>
        <w:tc>
          <w:tcPr>
            <w:tcW w:w="1080" w:type="dxa"/>
            <w:vAlign w:val="bottom"/>
            <w:gridSpan w:val="3"/>
          </w:tcPr>
          <w:p>
            <w:pPr>
              <w:spacing w:after="0"/>
              <w:rPr>
                <w:sz w:val="20"/>
                <w:szCs w:val="20"/>
                <w:color w:val="auto"/>
              </w:rPr>
            </w:pPr>
            <w:r>
              <w:rPr>
                <w:rFonts w:ascii="Arial" w:cs="Arial" w:eastAsia="Arial" w:hAnsi="Arial"/>
                <w:sz w:val="14"/>
                <w:szCs w:val="14"/>
                <w:b w:val="1"/>
                <w:bCs w:val="1"/>
                <w:color w:val="auto"/>
              </w:rPr>
              <w:t>(in Thousands)</w:t>
            </w:r>
          </w:p>
        </w:tc>
        <w:tc>
          <w:tcPr>
            <w:tcW w:w="60" w:type="dxa"/>
            <w:vAlign w:val="bottom"/>
          </w:tcPr>
          <w:p>
            <w:pPr>
              <w:spacing w:after="0"/>
              <w:rPr>
                <w:sz w:val="14"/>
                <w:szCs w:val="14"/>
                <w:color w:val="auto"/>
              </w:rPr>
            </w:pPr>
          </w:p>
        </w:tc>
        <w:tc>
          <w:tcPr>
            <w:tcW w:w="760" w:type="dxa"/>
            <w:vAlign w:val="bottom"/>
          </w:tcPr>
          <w:p>
            <w:pPr>
              <w:jc w:val="center"/>
              <w:spacing w:after="0"/>
              <w:rPr>
                <w:sz w:val="20"/>
                <w:szCs w:val="20"/>
                <w:color w:val="auto"/>
              </w:rPr>
            </w:pPr>
            <w:r>
              <w:rPr>
                <w:rFonts w:ascii="Arial" w:cs="Arial" w:eastAsia="Arial" w:hAnsi="Arial"/>
                <w:sz w:val="14"/>
                <w:szCs w:val="14"/>
                <w:b w:val="1"/>
                <w:bCs w:val="1"/>
                <w:color w:val="auto"/>
                <w:w w:val="87"/>
              </w:rPr>
              <w:t>Revenues</w:t>
            </w:r>
          </w:p>
        </w:tc>
        <w:tc>
          <w:tcPr>
            <w:tcW w:w="340" w:type="dxa"/>
            <w:vAlign w:val="bottom"/>
          </w:tcPr>
          <w:p>
            <w:pPr>
              <w:spacing w:after="0"/>
              <w:rPr>
                <w:sz w:val="14"/>
                <w:szCs w:val="14"/>
                <w:color w:val="auto"/>
              </w:rPr>
            </w:pPr>
          </w:p>
        </w:tc>
        <w:tc>
          <w:tcPr>
            <w:tcW w:w="1200" w:type="dxa"/>
            <w:vAlign w:val="bottom"/>
            <w:gridSpan w:val="4"/>
          </w:tcPr>
          <w:p>
            <w:pPr>
              <w:ind w:left="60"/>
              <w:spacing w:after="0"/>
              <w:rPr>
                <w:sz w:val="20"/>
                <w:szCs w:val="20"/>
                <w:color w:val="auto"/>
              </w:rPr>
            </w:pPr>
            <w:r>
              <w:rPr>
                <w:rFonts w:ascii="Arial" w:cs="Arial" w:eastAsia="Arial" w:hAnsi="Arial"/>
                <w:sz w:val="14"/>
                <w:szCs w:val="14"/>
                <w:b w:val="1"/>
                <w:bCs w:val="1"/>
                <w:color w:val="auto"/>
              </w:rPr>
              <w:t>(in Thousands)</w:t>
            </w:r>
          </w:p>
        </w:tc>
        <w:tc>
          <w:tcPr>
            <w:tcW w:w="780" w:type="dxa"/>
            <w:vAlign w:val="bottom"/>
          </w:tcPr>
          <w:p>
            <w:pPr>
              <w:jc w:val="center"/>
              <w:spacing w:after="0"/>
              <w:rPr>
                <w:sz w:val="20"/>
                <w:szCs w:val="20"/>
                <w:color w:val="auto"/>
              </w:rPr>
            </w:pPr>
            <w:r>
              <w:rPr>
                <w:rFonts w:ascii="Arial" w:cs="Arial" w:eastAsia="Arial" w:hAnsi="Arial"/>
                <w:sz w:val="14"/>
                <w:szCs w:val="14"/>
                <w:b w:val="1"/>
                <w:bCs w:val="1"/>
                <w:color w:val="auto"/>
                <w:w w:val="87"/>
              </w:rPr>
              <w:t>Revenues</w:t>
            </w:r>
          </w:p>
        </w:tc>
        <w:tc>
          <w:tcPr>
            <w:tcW w:w="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214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Illinois</w:t>
            </w:r>
          </w:p>
        </w:tc>
        <w:tc>
          <w:tcPr>
            <w:tcW w:w="14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w:t>
            </w:r>
          </w:p>
        </w:tc>
        <w:tc>
          <w:tcPr>
            <w:tcW w:w="8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69,052</w:t>
            </w:r>
          </w:p>
        </w:tc>
        <w:tc>
          <w:tcPr>
            <w:tcW w:w="200" w:type="dxa"/>
            <w:vAlign w:val="bottom"/>
            <w:tcBorders>
              <w:top w:val="single" w:sz="8" w:color="CFF0FC"/>
            </w:tcBorders>
            <w:shd w:val="clear" w:color="auto" w:fill="CFF0FC"/>
          </w:tcPr>
          <w:p>
            <w:pPr>
              <w:spacing w:after="0"/>
              <w:rPr>
                <w:sz w:val="19"/>
                <w:szCs w:val="19"/>
                <w:color w:val="auto"/>
              </w:rPr>
            </w:pPr>
          </w:p>
        </w:tc>
        <w:tc>
          <w:tcPr>
            <w:tcW w:w="7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44.2</w:t>
            </w:r>
          </w:p>
        </w:tc>
        <w:tc>
          <w:tcPr>
            <w:tcW w:w="400" w:type="dxa"/>
            <w:vAlign w:val="bottom"/>
            <w:tcBorders>
              <w:top w:val="single" w:sz="8" w:color="CFF0FC"/>
            </w:tcBorders>
            <w:shd w:val="clear" w:color="auto" w:fill="CFF0FC"/>
          </w:tcPr>
          <w:p>
            <w:pPr>
              <w:jc w:val="center"/>
              <w:spacing w:after="0"/>
              <w:rPr>
                <w:sz w:val="20"/>
                <w:szCs w:val="20"/>
                <w:color w:val="auto"/>
              </w:rPr>
            </w:pPr>
            <w:r>
              <w:rPr>
                <w:rFonts w:ascii="Arial" w:cs="Arial" w:eastAsia="Arial" w:hAnsi="Arial"/>
                <w:sz w:val="18"/>
                <w:szCs w:val="18"/>
                <w:color w:val="auto"/>
                <w:w w:val="87"/>
              </w:rPr>
              <w:t>%</w:t>
            </w:r>
          </w:p>
        </w:tc>
        <w:tc>
          <w:tcPr>
            <w:tcW w:w="14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w:t>
            </w:r>
          </w:p>
        </w:tc>
        <w:tc>
          <w:tcPr>
            <w:tcW w:w="7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59,114</w:t>
            </w:r>
          </w:p>
        </w:tc>
        <w:tc>
          <w:tcPr>
            <w:tcW w:w="220" w:type="dxa"/>
            <w:vAlign w:val="bottom"/>
            <w:tcBorders>
              <w:top w:val="single" w:sz="8" w:color="CFF0FC"/>
            </w:tcBorders>
            <w:shd w:val="clear" w:color="auto" w:fill="CFF0FC"/>
          </w:tcPr>
          <w:p>
            <w:pPr>
              <w:spacing w:after="0"/>
              <w:rPr>
                <w:sz w:val="19"/>
                <w:szCs w:val="19"/>
                <w:color w:val="auto"/>
              </w:rPr>
            </w:pPr>
          </w:p>
        </w:tc>
        <w:tc>
          <w:tcPr>
            <w:tcW w:w="7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43.0</w:t>
            </w:r>
          </w:p>
        </w:tc>
        <w:tc>
          <w:tcPr>
            <w:tcW w:w="400" w:type="dxa"/>
            <w:vAlign w:val="bottom"/>
            <w:tcBorders>
              <w:top w:val="single" w:sz="8" w:color="CFF0FC"/>
            </w:tcBorders>
            <w:shd w:val="clear" w:color="auto" w:fill="CFF0FC"/>
          </w:tcPr>
          <w:p>
            <w:pPr>
              <w:jc w:val="center"/>
              <w:spacing w:after="0"/>
              <w:rPr>
                <w:sz w:val="20"/>
                <w:szCs w:val="20"/>
                <w:color w:val="auto"/>
              </w:rPr>
            </w:pPr>
            <w:r>
              <w:rPr>
                <w:rFonts w:ascii="Arial" w:cs="Arial" w:eastAsia="Arial" w:hAnsi="Arial"/>
                <w:sz w:val="18"/>
                <w:szCs w:val="18"/>
                <w:color w:val="auto"/>
                <w:w w:val="99"/>
              </w:rPr>
              <w:t>%</w:t>
            </w:r>
          </w:p>
        </w:tc>
        <w:tc>
          <w:tcPr>
            <w:tcW w:w="14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w:t>
            </w:r>
          </w:p>
        </w:tc>
        <w:tc>
          <w:tcPr>
            <w:tcW w:w="7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140,598</w:t>
            </w:r>
          </w:p>
        </w:tc>
        <w:tc>
          <w:tcPr>
            <w:tcW w:w="160" w:type="dxa"/>
            <w:vAlign w:val="bottom"/>
            <w:tcBorders>
              <w:top w:val="single" w:sz="8" w:color="CFF0FC"/>
            </w:tcBorders>
            <w:shd w:val="clear" w:color="auto" w:fill="CFF0FC"/>
          </w:tcPr>
          <w:p>
            <w:pPr>
              <w:spacing w:after="0"/>
              <w:rPr>
                <w:sz w:val="19"/>
                <w:szCs w:val="19"/>
                <w:color w:val="auto"/>
              </w:rPr>
            </w:pPr>
          </w:p>
        </w:tc>
        <w:tc>
          <w:tcPr>
            <w:tcW w:w="60" w:type="dxa"/>
            <w:vAlign w:val="bottom"/>
            <w:tcBorders>
              <w:top w:val="single" w:sz="8" w:color="CFF0FC"/>
            </w:tcBorders>
            <w:shd w:val="clear" w:color="auto" w:fill="CFF0FC"/>
          </w:tcPr>
          <w:p>
            <w:pPr>
              <w:spacing w:after="0"/>
              <w:rPr>
                <w:sz w:val="19"/>
                <w:szCs w:val="19"/>
                <w:color w:val="auto"/>
              </w:rPr>
            </w:pPr>
          </w:p>
        </w:tc>
        <w:tc>
          <w:tcPr>
            <w:tcW w:w="7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44.4</w:t>
            </w:r>
          </w:p>
        </w:tc>
        <w:tc>
          <w:tcPr>
            <w:tcW w:w="340" w:type="dxa"/>
            <w:vAlign w:val="bottom"/>
            <w:tcBorders>
              <w:top w:val="single" w:sz="8" w:color="CFF0FC"/>
            </w:tcBorders>
            <w:shd w:val="clear" w:color="auto" w:fill="CFF0FC"/>
          </w:tcPr>
          <w:p>
            <w:pPr>
              <w:jc w:val="center"/>
              <w:spacing w:after="0"/>
              <w:rPr>
                <w:sz w:val="20"/>
                <w:szCs w:val="20"/>
                <w:color w:val="auto"/>
              </w:rPr>
            </w:pPr>
            <w:r>
              <w:rPr>
                <w:rFonts w:ascii="Arial" w:cs="Arial" w:eastAsia="Arial" w:hAnsi="Arial"/>
                <w:sz w:val="18"/>
                <w:szCs w:val="18"/>
                <w:color w:val="auto"/>
                <w:w w:val="87"/>
              </w:rPr>
              <w:t>%</w:t>
            </w:r>
          </w:p>
        </w:tc>
        <w:tc>
          <w:tcPr>
            <w:tcW w:w="6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w:t>
            </w:r>
          </w:p>
        </w:tc>
        <w:tc>
          <w:tcPr>
            <w:tcW w:w="8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115,963</w:t>
            </w:r>
          </w:p>
        </w:tc>
        <w:tc>
          <w:tcPr>
            <w:tcW w:w="200" w:type="dxa"/>
            <w:vAlign w:val="bottom"/>
            <w:tcBorders>
              <w:top w:val="single" w:sz="8" w:color="CFF0FC"/>
            </w:tcBorders>
            <w:shd w:val="clear" w:color="auto" w:fill="CFF0FC"/>
          </w:tcPr>
          <w:p>
            <w:pPr>
              <w:spacing w:after="0"/>
              <w:rPr>
                <w:sz w:val="19"/>
                <w:szCs w:val="19"/>
                <w:color w:val="auto"/>
              </w:rPr>
            </w:pPr>
          </w:p>
        </w:tc>
        <w:tc>
          <w:tcPr>
            <w:tcW w:w="7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43.7</w:t>
            </w:r>
          </w:p>
        </w:tc>
        <w:tc>
          <w:tcPr>
            <w:tcW w:w="280" w:type="dxa"/>
            <w:vAlign w:val="bottom"/>
            <w:tcBorders>
              <w:top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2140" w:type="dxa"/>
            <w:vAlign w:val="bottom"/>
          </w:tcPr>
          <w:p>
            <w:pPr>
              <w:spacing w:after="0"/>
              <w:rPr>
                <w:sz w:val="20"/>
                <w:szCs w:val="20"/>
                <w:color w:val="auto"/>
              </w:rPr>
            </w:pPr>
            <w:r>
              <w:rPr>
                <w:rFonts w:ascii="Arial" w:cs="Arial" w:eastAsia="Arial" w:hAnsi="Arial"/>
                <w:sz w:val="18"/>
                <w:szCs w:val="18"/>
                <w:color w:val="auto"/>
              </w:rPr>
              <w:t>New York</w:t>
            </w:r>
          </w:p>
        </w:tc>
        <w:tc>
          <w:tcPr>
            <w:tcW w:w="1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27,244</w:t>
            </w:r>
          </w:p>
        </w:tc>
        <w:tc>
          <w:tcPr>
            <w:tcW w:w="2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17.4</w:t>
            </w:r>
          </w:p>
        </w:tc>
        <w:tc>
          <w:tcPr>
            <w:tcW w:w="4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23,020</w:t>
            </w:r>
          </w:p>
        </w:tc>
        <w:tc>
          <w:tcPr>
            <w:tcW w:w="2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16.7</w:t>
            </w:r>
          </w:p>
        </w:tc>
        <w:tc>
          <w:tcPr>
            <w:tcW w:w="4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59,082</w:t>
            </w:r>
          </w:p>
        </w:tc>
        <w:tc>
          <w:tcPr>
            <w:tcW w:w="160" w:type="dxa"/>
            <w:vAlign w:val="bottom"/>
          </w:tcPr>
          <w:p>
            <w:pPr>
              <w:spacing w:after="0"/>
              <w:rPr>
                <w:sz w:val="19"/>
                <w:szCs w:val="19"/>
                <w:color w:val="auto"/>
              </w:rPr>
            </w:pP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18.6</w:t>
            </w:r>
          </w:p>
        </w:tc>
        <w:tc>
          <w:tcPr>
            <w:tcW w:w="3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40,833</w:t>
            </w:r>
          </w:p>
        </w:tc>
        <w:tc>
          <w:tcPr>
            <w:tcW w:w="2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15.4</w:t>
            </w:r>
          </w:p>
        </w:tc>
        <w:tc>
          <w:tcPr>
            <w:tcW w:w="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140" w:type="dxa"/>
            <w:vAlign w:val="bottom"/>
            <w:shd w:val="clear" w:color="auto" w:fill="CFF0FC"/>
          </w:tcPr>
          <w:p>
            <w:pPr>
              <w:spacing w:after="0"/>
              <w:rPr>
                <w:sz w:val="20"/>
                <w:szCs w:val="20"/>
                <w:color w:val="auto"/>
              </w:rPr>
            </w:pPr>
            <w:r>
              <w:rPr>
                <w:rFonts w:ascii="Arial" w:cs="Arial" w:eastAsia="Arial" w:hAnsi="Arial"/>
                <w:sz w:val="18"/>
                <w:szCs w:val="18"/>
                <w:color w:val="auto"/>
              </w:rPr>
              <w:t>New Mexico</w:t>
            </w:r>
          </w:p>
        </w:tc>
        <w:tc>
          <w:tcPr>
            <w:tcW w:w="14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21,831</w:t>
            </w:r>
          </w:p>
        </w:tc>
        <w:tc>
          <w:tcPr>
            <w:tcW w:w="20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14.0</w:t>
            </w:r>
          </w:p>
        </w:tc>
        <w:tc>
          <w:tcPr>
            <w:tcW w:w="4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18,135</w:t>
            </w:r>
          </w:p>
        </w:tc>
        <w:tc>
          <w:tcPr>
            <w:tcW w:w="22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13.2</w:t>
            </w:r>
          </w:p>
        </w:tc>
        <w:tc>
          <w:tcPr>
            <w:tcW w:w="4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42,525</w:t>
            </w:r>
          </w:p>
        </w:tc>
        <w:tc>
          <w:tcPr>
            <w:tcW w:w="160" w:type="dxa"/>
            <w:vAlign w:val="bottom"/>
            <w:shd w:val="clear" w:color="auto" w:fill="CFF0FC"/>
          </w:tcPr>
          <w:p>
            <w:pPr>
              <w:spacing w:after="0"/>
              <w:rPr>
                <w:sz w:val="19"/>
                <w:szCs w:val="19"/>
                <w:color w:val="auto"/>
              </w:rPr>
            </w:pPr>
          </w:p>
        </w:tc>
        <w:tc>
          <w:tcPr>
            <w:tcW w:w="8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13.4</w:t>
            </w:r>
          </w:p>
        </w:tc>
        <w:tc>
          <w:tcPr>
            <w:tcW w:w="34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35,343</w:t>
            </w:r>
          </w:p>
        </w:tc>
        <w:tc>
          <w:tcPr>
            <w:tcW w:w="20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13.3</w:t>
            </w:r>
          </w:p>
        </w:tc>
        <w:tc>
          <w:tcPr>
            <w:tcW w:w="2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140" w:type="dxa"/>
            <w:vAlign w:val="bottom"/>
          </w:tcPr>
          <w:p>
            <w:pPr>
              <w:spacing w:after="0"/>
              <w:rPr>
                <w:sz w:val="20"/>
                <w:szCs w:val="20"/>
                <w:color w:val="auto"/>
              </w:rPr>
            </w:pPr>
            <w:r>
              <w:rPr>
                <w:rFonts w:ascii="Arial" w:cs="Arial" w:eastAsia="Arial" w:hAnsi="Arial"/>
                <w:sz w:val="18"/>
                <w:szCs w:val="18"/>
                <w:color w:val="auto"/>
              </w:rPr>
              <w:t>All other states</w:t>
            </w:r>
          </w:p>
        </w:tc>
        <w:tc>
          <w:tcPr>
            <w:tcW w:w="1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38,141</w:t>
            </w:r>
          </w:p>
        </w:tc>
        <w:tc>
          <w:tcPr>
            <w:tcW w:w="2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24.4</w:t>
            </w:r>
          </w:p>
        </w:tc>
        <w:tc>
          <w:tcPr>
            <w:tcW w:w="4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37,208</w:t>
            </w:r>
          </w:p>
        </w:tc>
        <w:tc>
          <w:tcPr>
            <w:tcW w:w="2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27.1</w:t>
            </w:r>
          </w:p>
        </w:tc>
        <w:tc>
          <w:tcPr>
            <w:tcW w:w="4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74,728</w:t>
            </w:r>
          </w:p>
        </w:tc>
        <w:tc>
          <w:tcPr>
            <w:tcW w:w="160" w:type="dxa"/>
            <w:vAlign w:val="bottom"/>
          </w:tcPr>
          <w:p>
            <w:pPr>
              <w:spacing w:after="0"/>
              <w:rPr>
                <w:sz w:val="19"/>
                <w:szCs w:val="19"/>
                <w:color w:val="auto"/>
              </w:rPr>
            </w:pP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23.6</w:t>
            </w:r>
          </w:p>
        </w:tc>
        <w:tc>
          <w:tcPr>
            <w:tcW w:w="3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73,232</w:t>
            </w:r>
          </w:p>
        </w:tc>
        <w:tc>
          <w:tcPr>
            <w:tcW w:w="2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27.6</w:t>
            </w:r>
          </w:p>
        </w:tc>
        <w:tc>
          <w:tcPr>
            <w:tcW w:w="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214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w w:val="92"/>
              </w:rPr>
              <w:t>Total personal care segment</w:t>
            </w:r>
          </w:p>
        </w:tc>
        <w:tc>
          <w:tcPr>
            <w:tcW w:w="140" w:type="dxa"/>
            <w:vAlign w:val="bottom"/>
            <w:tcBorders>
              <w:top w:val="single" w:sz="8" w:color="auto"/>
            </w:tcBorders>
            <w:shd w:val="clear" w:color="auto" w:fill="CFF0FC"/>
          </w:tcPr>
          <w:p>
            <w:pPr>
              <w:spacing w:after="0"/>
              <w:rPr>
                <w:sz w:val="18"/>
                <w:szCs w:val="18"/>
                <w:color w:val="auto"/>
              </w:rPr>
            </w:pPr>
          </w:p>
        </w:tc>
        <w:tc>
          <w:tcPr>
            <w:tcW w:w="800" w:type="dxa"/>
            <w:vAlign w:val="bottom"/>
            <w:tcBorders>
              <w:top w:val="single" w:sz="8" w:color="auto"/>
            </w:tcBorders>
            <w:shd w:val="clear" w:color="auto" w:fill="CFF0FC"/>
          </w:tcPr>
          <w:p>
            <w:pPr>
              <w:spacing w:after="0"/>
              <w:rPr>
                <w:sz w:val="18"/>
                <w:szCs w:val="18"/>
                <w:color w:val="auto"/>
              </w:rPr>
            </w:pPr>
          </w:p>
        </w:tc>
        <w:tc>
          <w:tcPr>
            <w:tcW w:w="200" w:type="dxa"/>
            <w:vAlign w:val="bottom"/>
            <w:tcBorders>
              <w:top w:val="single" w:sz="8" w:color="CFF0FC"/>
            </w:tcBorders>
            <w:shd w:val="clear" w:color="auto" w:fill="CFF0FC"/>
          </w:tcPr>
          <w:p>
            <w:pPr>
              <w:spacing w:after="0"/>
              <w:rPr>
                <w:sz w:val="18"/>
                <w:szCs w:val="18"/>
                <w:color w:val="auto"/>
              </w:rPr>
            </w:pPr>
          </w:p>
        </w:tc>
        <w:tc>
          <w:tcPr>
            <w:tcW w:w="760" w:type="dxa"/>
            <w:vAlign w:val="bottom"/>
            <w:tcBorders>
              <w:top w:val="single" w:sz="8" w:color="auto"/>
            </w:tcBorders>
            <w:shd w:val="clear" w:color="auto" w:fill="CFF0FC"/>
          </w:tcPr>
          <w:p>
            <w:pPr>
              <w:spacing w:after="0"/>
              <w:rPr>
                <w:sz w:val="18"/>
                <w:szCs w:val="18"/>
                <w:color w:val="auto"/>
              </w:rPr>
            </w:pPr>
          </w:p>
        </w:tc>
        <w:tc>
          <w:tcPr>
            <w:tcW w:w="400" w:type="dxa"/>
            <w:vAlign w:val="bottom"/>
            <w:tcBorders>
              <w:top w:val="single" w:sz="8" w:color="CFF0FC"/>
            </w:tcBorders>
            <w:shd w:val="clear" w:color="auto" w:fill="CFF0FC"/>
          </w:tcPr>
          <w:p>
            <w:pPr>
              <w:spacing w:after="0"/>
              <w:rPr>
                <w:sz w:val="18"/>
                <w:szCs w:val="18"/>
                <w:color w:val="auto"/>
              </w:rPr>
            </w:pPr>
          </w:p>
        </w:tc>
        <w:tc>
          <w:tcPr>
            <w:tcW w:w="140" w:type="dxa"/>
            <w:vAlign w:val="bottom"/>
            <w:tcBorders>
              <w:top w:val="single" w:sz="8" w:color="auto"/>
            </w:tcBorders>
            <w:shd w:val="clear" w:color="auto" w:fill="CFF0FC"/>
          </w:tcPr>
          <w:p>
            <w:pPr>
              <w:spacing w:after="0"/>
              <w:rPr>
                <w:sz w:val="18"/>
                <w:szCs w:val="18"/>
                <w:color w:val="auto"/>
              </w:rPr>
            </w:pPr>
          </w:p>
        </w:tc>
        <w:tc>
          <w:tcPr>
            <w:tcW w:w="780" w:type="dxa"/>
            <w:vAlign w:val="bottom"/>
            <w:tcBorders>
              <w:top w:val="single" w:sz="8" w:color="auto"/>
            </w:tcBorders>
            <w:shd w:val="clear" w:color="auto" w:fill="CFF0FC"/>
          </w:tcPr>
          <w:p>
            <w:pPr>
              <w:spacing w:after="0"/>
              <w:rPr>
                <w:sz w:val="18"/>
                <w:szCs w:val="18"/>
                <w:color w:val="auto"/>
              </w:rPr>
            </w:pPr>
          </w:p>
        </w:tc>
        <w:tc>
          <w:tcPr>
            <w:tcW w:w="220" w:type="dxa"/>
            <w:vAlign w:val="bottom"/>
            <w:tcBorders>
              <w:top w:val="single" w:sz="8" w:color="CFF0FC"/>
            </w:tcBorders>
            <w:shd w:val="clear" w:color="auto" w:fill="CFF0FC"/>
          </w:tcPr>
          <w:p>
            <w:pPr>
              <w:spacing w:after="0"/>
              <w:rPr>
                <w:sz w:val="18"/>
                <w:szCs w:val="18"/>
                <w:color w:val="auto"/>
              </w:rPr>
            </w:pPr>
          </w:p>
        </w:tc>
        <w:tc>
          <w:tcPr>
            <w:tcW w:w="760" w:type="dxa"/>
            <w:vAlign w:val="bottom"/>
            <w:tcBorders>
              <w:top w:val="single" w:sz="8" w:color="auto"/>
            </w:tcBorders>
            <w:shd w:val="clear" w:color="auto" w:fill="CFF0FC"/>
          </w:tcPr>
          <w:p>
            <w:pPr>
              <w:spacing w:after="0"/>
              <w:rPr>
                <w:sz w:val="18"/>
                <w:szCs w:val="18"/>
                <w:color w:val="auto"/>
              </w:rPr>
            </w:pPr>
          </w:p>
        </w:tc>
        <w:tc>
          <w:tcPr>
            <w:tcW w:w="400" w:type="dxa"/>
            <w:vAlign w:val="bottom"/>
            <w:tcBorders>
              <w:top w:val="single" w:sz="8" w:color="CFF0FC"/>
            </w:tcBorders>
            <w:shd w:val="clear" w:color="auto" w:fill="CFF0FC"/>
          </w:tcPr>
          <w:p>
            <w:pPr>
              <w:spacing w:after="0"/>
              <w:rPr>
                <w:sz w:val="18"/>
                <w:szCs w:val="18"/>
                <w:color w:val="auto"/>
              </w:rPr>
            </w:pPr>
          </w:p>
        </w:tc>
        <w:tc>
          <w:tcPr>
            <w:tcW w:w="140" w:type="dxa"/>
            <w:vAlign w:val="bottom"/>
            <w:tcBorders>
              <w:top w:val="single" w:sz="8" w:color="auto"/>
            </w:tcBorders>
            <w:shd w:val="clear" w:color="auto" w:fill="CFF0FC"/>
          </w:tcPr>
          <w:p>
            <w:pPr>
              <w:spacing w:after="0"/>
              <w:rPr>
                <w:sz w:val="18"/>
                <w:szCs w:val="18"/>
                <w:color w:val="auto"/>
              </w:rPr>
            </w:pPr>
          </w:p>
        </w:tc>
        <w:tc>
          <w:tcPr>
            <w:tcW w:w="780" w:type="dxa"/>
            <w:vAlign w:val="bottom"/>
            <w:tcBorders>
              <w:top w:val="single" w:sz="8" w:color="auto"/>
            </w:tcBorders>
            <w:shd w:val="clear" w:color="auto" w:fill="CFF0FC"/>
          </w:tcPr>
          <w:p>
            <w:pPr>
              <w:spacing w:after="0"/>
              <w:rPr>
                <w:sz w:val="18"/>
                <w:szCs w:val="18"/>
                <w:color w:val="auto"/>
              </w:rPr>
            </w:pPr>
          </w:p>
        </w:tc>
        <w:tc>
          <w:tcPr>
            <w:tcW w:w="160" w:type="dxa"/>
            <w:vAlign w:val="bottom"/>
            <w:tcBorders>
              <w:top w:val="single" w:sz="8" w:color="CFF0FC"/>
            </w:tcBorders>
            <w:shd w:val="clear" w:color="auto" w:fill="CFF0FC"/>
          </w:tcPr>
          <w:p>
            <w:pPr>
              <w:spacing w:after="0"/>
              <w:rPr>
                <w:sz w:val="18"/>
                <w:szCs w:val="18"/>
                <w:color w:val="auto"/>
              </w:rPr>
            </w:pPr>
          </w:p>
        </w:tc>
        <w:tc>
          <w:tcPr>
            <w:tcW w:w="60" w:type="dxa"/>
            <w:vAlign w:val="bottom"/>
            <w:tcBorders>
              <w:top w:val="single" w:sz="8" w:color="CFF0FC"/>
            </w:tcBorders>
            <w:shd w:val="clear" w:color="auto" w:fill="CFF0FC"/>
          </w:tcPr>
          <w:p>
            <w:pPr>
              <w:spacing w:after="0"/>
              <w:rPr>
                <w:sz w:val="18"/>
                <w:szCs w:val="18"/>
                <w:color w:val="auto"/>
              </w:rPr>
            </w:pPr>
          </w:p>
        </w:tc>
        <w:tc>
          <w:tcPr>
            <w:tcW w:w="760" w:type="dxa"/>
            <w:vAlign w:val="bottom"/>
            <w:tcBorders>
              <w:top w:val="single" w:sz="8" w:color="auto"/>
            </w:tcBorders>
            <w:shd w:val="clear" w:color="auto" w:fill="CFF0FC"/>
          </w:tcPr>
          <w:p>
            <w:pPr>
              <w:spacing w:after="0"/>
              <w:rPr>
                <w:sz w:val="18"/>
                <w:szCs w:val="18"/>
                <w:color w:val="auto"/>
              </w:rPr>
            </w:pPr>
          </w:p>
        </w:tc>
        <w:tc>
          <w:tcPr>
            <w:tcW w:w="340" w:type="dxa"/>
            <w:vAlign w:val="bottom"/>
            <w:tcBorders>
              <w:top w:val="single" w:sz="8" w:color="CFF0FC"/>
            </w:tcBorders>
            <w:shd w:val="clear" w:color="auto" w:fill="CFF0FC"/>
          </w:tcPr>
          <w:p>
            <w:pPr>
              <w:spacing w:after="0"/>
              <w:rPr>
                <w:sz w:val="18"/>
                <w:szCs w:val="18"/>
                <w:color w:val="auto"/>
              </w:rPr>
            </w:pPr>
          </w:p>
        </w:tc>
        <w:tc>
          <w:tcPr>
            <w:tcW w:w="60" w:type="dxa"/>
            <w:vAlign w:val="bottom"/>
            <w:tcBorders>
              <w:top w:val="single" w:sz="8" w:color="CFF0FC"/>
            </w:tcBorders>
            <w:shd w:val="clear" w:color="auto" w:fill="CFF0FC"/>
          </w:tcPr>
          <w:p>
            <w:pPr>
              <w:spacing w:after="0"/>
              <w:rPr>
                <w:sz w:val="18"/>
                <w:szCs w:val="18"/>
                <w:color w:val="auto"/>
              </w:rPr>
            </w:pPr>
          </w:p>
        </w:tc>
        <w:tc>
          <w:tcPr>
            <w:tcW w:w="140" w:type="dxa"/>
            <w:vAlign w:val="bottom"/>
            <w:tcBorders>
              <w:top w:val="single" w:sz="8" w:color="auto"/>
            </w:tcBorders>
            <w:shd w:val="clear" w:color="auto" w:fill="CFF0FC"/>
          </w:tcPr>
          <w:p>
            <w:pPr>
              <w:spacing w:after="0"/>
              <w:rPr>
                <w:sz w:val="18"/>
                <w:szCs w:val="18"/>
                <w:color w:val="auto"/>
              </w:rPr>
            </w:pPr>
          </w:p>
        </w:tc>
        <w:tc>
          <w:tcPr>
            <w:tcW w:w="800" w:type="dxa"/>
            <w:vAlign w:val="bottom"/>
            <w:tcBorders>
              <w:top w:val="single" w:sz="8" w:color="auto"/>
            </w:tcBorders>
            <w:shd w:val="clear" w:color="auto" w:fill="CFF0FC"/>
          </w:tcPr>
          <w:p>
            <w:pPr>
              <w:spacing w:after="0"/>
              <w:rPr>
                <w:sz w:val="18"/>
                <w:szCs w:val="18"/>
                <w:color w:val="auto"/>
              </w:rPr>
            </w:pPr>
          </w:p>
        </w:tc>
        <w:tc>
          <w:tcPr>
            <w:tcW w:w="200" w:type="dxa"/>
            <w:vAlign w:val="bottom"/>
            <w:tcBorders>
              <w:top w:val="single" w:sz="8" w:color="CFF0FC"/>
            </w:tcBorders>
            <w:shd w:val="clear" w:color="auto" w:fill="CFF0FC"/>
          </w:tcPr>
          <w:p>
            <w:pPr>
              <w:spacing w:after="0"/>
              <w:rPr>
                <w:sz w:val="18"/>
                <w:szCs w:val="18"/>
                <w:color w:val="auto"/>
              </w:rPr>
            </w:pPr>
          </w:p>
        </w:tc>
        <w:tc>
          <w:tcPr>
            <w:tcW w:w="780" w:type="dxa"/>
            <w:vAlign w:val="bottom"/>
            <w:tcBorders>
              <w:top w:val="single" w:sz="8" w:color="auto"/>
            </w:tcBorders>
            <w:shd w:val="clear" w:color="auto" w:fill="CFF0FC"/>
          </w:tcPr>
          <w:p>
            <w:pPr>
              <w:spacing w:after="0"/>
              <w:rPr>
                <w:sz w:val="18"/>
                <w:szCs w:val="18"/>
                <w:color w:val="auto"/>
              </w:rPr>
            </w:pPr>
          </w:p>
        </w:tc>
        <w:tc>
          <w:tcPr>
            <w:tcW w:w="280" w:type="dxa"/>
            <w:vAlign w:val="bottom"/>
            <w:tcBorders>
              <w:top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140" w:type="dxa"/>
            <w:vAlign w:val="bottom"/>
            <w:shd w:val="clear" w:color="auto" w:fill="CFF0FC"/>
          </w:tcPr>
          <w:p>
            <w:pPr>
              <w:ind w:left="140"/>
              <w:spacing w:after="0"/>
              <w:rPr>
                <w:sz w:val="20"/>
                <w:szCs w:val="20"/>
                <w:color w:val="auto"/>
              </w:rPr>
            </w:pPr>
            <w:r>
              <w:rPr>
                <w:rFonts w:ascii="Arial" w:cs="Arial" w:eastAsia="Arial" w:hAnsi="Arial"/>
                <w:sz w:val="18"/>
                <w:szCs w:val="18"/>
                <w:color w:val="auto"/>
              </w:rPr>
              <w:t>net service revenues</w:t>
            </w:r>
          </w:p>
        </w:tc>
        <w:tc>
          <w:tcPr>
            <w:tcW w:w="140" w:type="dxa"/>
            <w:vAlign w:val="bottom"/>
            <w:shd w:val="clear" w:color="auto" w:fill="CFF0FC"/>
          </w:tcPr>
          <w:p>
            <w:pPr>
              <w:spacing w:after="0"/>
              <w:rPr>
                <w:sz w:val="20"/>
                <w:szCs w:val="20"/>
                <w:color w:val="auto"/>
              </w:rPr>
            </w:pPr>
            <w:r>
              <w:rPr>
                <w:rFonts w:ascii="Arial" w:cs="Arial" w:eastAsia="Arial" w:hAnsi="Arial"/>
                <w:sz w:val="18"/>
                <w:szCs w:val="18"/>
                <w:color w:val="auto"/>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156,268</w:t>
            </w:r>
          </w:p>
        </w:tc>
        <w:tc>
          <w:tcPr>
            <w:tcW w:w="200" w:type="dxa"/>
            <w:vAlign w:val="bottom"/>
            <w:shd w:val="clear" w:color="auto" w:fill="CFF0FC"/>
          </w:tcPr>
          <w:p>
            <w:pPr>
              <w:spacing w:after="0"/>
              <w:rPr>
                <w:sz w:val="20"/>
                <w:szCs w:val="20"/>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100.0</w:t>
            </w:r>
          </w:p>
        </w:tc>
        <w:tc>
          <w:tcPr>
            <w:tcW w:w="40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87"/>
              </w:rPr>
              <w:t>%</w:t>
            </w:r>
          </w:p>
        </w:tc>
        <w:tc>
          <w:tcPr>
            <w:tcW w:w="140" w:type="dxa"/>
            <w:vAlign w:val="bottom"/>
            <w:shd w:val="clear" w:color="auto" w:fill="CFF0FC"/>
          </w:tcPr>
          <w:p>
            <w:pPr>
              <w:spacing w:after="0"/>
              <w:rPr>
                <w:sz w:val="20"/>
                <w:szCs w:val="20"/>
                <w:color w:val="auto"/>
              </w:rPr>
            </w:pPr>
            <w:r>
              <w:rPr>
                <w:rFonts w:ascii="Arial" w:cs="Arial" w:eastAsia="Arial" w:hAnsi="Arial"/>
                <w:sz w:val="18"/>
                <w:szCs w:val="18"/>
                <w:color w:val="auto"/>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137,477</w:t>
            </w:r>
          </w:p>
        </w:tc>
        <w:tc>
          <w:tcPr>
            <w:tcW w:w="220" w:type="dxa"/>
            <w:vAlign w:val="bottom"/>
            <w:shd w:val="clear" w:color="auto" w:fill="CFF0FC"/>
          </w:tcPr>
          <w:p>
            <w:pPr>
              <w:spacing w:after="0"/>
              <w:rPr>
                <w:sz w:val="20"/>
                <w:szCs w:val="20"/>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100.0</w:t>
            </w:r>
          </w:p>
        </w:tc>
        <w:tc>
          <w:tcPr>
            <w:tcW w:w="40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9"/>
              </w:rPr>
              <w:t>%</w:t>
            </w:r>
          </w:p>
        </w:tc>
        <w:tc>
          <w:tcPr>
            <w:tcW w:w="140" w:type="dxa"/>
            <w:vAlign w:val="bottom"/>
            <w:shd w:val="clear" w:color="auto" w:fill="CFF0FC"/>
          </w:tcPr>
          <w:p>
            <w:pPr>
              <w:spacing w:after="0"/>
              <w:rPr>
                <w:sz w:val="20"/>
                <w:szCs w:val="20"/>
                <w:color w:val="auto"/>
              </w:rPr>
            </w:pPr>
            <w:r>
              <w:rPr>
                <w:rFonts w:ascii="Arial" w:cs="Arial" w:eastAsia="Arial" w:hAnsi="Arial"/>
                <w:sz w:val="18"/>
                <w:szCs w:val="18"/>
                <w:color w:val="auto"/>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316,933</w:t>
            </w:r>
          </w:p>
        </w:tc>
        <w:tc>
          <w:tcPr>
            <w:tcW w:w="160" w:type="dxa"/>
            <w:vAlign w:val="bottom"/>
            <w:shd w:val="clear" w:color="auto" w:fill="CFF0FC"/>
          </w:tcPr>
          <w:p>
            <w:pPr>
              <w:spacing w:after="0"/>
              <w:rPr>
                <w:sz w:val="20"/>
                <w:szCs w:val="20"/>
                <w:color w:val="auto"/>
              </w:rPr>
            </w:pPr>
          </w:p>
        </w:tc>
        <w:tc>
          <w:tcPr>
            <w:tcW w:w="8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100.0</w:t>
            </w:r>
          </w:p>
        </w:tc>
        <w:tc>
          <w:tcPr>
            <w:tcW w:w="34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87"/>
              </w:rPr>
              <w:t>%</w:t>
            </w:r>
          </w:p>
        </w:tc>
        <w:tc>
          <w:tcPr>
            <w:tcW w:w="200" w:type="dxa"/>
            <w:vAlign w:val="bottom"/>
            <w:gridSpan w:val="2"/>
            <w:shd w:val="clear" w:color="auto" w:fill="CFF0FC"/>
          </w:tcPr>
          <w:p>
            <w:pPr>
              <w:ind w:left="60"/>
              <w:spacing w:after="0"/>
              <w:rPr>
                <w:sz w:val="20"/>
                <w:szCs w:val="20"/>
                <w:color w:val="auto"/>
              </w:rPr>
            </w:pPr>
            <w:r>
              <w:rPr>
                <w:rFonts w:ascii="Arial" w:cs="Arial" w:eastAsia="Arial" w:hAnsi="Arial"/>
                <w:sz w:val="18"/>
                <w:szCs w:val="18"/>
                <w:color w:val="auto"/>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265,371</w:t>
            </w:r>
          </w:p>
        </w:tc>
        <w:tc>
          <w:tcPr>
            <w:tcW w:w="200" w:type="dxa"/>
            <w:vAlign w:val="bottom"/>
            <w:shd w:val="clear" w:color="auto" w:fill="CFF0FC"/>
          </w:tcPr>
          <w:p>
            <w:pPr>
              <w:spacing w:after="0"/>
              <w:rPr>
                <w:sz w:val="20"/>
                <w:szCs w:val="20"/>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100.0</w:t>
            </w:r>
          </w:p>
        </w:tc>
        <w:tc>
          <w:tcPr>
            <w:tcW w:w="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2140" w:type="dxa"/>
            <w:vAlign w:val="bottom"/>
            <w:tcBorders>
              <w:top w:val="single" w:sz="8" w:color="CFF0FC"/>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FF0FC"/>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CFF0FC"/>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CFF0FC"/>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FF0FC"/>
            </w:tcBorders>
          </w:tcPr>
          <w:p>
            <w:pPr>
              <w:spacing w:after="0" w:line="20" w:lineRule="exact"/>
              <w:rPr>
                <w:sz w:val="1"/>
                <w:szCs w:val="1"/>
                <w:color w:val="auto"/>
              </w:rPr>
            </w:pPr>
          </w:p>
        </w:tc>
        <w:tc>
          <w:tcPr>
            <w:tcW w:w="60" w:type="dxa"/>
            <w:vAlign w:val="bottom"/>
            <w:tcBorders>
              <w:top w:val="single" w:sz="8" w:color="CFF0FC"/>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CFF0FC"/>
            </w:tcBorders>
          </w:tcPr>
          <w:p>
            <w:pPr>
              <w:spacing w:after="0" w:line="20" w:lineRule="exact"/>
              <w:rPr>
                <w:sz w:val="1"/>
                <w:szCs w:val="1"/>
                <w:color w:val="auto"/>
              </w:rPr>
            </w:pPr>
          </w:p>
        </w:tc>
        <w:tc>
          <w:tcPr>
            <w:tcW w:w="60" w:type="dxa"/>
            <w:vAlign w:val="bottom"/>
            <w:tcBorders>
              <w:top w:val="single" w:sz="8" w:color="CFF0FC"/>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FF0FC"/>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ind w:right="160" w:firstLine="476"/>
        <w:spacing w:after="0" w:line="263" w:lineRule="auto"/>
        <w:rPr>
          <w:sz w:val="20"/>
          <w:szCs w:val="20"/>
          <w:color w:val="auto"/>
        </w:rPr>
      </w:pPr>
      <w:r>
        <w:rPr>
          <w:rFonts w:ascii="Arial" w:cs="Arial" w:eastAsia="Arial" w:hAnsi="Arial"/>
          <w:sz w:val="18"/>
          <w:szCs w:val="18"/>
          <w:color w:val="auto"/>
        </w:rPr>
        <w:t>We derive a significant amount of our net service revenues in Illinois, which represented 37.4% and 39.6% of our net service revenues for the three months ended June 30, 2020 and 2019, respectively, and accounted for 37.5% and 40.3% of our net service revenues for the six months ended June 30, 2020 and 2019, respectively.</w:t>
      </w:r>
    </w:p>
    <w:p>
      <w:pPr>
        <w:spacing w:after="0" w:line="130" w:lineRule="exact"/>
        <w:rPr>
          <w:sz w:val="20"/>
          <w:szCs w:val="20"/>
          <w:color w:val="auto"/>
        </w:rPr>
      </w:pPr>
    </w:p>
    <w:p>
      <w:pPr>
        <w:ind w:right="80" w:firstLine="476"/>
        <w:spacing w:after="0" w:line="269" w:lineRule="auto"/>
        <w:rPr>
          <w:sz w:val="20"/>
          <w:szCs w:val="20"/>
          <w:color w:val="auto"/>
        </w:rPr>
      </w:pPr>
      <w:r>
        <w:rPr>
          <w:rFonts w:ascii="Arial" w:cs="Arial" w:eastAsia="Arial" w:hAnsi="Arial"/>
          <w:sz w:val="17"/>
          <w:szCs w:val="17"/>
          <w:color w:val="auto"/>
        </w:rPr>
        <w:t>A significant amount of our revenue is derived from one payor client, the Illinois Department on Aging, the largest payor program for our Illinois personal care operations, which accounted for 23.2% and 27.6% of our net service revenues for the three months ended June 30, 2020 and 2019, respectively, and accounted for 23.2% and 28.3% of the Company’s net service revenues for the six months ended June 30, 2020 and 2019, respectively. The Illinois Department on Aging’s payments for non-Medicaid consumers have been delayed in the past and may continue to be delayed in the future due to budget disputes. The state of Illinois did not adopt comprehensive budgets for fiscal years 2016 or 2017, ended June 30, 2016 and June 30, 2017, respectively. On July 6, 2017, the state of Illinois passed a budget for the state fiscal year 2018, which began on July 1, 2017, authorizing the Illinois Department on Aging to pay for our services rendered to non-Medicaid consumers provided in prior fiscal years. On June 4, 2018, the state of Illinois passed a budget for state fiscal year 2019, which began on July 1, 2018. On June 6, 2019, the state of Illinois passed a budget for state fiscal year 2020, which began on July 1, 2019. In December 2014, the Chicago City Council passed an ordinance that, over a period of years, raised the minimum wage for Chicago workers, resulting in an increase equal to $13 per hour on July 1, 2019, with increases adjusted based on the Consumer Price Index in subsequent years.</w:t>
      </w:r>
    </w:p>
    <w:p>
      <w:pPr>
        <w:spacing w:after="0" w:line="128" w:lineRule="exact"/>
        <w:rPr>
          <w:sz w:val="20"/>
          <w:szCs w:val="20"/>
          <w:color w:val="auto"/>
        </w:rPr>
      </w:pPr>
    </w:p>
    <w:p>
      <w:pPr>
        <w:ind w:right="40" w:firstLine="476"/>
        <w:spacing w:after="0" w:line="273" w:lineRule="auto"/>
        <w:rPr>
          <w:sz w:val="20"/>
          <w:szCs w:val="20"/>
          <w:color w:val="auto"/>
        </w:rPr>
      </w:pPr>
      <w:r>
        <w:rPr>
          <w:rFonts w:ascii="Arial" w:cs="Arial" w:eastAsia="Arial" w:hAnsi="Arial"/>
          <w:sz w:val="17"/>
          <w:szCs w:val="17"/>
          <w:color w:val="auto"/>
        </w:rPr>
        <w:t>The State of Illinois finalized its fiscal year 2020 budget with the inclusion of an appropriation to raise in-home care rates to offset the costs of previous minimum wage increases in Chicago and other areas of the state that were imposed beginning on July 1, 2018. These rates were originally set to be effective July 1, 2019, with in-home care rates to be initially increased by 10.9% to $20.28 from $18.29 to partially offset the costs of the minimum wage hikes. Rates were then further increased on January 1, 2020 by an additional 7.7% to $21.84, providing full funding for both the Chicago minimum wage increases and a statewide raise for all current in-home caregivers. The State of Illinois finalized its fiscal year 2021 budget, with in-home care rates to be increased by 7.1% to $23.40 from $21.84, effective January 1, 2021, contingent upon federal CMS approval.</w:t>
      </w:r>
    </w:p>
    <w:p>
      <w:pPr>
        <w:spacing w:after="0" w:line="124" w:lineRule="exact"/>
        <w:rPr>
          <w:sz w:val="20"/>
          <w:szCs w:val="20"/>
          <w:color w:val="auto"/>
        </w:rPr>
      </w:pPr>
    </w:p>
    <w:p>
      <w:pPr>
        <w:ind w:right="260" w:firstLine="476"/>
        <w:spacing w:after="0" w:line="293" w:lineRule="auto"/>
        <w:rPr>
          <w:sz w:val="20"/>
          <w:szCs w:val="20"/>
          <w:color w:val="auto"/>
        </w:rPr>
      </w:pPr>
      <w:r>
        <w:rPr>
          <w:rFonts w:ascii="Arial" w:cs="Arial" w:eastAsia="Arial" w:hAnsi="Arial"/>
          <w:sz w:val="16"/>
          <w:szCs w:val="16"/>
          <w:color w:val="auto"/>
        </w:rPr>
        <w:t>On November 15, 2019, the State of Illinois received and announced official CMS approval for both rate increases, with the first increase to be effective on December 1, 2019, and the second increase to be effective on January 1, 2020. In addition, the Illinois Department on Aging, in conjunction with Illinois’ Health Care and Family Services, announced that the new rates would become effective retroactive to July 1, 2019 for services covered by managed care organizations. On January 15, 2020, the Department on Aging announced confirmation that a one-time bonus payment would be paid to providers who have provided services to clients not enrolled in a managed care organization, for the time period of July 1, 2019 through November 30, 2019 using an updated hourly rate of $20.28. The bonus payment of $6.8 million was recognized as net service revenues as of December 31, 2019.</w:t>
      </w:r>
    </w:p>
    <w:p>
      <w:pPr>
        <w:spacing w:after="0" w:line="110" w:lineRule="exact"/>
        <w:rPr>
          <w:sz w:val="20"/>
          <w:szCs w:val="20"/>
          <w:color w:val="auto"/>
        </w:rPr>
      </w:pPr>
    </w:p>
    <w:p>
      <w:pPr>
        <w:ind w:right="240" w:firstLine="476"/>
        <w:spacing w:after="0" w:line="263" w:lineRule="auto"/>
        <w:rPr>
          <w:sz w:val="20"/>
          <w:szCs w:val="20"/>
          <w:color w:val="auto"/>
        </w:rPr>
      </w:pPr>
      <w:r>
        <w:rPr>
          <w:rFonts w:ascii="Arial" w:cs="Arial" w:eastAsia="Arial" w:hAnsi="Arial"/>
          <w:sz w:val="18"/>
          <w:szCs w:val="18"/>
          <w:color w:val="auto"/>
        </w:rPr>
        <w:t>On November 26, 2019, the Chicago City Council voted to approve additional increases in the Chicago minimum wage to $14 per hour beginning July 1, 2020 and to $15 per hour beginning July 1, 2021. The Company and its trade association will be looking for additional funding in the State of Illinois fiscal year 2021 budget to offset the cost of these additional minimum wage increases.</w:t>
      </w:r>
    </w:p>
    <w:p>
      <w:pPr>
        <w:spacing w:after="0" w:line="130" w:lineRule="exact"/>
        <w:rPr>
          <w:sz w:val="20"/>
          <w:szCs w:val="20"/>
          <w:color w:val="auto"/>
        </w:rPr>
      </w:pPr>
    </w:p>
    <w:p>
      <w:pPr>
        <w:ind w:right="80" w:firstLine="476"/>
        <w:spacing w:after="0" w:line="263" w:lineRule="auto"/>
        <w:rPr>
          <w:sz w:val="20"/>
          <w:szCs w:val="20"/>
          <w:color w:val="auto"/>
        </w:rPr>
      </w:pPr>
      <w:r>
        <w:rPr>
          <w:rFonts w:ascii="Arial" w:cs="Arial" w:eastAsia="Arial" w:hAnsi="Arial"/>
          <w:sz w:val="18"/>
          <w:szCs w:val="18"/>
          <w:color w:val="auto"/>
        </w:rPr>
        <w:t>Our business will benefit from the rate increases noted above, but there is no assurance that additional offsetting rate increases will be adopted in Illinois for fiscal years beyond fiscal year 2020, and our financial performance will be adversely impacted for any periods in which an additional offsetting reimbursement rate increase is not in effect.</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Impact of Changes in Medicare and Medicaid Reimbursement</w:t>
      </w:r>
    </w:p>
    <w:p>
      <w:pPr>
        <w:spacing w:after="0" w:line="90" w:lineRule="exact"/>
        <w:rPr>
          <w:sz w:val="20"/>
          <w:szCs w:val="20"/>
          <w:color w:val="auto"/>
        </w:rPr>
      </w:pPr>
    </w:p>
    <w:p>
      <w:pPr>
        <w:ind w:left="480"/>
        <w:spacing w:after="0"/>
        <w:rPr>
          <w:sz w:val="20"/>
          <w:szCs w:val="20"/>
          <w:color w:val="auto"/>
        </w:rPr>
      </w:pPr>
      <w:r>
        <w:rPr>
          <w:rFonts w:ascii="Arial" w:cs="Arial" w:eastAsia="Arial" w:hAnsi="Arial"/>
          <w:sz w:val="18"/>
          <w:szCs w:val="18"/>
          <w:i w:val="1"/>
          <w:iCs w:val="1"/>
          <w:color w:val="auto"/>
        </w:rPr>
        <w:t>Home Health</w:t>
      </w:r>
    </w:p>
    <w:p>
      <w:pPr>
        <w:spacing w:after="0" w:line="77" w:lineRule="exact"/>
        <w:rPr>
          <w:sz w:val="20"/>
          <w:szCs w:val="20"/>
          <w:color w:val="auto"/>
        </w:rPr>
      </w:pPr>
    </w:p>
    <w:p>
      <w:pPr>
        <w:ind w:right="40" w:firstLine="476"/>
        <w:spacing w:after="0" w:line="273" w:lineRule="auto"/>
        <w:rPr>
          <w:sz w:val="20"/>
          <w:szCs w:val="20"/>
          <w:color w:val="auto"/>
        </w:rPr>
      </w:pPr>
      <w:r>
        <w:rPr>
          <w:rFonts w:ascii="Arial" w:cs="Arial" w:eastAsia="Arial" w:hAnsi="Arial"/>
          <w:sz w:val="17"/>
          <w:szCs w:val="17"/>
          <w:color w:val="auto"/>
        </w:rPr>
        <w:t>In June 2019, CMS began the Review Choice Demonstration for Home Health Services demonstration in Illinois to identify and prevent fraud, reduce the number of Medicare appeals, and improve provider compliance with Medicare program requirements. Home health agencies may initially select from the following claims review and approval processes: pre-claim review, post-payment review, or a minimal post-payment review with a 25% payment reduction. Home health agencies that maintain high compliance levels will be eligible for additional, less burdensome options. Beginning in March 2020, CMS paused certain claims processing for the Review Choice Demonstration due to the COVID-19 pandemic. However, the agency expects to discontinue exercising enforcement discretion beginning in August 2020, regardless of the</w:t>
      </w:r>
    </w:p>
    <w:p>
      <w:pPr>
        <w:spacing w:after="0" w:line="18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223520</wp:posOffset>
            </wp:positionV>
            <wp:extent cx="7132320"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97" w:lineRule="exact"/>
        <w:rPr>
          <w:sz w:val="20"/>
          <w:szCs w:val="20"/>
          <w:color w:val="auto"/>
        </w:rPr>
      </w:pPr>
    </w:p>
    <w:p>
      <w:pPr>
        <w:ind w:right="180"/>
        <w:spacing w:after="0" w:line="311" w:lineRule="auto"/>
        <w:rPr>
          <w:sz w:val="20"/>
          <w:szCs w:val="20"/>
          <w:color w:val="auto"/>
        </w:rPr>
      </w:pPr>
      <w:r>
        <w:rPr>
          <w:rFonts w:ascii="Arial" w:cs="Arial" w:eastAsia="Arial" w:hAnsi="Arial"/>
          <w:sz w:val="16"/>
          <w:szCs w:val="16"/>
          <w:color w:val="auto"/>
        </w:rPr>
        <w:t>status of the public health emergency. Following the resumption of the demonstration, MACs will conduct post-payment review on claims that were submitted and paid during the pause. Further, CMS plans to expand the Review Choice Demonstration to certain other states, including Ohio and Florida, in August 2020. We are currently unable to predict what impact, if any, this program may have on our result of operations or financial position.</w:t>
      </w:r>
    </w:p>
    <w:p>
      <w:pPr>
        <w:spacing w:after="0" w:line="95" w:lineRule="exact"/>
        <w:rPr>
          <w:sz w:val="20"/>
          <w:szCs w:val="20"/>
          <w:color w:val="auto"/>
        </w:rPr>
      </w:pPr>
    </w:p>
    <w:p>
      <w:pPr>
        <w:ind w:right="40" w:firstLine="476"/>
        <w:spacing w:after="0" w:line="293" w:lineRule="auto"/>
        <w:rPr>
          <w:sz w:val="20"/>
          <w:szCs w:val="20"/>
          <w:color w:val="auto"/>
        </w:rPr>
      </w:pPr>
      <w:r>
        <w:rPr>
          <w:rFonts w:ascii="Arial" w:cs="Arial" w:eastAsia="Arial" w:hAnsi="Arial"/>
          <w:sz w:val="16"/>
          <w:szCs w:val="16"/>
          <w:color w:val="auto"/>
        </w:rPr>
        <w:t>Home health services provided to Medicare beneficiaries are paid under the Medicare Home Health Prospective Payment System (“HHPPS”). Historically, the HHPPS was based on 60-day episodes of care and used a case-mix system that relied on the number of visits to determine payment. Effective January 1, 2020, CMS began using a 30-day episode of care for home health payments and implemented the Patient-Driven Groupings Model (“PDGM”) as part of the shift toward value-based care. The PDGM classifies patients based on clinical characteristics and other patient information into payment categories and eliminates the use of therapy service thresholds. Also effective January 1, 2020, CMS finalized a policy allowing therapy assistants to provide maintenance therapy services in the home and modified certain requirements relating to the home health plan of care.</w:t>
      </w:r>
    </w:p>
    <w:p>
      <w:pPr>
        <w:spacing w:after="0" w:line="110" w:lineRule="exact"/>
        <w:rPr>
          <w:sz w:val="20"/>
          <w:szCs w:val="20"/>
          <w:color w:val="auto"/>
        </w:rPr>
      </w:pPr>
    </w:p>
    <w:p>
      <w:pPr>
        <w:ind w:right="60" w:firstLine="476"/>
        <w:spacing w:after="0" w:line="257" w:lineRule="auto"/>
        <w:rPr>
          <w:sz w:val="20"/>
          <w:szCs w:val="20"/>
          <w:color w:val="auto"/>
        </w:rPr>
      </w:pPr>
      <w:r>
        <w:rPr>
          <w:rFonts w:ascii="Arial" w:cs="Arial" w:eastAsia="Arial" w:hAnsi="Arial"/>
          <w:sz w:val="18"/>
          <w:szCs w:val="18"/>
          <w:color w:val="auto"/>
        </w:rPr>
        <w:t>CMS updates the HHPPS payment rates each calendar year. Effective January 1, 2020, HHPPS rates increased by 1.3%, which reflects a 1.5% payment update as mandated by the Bipartisan Budget Act of 2018, offset by a 0.2 percentage point decrease in payments to home health agencies due to changes in the rural add-on percentages also mandated by the Bipartisan Budget Act of 2018, among other adjustments. CMS requires both home health and hospice providers to submit quality reporting data each year. Home health providers that do not comply are subject to a 2 percentage point reduction to their market basket update.</w:t>
      </w:r>
    </w:p>
    <w:p>
      <w:pPr>
        <w:spacing w:after="0" w:line="134" w:lineRule="exact"/>
        <w:rPr>
          <w:sz w:val="20"/>
          <w:szCs w:val="20"/>
          <w:color w:val="auto"/>
        </w:rPr>
      </w:pPr>
    </w:p>
    <w:p>
      <w:pPr>
        <w:ind w:right="40" w:firstLine="476"/>
        <w:spacing w:after="0" w:line="255" w:lineRule="auto"/>
        <w:rPr>
          <w:sz w:val="20"/>
          <w:szCs w:val="20"/>
          <w:color w:val="auto"/>
        </w:rPr>
      </w:pPr>
      <w:r>
        <w:rPr>
          <w:rFonts w:ascii="Arial" w:cs="Arial" w:eastAsia="Arial" w:hAnsi="Arial"/>
          <w:sz w:val="18"/>
          <w:szCs w:val="18"/>
          <w:color w:val="auto"/>
        </w:rPr>
        <w:t>Historically, CMS has paid home health providers 50% to 60% of anticipated payment at the beginning of a patient’s care episode through a request for anticipated payment (“RAP”). However, to address potential program integrity risks, CMS is currently phasing out RAP payments. For calendar year 2020, CMS reduced RAP payments to 20% of the anticipated payment and limited those payments to existing home health providers. In calendar year 2021, CMS will not provide any up-front payments in response to a RAP but will continue to require home health providers to submit streamlined RAPs as notice that a beneficiary is under a home health period of care. CMS will further reduce the administrative burden on providers in calendar year 2022, replacing the RAP with a “Notice of Admission.”</w:t>
      </w:r>
    </w:p>
    <w:p>
      <w:pPr>
        <w:spacing w:after="0" w:line="138" w:lineRule="exact"/>
        <w:rPr>
          <w:sz w:val="20"/>
          <w:szCs w:val="20"/>
          <w:color w:val="auto"/>
        </w:rPr>
      </w:pPr>
    </w:p>
    <w:p>
      <w:pPr>
        <w:ind w:left="480"/>
        <w:spacing w:after="0"/>
        <w:rPr>
          <w:sz w:val="20"/>
          <w:szCs w:val="20"/>
          <w:color w:val="auto"/>
        </w:rPr>
      </w:pPr>
      <w:r>
        <w:rPr>
          <w:rFonts w:ascii="Arial" w:cs="Arial" w:eastAsia="Arial" w:hAnsi="Arial"/>
          <w:sz w:val="18"/>
          <w:szCs w:val="18"/>
          <w:i w:val="1"/>
          <w:iCs w:val="1"/>
          <w:color w:val="auto"/>
        </w:rPr>
        <w:t>Hospice</w:t>
      </w:r>
    </w:p>
    <w:p>
      <w:pPr>
        <w:spacing w:after="0" w:line="171" w:lineRule="exact"/>
        <w:rPr>
          <w:sz w:val="20"/>
          <w:szCs w:val="20"/>
          <w:color w:val="auto"/>
        </w:rPr>
      </w:pPr>
    </w:p>
    <w:p>
      <w:pPr>
        <w:ind w:firstLine="476"/>
        <w:spacing w:after="0" w:line="293" w:lineRule="auto"/>
        <w:rPr>
          <w:sz w:val="20"/>
          <w:szCs w:val="20"/>
          <w:color w:val="auto"/>
        </w:rPr>
      </w:pPr>
      <w:r>
        <w:rPr>
          <w:rFonts w:ascii="Arial" w:cs="Arial" w:eastAsia="Arial" w:hAnsi="Arial"/>
          <w:sz w:val="16"/>
          <w:szCs w:val="16"/>
          <w:color w:val="auto"/>
        </w:rPr>
        <w:t>Hospice services provided to Medicare beneficiaries are paid under the Medicare Hospice Prospective Payment System, under which CMS sets a daily rate for each day a patient is enrolled in the hospice benefit. CMS updates these rates each fiscal year. Effective October 1, 2019, CMS increased hospice payment rates by 2.6%. This reflected a 3.0% market basket increase reduced by the multifactor productivity adjustment of 0.4 percentage points as required by the ACA. Additionally, the aggregate cap, which limits the total Medicare reimbursement that a hospice may receive based on an annual per-beneficiary cap amount and the number of Medicare patients served, was updated to $29,964.78 for fiscal year 2020. This amount reflects the hospice payment update of 2.6%. If a hospice’s Medicare payments exceed its aggregate cap, it must repay Medicare the excess amount.</w:t>
      </w:r>
    </w:p>
    <w:p>
      <w:pPr>
        <w:spacing w:after="0" w:line="191" w:lineRule="exact"/>
        <w:rPr>
          <w:sz w:val="20"/>
          <w:szCs w:val="20"/>
          <w:color w:val="auto"/>
        </w:rPr>
      </w:pPr>
    </w:p>
    <w:p>
      <w:pPr>
        <w:ind w:left="480"/>
        <w:spacing w:after="0"/>
        <w:rPr>
          <w:sz w:val="20"/>
          <w:szCs w:val="20"/>
          <w:color w:val="auto"/>
        </w:rPr>
      </w:pPr>
      <w:r>
        <w:rPr>
          <w:rFonts w:ascii="Arial" w:cs="Arial" w:eastAsia="Arial" w:hAnsi="Arial"/>
          <w:sz w:val="18"/>
          <w:szCs w:val="18"/>
          <w:i w:val="1"/>
          <w:iCs w:val="1"/>
          <w:color w:val="auto"/>
        </w:rPr>
        <w:t>COVID-19 Relief</w:t>
      </w:r>
    </w:p>
    <w:p>
      <w:pPr>
        <w:spacing w:after="0" w:line="77" w:lineRule="exact"/>
        <w:rPr>
          <w:sz w:val="20"/>
          <w:szCs w:val="20"/>
          <w:color w:val="auto"/>
        </w:rPr>
      </w:pPr>
    </w:p>
    <w:p>
      <w:pPr>
        <w:ind w:right="60" w:firstLine="476"/>
        <w:spacing w:after="0" w:line="254" w:lineRule="auto"/>
        <w:rPr>
          <w:sz w:val="20"/>
          <w:szCs w:val="20"/>
          <w:color w:val="auto"/>
        </w:rPr>
      </w:pPr>
      <w:r>
        <w:rPr>
          <w:rFonts w:ascii="Arial" w:cs="Arial" w:eastAsia="Arial" w:hAnsi="Arial"/>
          <w:sz w:val="18"/>
          <w:szCs w:val="18"/>
          <w:color w:val="auto"/>
        </w:rPr>
        <w:t>As a result of the COVID-19 pandemic, federal and state governments have passed legislation, promulgated regulations, and taken other administrative actions intended to assist healthcare providers in providing care to COVID-19 patients and other patients during the public health emergency. These temporary measures include relief from Medicare conditions of participation requirements for healthcare providers, relaxation of licensure requirements for healthcare professionals, relaxation of privacy restrictions for telehealth remote communications, promoting use of telehealth by expanding the scope of services for which Medicare reimbursement is available, and limited waivers of fraud and abuse laws for activities related to COVID-19 during the emergency period. The current federal public health emergency declaration expires October 23, 2020. The HHS Secretary may renew the declaration for successive 90-day periods for as long as the emergency continues to exist and may terminate the declaration whenever he determines that the emergency no longer exists.</w:t>
      </w:r>
    </w:p>
    <w:p>
      <w:pPr>
        <w:spacing w:after="0" w:line="138" w:lineRule="exact"/>
        <w:rPr>
          <w:sz w:val="20"/>
          <w:szCs w:val="20"/>
          <w:color w:val="auto"/>
        </w:rPr>
      </w:pPr>
    </w:p>
    <w:p>
      <w:pPr>
        <w:ind w:firstLine="476"/>
        <w:spacing w:after="0" w:line="286" w:lineRule="auto"/>
        <w:rPr>
          <w:sz w:val="20"/>
          <w:szCs w:val="20"/>
          <w:color w:val="auto"/>
        </w:rPr>
      </w:pPr>
      <w:r>
        <w:rPr>
          <w:rFonts w:ascii="Arial" w:cs="Arial" w:eastAsia="Arial" w:hAnsi="Arial"/>
          <w:sz w:val="16"/>
          <w:szCs w:val="16"/>
          <w:color w:val="auto"/>
        </w:rPr>
        <w:t>One of the primary sources of relief for healthcare providers is the CARES Act, which was expanded by the PPPHCE Act. Together, the CARES Act and the PPPHCE Act include $175 billion in funding to be distributed through the Relief Fund to eligible providers, including public entities and Medicare-and/or Medicaid-enrolled providers. Relief Fund payments are intended to compensate healthcare providers for lost revenues and health care related expenses incurred in response to the COVID-19 pandemic and are not required to be repaid, provided that recipients attest to and comply with certain terms and conditions, including limitations on balance billing and not using funds received from the Relief Fund to reimburse expenses or losses that other sources are obligated to reimburse. In addition, the CARES Act expands the Medicare Accelerated and Advance Payment Program to increase cash flow to providers impacted by the COVID-19 pandemic. Hospice and home health providers may request an advance or accelerated payment of up to 100% of the Medicare payment amount for a three-month period (not including Medicare Advantage payments). The Medicare Accelerated and Advanced Payment Program payments are a loan that providers must pay back. CMS must recoup the advance payments beginning 120 days after receipt by the provider by withholding future Medicare payments for claims. However, in April 2020, CMS suspended the Advance Payment Program, which is applicable to Part B providers, and announced it would reevaluate pending and new applications from Part A providers for the Accelerated Payment Program in light of the direct payments made available through the Relief Fund. The CARES Act also includes other provisions offering financial relief, for example temporarily lifting the Medicare sequester from May 1 through December 31, 2020, which would have otherwise reduced payments to Medicare providers by 2% (but also extending sequestration through 2030). The Medicare sequester relief resulted in an increase of $0.3 million and $0.1 million, respectively, to hospice and home health net service revenues for the three months ended June 30, 2020.</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223520</wp:posOffset>
            </wp:positionV>
            <wp:extent cx="7132320"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91" w:lineRule="exact"/>
        <w:rPr>
          <w:sz w:val="20"/>
          <w:szCs w:val="20"/>
          <w:color w:val="auto"/>
        </w:rPr>
      </w:pPr>
    </w:p>
    <w:p>
      <w:pPr>
        <w:ind w:firstLine="476"/>
        <w:spacing w:after="0" w:line="301" w:lineRule="auto"/>
        <w:rPr>
          <w:sz w:val="20"/>
          <w:szCs w:val="20"/>
          <w:color w:val="auto"/>
        </w:rPr>
      </w:pPr>
      <w:r>
        <w:rPr>
          <w:rFonts w:ascii="Arial" w:cs="Arial" w:eastAsia="Arial" w:hAnsi="Arial"/>
          <w:sz w:val="16"/>
          <w:szCs w:val="16"/>
          <w:color w:val="auto"/>
        </w:rPr>
        <w:t>Due to the recent enactment of the CARES Act, the PPPHCE Act and other enacted legislation, there is still a high degree of uncertainty surrounding their implementation. Further, the federal government is considering additional stimulus measures, federal agencies continue to issue related regulations and guidance, and the public health emergency continues to evolve. We continue to assess the potential impact of the CARES Act, the PPPHCE Act and other laws, regulations, and guidance related to COVID-19 on our business, results of operations, financial condition and cash flows.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Components of our Statements of Income</w:t>
      </w:r>
    </w:p>
    <w:p>
      <w:pPr>
        <w:spacing w:after="0" w:line="90" w:lineRule="exact"/>
        <w:rPr>
          <w:sz w:val="20"/>
          <w:szCs w:val="20"/>
          <w:color w:val="auto"/>
        </w:rPr>
      </w:pPr>
    </w:p>
    <w:p>
      <w:pPr>
        <w:ind w:left="480"/>
        <w:spacing w:after="0"/>
        <w:rPr>
          <w:sz w:val="20"/>
          <w:szCs w:val="20"/>
          <w:color w:val="auto"/>
        </w:rPr>
      </w:pPr>
      <w:r>
        <w:rPr>
          <w:rFonts w:ascii="Arial" w:cs="Arial" w:eastAsia="Arial" w:hAnsi="Arial"/>
          <w:sz w:val="18"/>
          <w:szCs w:val="18"/>
          <w:b w:val="1"/>
          <w:bCs w:val="1"/>
          <w:i w:val="1"/>
          <w:iCs w:val="1"/>
          <w:color w:val="auto"/>
        </w:rPr>
        <w:t>Net Service Revenues</w:t>
      </w:r>
    </w:p>
    <w:p>
      <w:pPr>
        <w:spacing w:after="0" w:line="77" w:lineRule="exact"/>
        <w:rPr>
          <w:sz w:val="20"/>
          <w:szCs w:val="20"/>
          <w:color w:val="auto"/>
        </w:rPr>
      </w:pPr>
    </w:p>
    <w:p>
      <w:pPr>
        <w:ind w:firstLine="476"/>
        <w:spacing w:after="0" w:line="296" w:lineRule="auto"/>
        <w:rPr>
          <w:sz w:val="20"/>
          <w:szCs w:val="20"/>
          <w:color w:val="auto"/>
        </w:rPr>
      </w:pPr>
      <w:r>
        <w:rPr>
          <w:rFonts w:ascii="Arial" w:cs="Arial" w:eastAsia="Arial" w:hAnsi="Arial"/>
          <w:sz w:val="16"/>
          <w:szCs w:val="16"/>
          <w:color w:val="auto"/>
        </w:rPr>
        <w:t>We generate net service revenues by providing our services directly to consumers and primarily on an hourly basis. We receive payment for providing such services from our payor clients, including federal, state and local governmental agencies, managed care organizations, commercial insurers and private consumers. Net service revenues are principally provided based on authorized hours, determined by the relevant agency, at an hourly rate which is either contractual or fixed by legislation and are recognized at the time services are rendered. We also record estimated implicit price concessions (based primarily on historical collection experience) related to uninsured accounts to record self-pay revenues at the estimated amounts we expect to collect.</w:t>
      </w:r>
    </w:p>
    <w:p>
      <w:pPr>
        <w:spacing w:after="0" w:line="13" w:lineRule="exact"/>
        <w:rPr>
          <w:sz w:val="20"/>
          <w:szCs w:val="20"/>
          <w:color w:val="auto"/>
        </w:rPr>
      </w:pPr>
    </w:p>
    <w:p>
      <w:pPr>
        <w:ind w:left="480"/>
        <w:spacing w:after="0"/>
        <w:rPr>
          <w:sz w:val="20"/>
          <w:szCs w:val="20"/>
          <w:color w:val="auto"/>
        </w:rPr>
      </w:pPr>
      <w:r>
        <w:rPr>
          <w:rFonts w:ascii="Arial" w:cs="Arial" w:eastAsia="Arial" w:hAnsi="Arial"/>
          <w:sz w:val="18"/>
          <w:szCs w:val="18"/>
          <w:b w:val="1"/>
          <w:bCs w:val="1"/>
          <w:i w:val="1"/>
          <w:iCs w:val="1"/>
          <w:color w:val="auto"/>
        </w:rPr>
        <w:t>Cost of Service Revenues</w:t>
      </w:r>
    </w:p>
    <w:p>
      <w:pPr>
        <w:spacing w:after="0" w:line="90" w:lineRule="exact"/>
        <w:rPr>
          <w:sz w:val="20"/>
          <w:szCs w:val="20"/>
          <w:color w:val="auto"/>
        </w:rPr>
      </w:pPr>
    </w:p>
    <w:p>
      <w:pPr>
        <w:ind w:right="1000" w:firstLine="476"/>
        <w:spacing w:after="0" w:line="277" w:lineRule="auto"/>
        <w:rPr>
          <w:sz w:val="20"/>
          <w:szCs w:val="20"/>
          <w:color w:val="auto"/>
        </w:rPr>
      </w:pPr>
      <w:r>
        <w:rPr>
          <w:rFonts w:ascii="Arial" w:cs="Arial" w:eastAsia="Arial" w:hAnsi="Arial"/>
          <w:sz w:val="18"/>
          <w:szCs w:val="18"/>
          <w:color w:val="auto"/>
        </w:rPr>
        <w:t>We incur direct care wages, payroll taxes and benefit-related costs in connection with providing our services. We also provide workers’ compensation and general liability coverage for our employees.</w:t>
      </w:r>
    </w:p>
    <w:p>
      <w:pPr>
        <w:spacing w:after="0" w:line="22" w:lineRule="exact"/>
        <w:rPr>
          <w:sz w:val="20"/>
          <w:szCs w:val="20"/>
          <w:color w:val="auto"/>
        </w:rPr>
      </w:pPr>
    </w:p>
    <w:p>
      <w:pPr>
        <w:ind w:left="480"/>
        <w:spacing w:after="0"/>
        <w:rPr>
          <w:sz w:val="20"/>
          <w:szCs w:val="20"/>
          <w:color w:val="auto"/>
        </w:rPr>
      </w:pPr>
      <w:r>
        <w:rPr>
          <w:rFonts w:ascii="Arial" w:cs="Arial" w:eastAsia="Arial" w:hAnsi="Arial"/>
          <w:sz w:val="18"/>
          <w:szCs w:val="18"/>
          <w:color w:val="auto"/>
        </w:rPr>
        <w:t>Employees are also reimbursed for their travel time and related travel costs in certain instances.</w:t>
      </w:r>
    </w:p>
    <w:p>
      <w:pPr>
        <w:spacing w:after="0" w:line="77" w:lineRule="exact"/>
        <w:rPr>
          <w:sz w:val="20"/>
          <w:szCs w:val="20"/>
          <w:color w:val="auto"/>
        </w:rPr>
      </w:pPr>
    </w:p>
    <w:p>
      <w:pPr>
        <w:ind w:left="480"/>
        <w:spacing w:after="0"/>
        <w:rPr>
          <w:sz w:val="20"/>
          <w:szCs w:val="20"/>
          <w:color w:val="auto"/>
        </w:rPr>
      </w:pPr>
      <w:r>
        <w:rPr>
          <w:rFonts w:ascii="Arial" w:cs="Arial" w:eastAsia="Arial" w:hAnsi="Arial"/>
          <w:sz w:val="18"/>
          <w:szCs w:val="18"/>
          <w:b w:val="1"/>
          <w:bCs w:val="1"/>
          <w:i w:val="1"/>
          <w:iCs w:val="1"/>
          <w:color w:val="auto"/>
        </w:rPr>
        <w:t>General and Administrative Expenses</w:t>
      </w:r>
    </w:p>
    <w:p>
      <w:pPr>
        <w:spacing w:after="0" w:line="90" w:lineRule="exact"/>
        <w:rPr>
          <w:sz w:val="20"/>
          <w:szCs w:val="20"/>
          <w:color w:val="auto"/>
        </w:rPr>
      </w:pPr>
    </w:p>
    <w:p>
      <w:pPr>
        <w:ind w:right="20" w:firstLine="476"/>
        <w:spacing w:after="0" w:line="254" w:lineRule="auto"/>
        <w:rPr>
          <w:sz w:val="20"/>
          <w:szCs w:val="20"/>
          <w:color w:val="auto"/>
        </w:rPr>
      </w:pPr>
      <w:r>
        <w:rPr>
          <w:rFonts w:ascii="Arial" w:cs="Arial" w:eastAsia="Arial" w:hAnsi="Arial"/>
          <w:sz w:val="18"/>
          <w:szCs w:val="18"/>
          <w:color w:val="auto"/>
        </w:rPr>
        <w:t>Our general and administrative expenses include our costs for operating our network of local agencies and our administrative offices. Our agency expenses consist of costs for supervisory personnel, our community care supervisors and office administrative costs. Personnel costs include wages, payroll taxes and employee benefits. Facility costs include rents, utilities, and postage, telephone and office expenses. Our support center expenses include costs for accounting, information systems, human resources, billing and collections, contracting, marketing and executive leadership. These expenses consist of compensation, including stock-based compensation, payroll taxes, employee benefits, legal, accounting and other professional fees, travel, general insurance, rents, provision for doubtful accounts and related facility costs. Expenses related to streamlining our operations such as costs related to terminated employees, termination of professional services relationships, other contract termination costs and asset write-offs are also included in general and administrative expenses.</w:t>
      </w:r>
    </w:p>
    <w:p>
      <w:pPr>
        <w:spacing w:after="0" w:line="205" w:lineRule="exact"/>
        <w:rPr>
          <w:sz w:val="20"/>
          <w:szCs w:val="20"/>
          <w:color w:val="auto"/>
        </w:rPr>
      </w:pPr>
    </w:p>
    <w:p>
      <w:pPr>
        <w:ind w:left="480"/>
        <w:spacing w:after="0"/>
        <w:rPr>
          <w:sz w:val="20"/>
          <w:szCs w:val="20"/>
          <w:color w:val="auto"/>
        </w:rPr>
      </w:pPr>
      <w:r>
        <w:rPr>
          <w:rFonts w:ascii="Arial" w:cs="Arial" w:eastAsia="Arial" w:hAnsi="Arial"/>
          <w:sz w:val="18"/>
          <w:szCs w:val="18"/>
          <w:b w:val="1"/>
          <w:bCs w:val="1"/>
          <w:i w:val="1"/>
          <w:iCs w:val="1"/>
          <w:color w:val="auto"/>
        </w:rPr>
        <w:t>Depreciation and Amortization Expenses</w:t>
      </w:r>
    </w:p>
    <w:p>
      <w:pPr>
        <w:spacing w:after="0" w:line="77" w:lineRule="exact"/>
        <w:rPr>
          <w:sz w:val="20"/>
          <w:szCs w:val="20"/>
          <w:color w:val="auto"/>
        </w:rPr>
      </w:pPr>
    </w:p>
    <w:p>
      <w:pPr>
        <w:ind w:right="40" w:firstLine="476"/>
        <w:spacing w:after="0" w:line="259" w:lineRule="auto"/>
        <w:rPr>
          <w:sz w:val="20"/>
          <w:szCs w:val="20"/>
          <w:color w:val="auto"/>
        </w:rPr>
      </w:pPr>
      <w:r>
        <w:rPr>
          <w:rFonts w:ascii="Arial" w:cs="Arial" w:eastAsia="Arial" w:hAnsi="Arial"/>
          <w:sz w:val="18"/>
          <w:szCs w:val="18"/>
          <w:color w:val="auto"/>
        </w:rPr>
        <w:t>Depreciable assets consist principally of furniture and equipment, network administration and telephone equipment, and operating system software. Depreciable and leasehold assets are depreciated or amortized on a straight-line method over their useful lives or, if less and if applicable, their lease terms. We amortize our intangible assets with finite lives, consisting of customer and referral relationships, trade names, trademarks and non-competition agreements, principally using accelerated methods based upon their estimated useful lives.</w:t>
      </w:r>
    </w:p>
    <w:p>
      <w:pPr>
        <w:spacing w:after="0" w:line="214" w:lineRule="exact"/>
        <w:rPr>
          <w:sz w:val="20"/>
          <w:szCs w:val="20"/>
          <w:color w:val="auto"/>
        </w:rPr>
      </w:pPr>
    </w:p>
    <w:p>
      <w:pPr>
        <w:ind w:left="480"/>
        <w:spacing w:after="0"/>
        <w:rPr>
          <w:sz w:val="20"/>
          <w:szCs w:val="20"/>
          <w:color w:val="auto"/>
        </w:rPr>
      </w:pPr>
      <w:r>
        <w:rPr>
          <w:rFonts w:ascii="Arial" w:cs="Arial" w:eastAsia="Arial" w:hAnsi="Arial"/>
          <w:sz w:val="18"/>
          <w:szCs w:val="18"/>
          <w:b w:val="1"/>
          <w:bCs w:val="1"/>
          <w:i w:val="1"/>
          <w:iCs w:val="1"/>
          <w:color w:val="auto"/>
        </w:rPr>
        <w:t>Interest Expense</w:t>
      </w:r>
    </w:p>
    <w:p>
      <w:pPr>
        <w:spacing w:after="0" w:line="77" w:lineRule="exact"/>
        <w:rPr>
          <w:sz w:val="20"/>
          <w:szCs w:val="20"/>
          <w:color w:val="auto"/>
        </w:rPr>
      </w:pPr>
    </w:p>
    <w:p>
      <w:pPr>
        <w:ind w:right="220" w:firstLine="476"/>
        <w:spacing w:after="0" w:line="277" w:lineRule="auto"/>
        <w:rPr>
          <w:sz w:val="20"/>
          <w:szCs w:val="20"/>
          <w:color w:val="auto"/>
        </w:rPr>
      </w:pPr>
      <w:r>
        <w:rPr>
          <w:rFonts w:ascii="Arial" w:cs="Arial" w:eastAsia="Arial" w:hAnsi="Arial"/>
          <w:sz w:val="18"/>
          <w:szCs w:val="18"/>
          <w:color w:val="auto"/>
        </w:rPr>
        <w:t>Interest expense is reported in the Unaudited Condensed Consolidated Statements of Income when incurred and consists of (i) interest and unused credit line fees on our credit facility and (ii) interest on our financing lease obligations.</w:t>
      </w:r>
    </w:p>
    <w:p>
      <w:pPr>
        <w:spacing w:after="0" w:line="184" w:lineRule="exact"/>
        <w:rPr>
          <w:sz w:val="20"/>
          <w:szCs w:val="20"/>
          <w:color w:val="auto"/>
        </w:rPr>
      </w:pPr>
    </w:p>
    <w:p>
      <w:pPr>
        <w:ind w:left="480"/>
        <w:spacing w:after="0"/>
        <w:rPr>
          <w:sz w:val="20"/>
          <w:szCs w:val="20"/>
          <w:color w:val="auto"/>
        </w:rPr>
      </w:pPr>
      <w:r>
        <w:rPr>
          <w:rFonts w:ascii="Arial" w:cs="Arial" w:eastAsia="Arial" w:hAnsi="Arial"/>
          <w:sz w:val="18"/>
          <w:szCs w:val="18"/>
          <w:b w:val="1"/>
          <w:bCs w:val="1"/>
          <w:i w:val="1"/>
          <w:iCs w:val="1"/>
          <w:color w:val="auto"/>
        </w:rPr>
        <w:t>Income Tax Expense</w:t>
      </w:r>
    </w:p>
    <w:p>
      <w:pPr>
        <w:spacing w:after="0" w:line="90" w:lineRule="exact"/>
        <w:rPr>
          <w:sz w:val="20"/>
          <w:szCs w:val="20"/>
          <w:color w:val="auto"/>
        </w:rPr>
      </w:pPr>
    </w:p>
    <w:p>
      <w:pPr>
        <w:ind w:firstLine="476"/>
        <w:spacing w:after="0" w:line="257" w:lineRule="auto"/>
        <w:rPr>
          <w:sz w:val="20"/>
          <w:szCs w:val="20"/>
          <w:color w:val="auto"/>
        </w:rPr>
      </w:pPr>
      <w:r>
        <w:rPr>
          <w:rFonts w:ascii="Arial" w:cs="Arial" w:eastAsia="Arial" w:hAnsi="Arial"/>
          <w:sz w:val="18"/>
          <w:szCs w:val="18"/>
          <w:color w:val="auto"/>
        </w:rPr>
        <w:t>All of our income is from domestic sources. We incur state and local taxes in states in which we operate. For the three and six months ended June 30, 2020 and 2019, the federal statutory rate was 21.0%. The effective income tax rate was 23.6% and 22.2% for the three months ended June 30, 2020 and 2019, respectively. For the three months ended June 30, 2020 and 2019, the difference between our federal statutory and effective income tax rates was principally due to the inclusion of state taxes and non-deductible compensation, partially offset by an excess tax benefit and the use of federal employment tax credits.</w:t>
      </w:r>
    </w:p>
    <w:p>
      <w:pPr>
        <w:spacing w:after="0" w:line="39" w:lineRule="exact"/>
        <w:rPr>
          <w:sz w:val="20"/>
          <w:szCs w:val="20"/>
          <w:color w:val="auto"/>
        </w:rPr>
      </w:pPr>
    </w:p>
    <w:p>
      <w:pPr>
        <w:ind w:right="100" w:firstLine="476"/>
        <w:spacing w:after="0" w:line="293" w:lineRule="auto"/>
        <w:rPr>
          <w:sz w:val="20"/>
          <w:szCs w:val="20"/>
          <w:color w:val="auto"/>
        </w:rPr>
      </w:pPr>
      <w:r>
        <w:rPr>
          <w:rFonts w:ascii="Arial" w:cs="Arial" w:eastAsia="Arial" w:hAnsi="Arial"/>
          <w:sz w:val="16"/>
          <w:szCs w:val="16"/>
          <w:color w:val="auto"/>
        </w:rPr>
        <w:t>The effective income tax rates are 18.6% and 19.4% for the six months ended June 30, 2020 and 2019, respectively. For the six months ended June 30, 2020 and 2019, the difference between our federal statutory and effective income tax rates was principally due to the inclusion of an excess tax benefit and the use of federal employment tax credits, partially offset by state taxes and non-deductible compensation. The effective tax rates were lower than the federal statutory rate primarily due to the inclusion of a 7.5% and 6.5% excess tax benefit for the six months ended June 30, 2020 and 2019, respectively. The excess tax benefit is a discrete item which requires us to recognize the benefit fully in the period. An excess tax benefit results if the Company’s income tax deduction exceeds the cumulative costs of the award recognized on the Unaudited Condensed Consolidated Statements of Income.</w:t>
      </w:r>
    </w:p>
    <w:p>
      <w:pPr>
        <w:spacing w:after="0" w:line="200" w:lineRule="exact"/>
        <w:rPr>
          <w:sz w:val="20"/>
          <w:szCs w:val="20"/>
          <w:color w:val="auto"/>
        </w:rPr>
      </w:pPr>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223520</wp:posOffset>
            </wp:positionV>
            <wp:extent cx="7132320"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29" w:lineRule="exact"/>
        <w:rPr>
          <w:sz w:val="20"/>
          <w:szCs w:val="20"/>
          <w:color w:val="auto"/>
        </w:rPr>
      </w:pPr>
    </w:p>
    <w:p>
      <w:pPr>
        <w:ind w:left="480"/>
        <w:spacing w:after="0"/>
        <w:rPr>
          <w:sz w:val="20"/>
          <w:szCs w:val="20"/>
          <w:color w:val="auto"/>
        </w:rPr>
      </w:pPr>
      <w:r>
        <w:rPr>
          <w:rFonts w:ascii="Arial" w:cs="Arial" w:eastAsia="Arial" w:hAnsi="Arial"/>
          <w:sz w:val="18"/>
          <w:szCs w:val="18"/>
          <w:b w:val="1"/>
          <w:bCs w:val="1"/>
          <w:i w:val="1"/>
          <w:iCs w:val="1"/>
          <w:color w:val="auto"/>
        </w:rPr>
        <w:t>Results of Operations — Consolidated</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Three Months Ended June 30, 2020 Compared to Three Months Ended June 30, 2019</w:t>
      </w:r>
    </w:p>
    <w:p>
      <w:pPr>
        <w:spacing w:after="0" w:line="90" w:lineRule="exact"/>
        <w:rPr>
          <w:sz w:val="20"/>
          <w:szCs w:val="20"/>
          <w:color w:val="auto"/>
        </w:rPr>
      </w:pPr>
    </w:p>
    <w:p>
      <w:pPr>
        <w:ind w:left="480"/>
        <w:spacing w:after="0"/>
        <w:rPr>
          <w:sz w:val="20"/>
          <w:szCs w:val="20"/>
          <w:color w:val="auto"/>
        </w:rPr>
      </w:pPr>
      <w:r>
        <w:rPr>
          <w:rFonts w:ascii="Arial" w:cs="Arial" w:eastAsia="Arial" w:hAnsi="Arial"/>
          <w:sz w:val="18"/>
          <w:szCs w:val="18"/>
          <w:color w:val="auto"/>
        </w:rPr>
        <w:t>The following table sets forth, for the periods indicated, our unaudited condensed consolidated results of operations.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3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2700" w:type="dxa"/>
            <w:vAlign w:val="bottom"/>
            <w:tcBorders>
              <w:bottom w:val="single" w:sz="8" w:color="auto"/>
            </w:tcBorders>
            <w:gridSpan w:val="9"/>
          </w:tcPr>
          <w:p>
            <w:pPr>
              <w:ind w:left="160"/>
              <w:spacing w:after="0"/>
              <w:rPr>
                <w:sz w:val="20"/>
                <w:szCs w:val="20"/>
                <w:color w:val="auto"/>
              </w:rPr>
            </w:pPr>
            <w:r>
              <w:rPr>
                <w:rFonts w:ascii="Arial" w:cs="Arial" w:eastAsia="Arial" w:hAnsi="Arial"/>
                <w:sz w:val="14"/>
                <w:szCs w:val="14"/>
                <w:b w:val="1"/>
                <w:bCs w:val="1"/>
                <w:color w:val="auto"/>
              </w:rPr>
              <w:t>For the Three Months Ended June 30,</w:t>
            </w:r>
          </w:p>
        </w:tc>
        <w:tc>
          <w:tcPr>
            <w:tcW w:w="8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0" w:type="dxa"/>
            <w:vAlign w:val="bottom"/>
            <w:gridSpan w:val="3"/>
            <w:vMerge w:val="restart"/>
          </w:tcPr>
          <w:p>
            <w:pPr>
              <w:ind w:left="620"/>
              <w:spacing w:after="0"/>
              <w:rPr>
                <w:sz w:val="20"/>
                <w:szCs w:val="20"/>
                <w:color w:val="auto"/>
              </w:rPr>
            </w:pPr>
            <w:r>
              <w:rPr>
                <w:rFonts w:ascii="Arial" w:cs="Arial" w:eastAsia="Arial" w:hAnsi="Arial"/>
                <w:sz w:val="14"/>
                <w:szCs w:val="14"/>
                <w:b w:val="1"/>
                <w:bCs w:val="1"/>
                <w:color w:val="auto"/>
              </w:rPr>
              <w:t>Change</w:t>
            </w: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33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gridSpan w:val="3"/>
          </w:tcPr>
          <w:p>
            <w:pPr>
              <w:jc w:val="right"/>
              <w:ind w:right="20"/>
              <w:spacing w:after="0" w:line="155" w:lineRule="exact"/>
              <w:rPr>
                <w:sz w:val="20"/>
                <w:szCs w:val="20"/>
                <w:color w:val="auto"/>
              </w:rPr>
            </w:pPr>
            <w:r>
              <w:rPr>
                <w:rFonts w:ascii="Arial" w:cs="Arial" w:eastAsia="Arial" w:hAnsi="Arial"/>
                <w:sz w:val="14"/>
                <w:szCs w:val="14"/>
                <w:b w:val="1"/>
                <w:bCs w:val="1"/>
                <w:color w:val="auto"/>
              </w:rPr>
              <w:t>2020</w:t>
            </w:r>
          </w:p>
        </w:tc>
        <w:tc>
          <w:tcPr>
            <w:tcW w:w="820" w:type="dxa"/>
            <w:vAlign w:val="bottom"/>
            <w:tcBorders>
              <w:bottom w:val="single" w:sz="8" w:color="auto"/>
            </w:tcBorders>
          </w:tcPr>
          <w:p>
            <w:pPr>
              <w:spacing w:after="0"/>
              <w:rPr>
                <w:sz w:val="13"/>
                <w:szCs w:val="13"/>
                <w:color w:val="auto"/>
              </w:rPr>
            </w:pPr>
          </w:p>
        </w:tc>
        <w:tc>
          <w:tcPr>
            <w:tcW w:w="3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gridSpan w:val="3"/>
          </w:tcPr>
          <w:p>
            <w:pPr>
              <w:jc w:val="right"/>
              <w:ind w:right="20"/>
              <w:spacing w:after="0" w:line="155" w:lineRule="exact"/>
              <w:rPr>
                <w:sz w:val="20"/>
                <w:szCs w:val="20"/>
                <w:color w:val="auto"/>
              </w:rPr>
            </w:pPr>
            <w:r>
              <w:rPr>
                <w:rFonts w:ascii="Arial" w:cs="Arial" w:eastAsia="Arial" w:hAnsi="Arial"/>
                <w:sz w:val="14"/>
                <w:szCs w:val="14"/>
                <w:b w:val="1"/>
                <w:bCs w:val="1"/>
                <w:color w:val="auto"/>
              </w:rPr>
              <w:t>2019</w:t>
            </w:r>
          </w:p>
        </w:tc>
        <w:tc>
          <w:tcPr>
            <w:tcW w:w="82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200" w:type="dxa"/>
            <w:vAlign w:val="bottom"/>
            <w:tcBorders>
              <w:bottom w:val="single" w:sz="8" w:color="auto"/>
            </w:tcBorders>
            <w:gridSpan w:val="3"/>
            <w:vMerge w:val="continue"/>
          </w:tcPr>
          <w:p>
            <w:pPr>
              <w:spacing w:after="0"/>
              <w:rPr>
                <w:sz w:val="13"/>
                <w:szCs w:val="13"/>
                <w:color w:val="auto"/>
              </w:rPr>
            </w:pPr>
          </w:p>
        </w:tc>
        <w:tc>
          <w:tcPr>
            <w:tcW w:w="66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6"/>
        </w:trPr>
        <w:tc>
          <w:tcPr>
            <w:tcW w:w="33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20" w:type="dxa"/>
            <w:vAlign w:val="bottom"/>
          </w:tcPr>
          <w:p>
            <w:pPr>
              <w:jc w:val="center"/>
              <w:spacing w:after="0" w:line="147" w:lineRule="exact"/>
              <w:rPr>
                <w:sz w:val="20"/>
                <w:szCs w:val="20"/>
                <w:color w:val="auto"/>
              </w:rPr>
            </w:pPr>
            <w:r>
              <w:rPr>
                <w:rFonts w:ascii="Arial" w:cs="Arial" w:eastAsia="Arial" w:hAnsi="Arial"/>
                <w:sz w:val="14"/>
                <w:szCs w:val="14"/>
                <w:b w:val="1"/>
                <w:bCs w:val="1"/>
                <w:color w:val="auto"/>
              </w:rPr>
              <w:t>% Of</w:t>
            </w:r>
          </w:p>
        </w:tc>
        <w:tc>
          <w:tcPr>
            <w:tcW w:w="3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20" w:type="dxa"/>
            <w:vAlign w:val="bottom"/>
          </w:tcPr>
          <w:p>
            <w:pPr>
              <w:jc w:val="center"/>
              <w:spacing w:after="0" w:line="147" w:lineRule="exact"/>
              <w:rPr>
                <w:sz w:val="20"/>
                <w:szCs w:val="20"/>
                <w:color w:val="auto"/>
              </w:rPr>
            </w:pPr>
            <w:r>
              <w:rPr>
                <w:rFonts w:ascii="Arial" w:cs="Arial" w:eastAsia="Arial" w:hAnsi="Arial"/>
                <w:sz w:val="14"/>
                <w:szCs w:val="14"/>
                <w:b w:val="1"/>
                <w:bCs w:val="1"/>
                <w:color w:val="auto"/>
              </w:rPr>
              <w:t>% Of</w:t>
            </w:r>
          </w:p>
        </w:tc>
        <w:tc>
          <w:tcPr>
            <w:tcW w:w="1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33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20" w:type="dxa"/>
            <w:vAlign w:val="bottom"/>
          </w:tcPr>
          <w:p>
            <w:pPr>
              <w:jc w:val="center"/>
              <w:spacing w:after="0"/>
              <w:rPr>
                <w:sz w:val="20"/>
                <w:szCs w:val="20"/>
                <w:color w:val="auto"/>
              </w:rPr>
            </w:pPr>
            <w:r>
              <w:rPr>
                <w:rFonts w:ascii="Arial" w:cs="Arial" w:eastAsia="Arial" w:hAnsi="Arial"/>
                <w:sz w:val="14"/>
                <w:szCs w:val="14"/>
                <w:b w:val="1"/>
                <w:bCs w:val="1"/>
                <w:color w:val="auto"/>
                <w:w w:val="91"/>
              </w:rPr>
              <w:t>Net Service</w:t>
            </w:r>
          </w:p>
        </w:tc>
        <w:tc>
          <w:tcPr>
            <w:tcW w:w="3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92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1"/>
              </w:rPr>
              <w:t>Net Service</w:t>
            </w:r>
          </w:p>
        </w:tc>
        <w:tc>
          <w:tcPr>
            <w:tcW w:w="3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33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gridSpan w:val="3"/>
          </w:tcPr>
          <w:p>
            <w:pPr>
              <w:jc w:val="right"/>
              <w:ind w:right="460"/>
              <w:spacing w:after="0"/>
              <w:rPr>
                <w:sz w:val="20"/>
                <w:szCs w:val="20"/>
                <w:color w:val="auto"/>
              </w:rPr>
            </w:pPr>
            <w:r>
              <w:rPr>
                <w:rFonts w:ascii="Arial" w:cs="Arial" w:eastAsia="Arial" w:hAnsi="Arial"/>
                <w:sz w:val="14"/>
                <w:szCs w:val="14"/>
                <w:b w:val="1"/>
                <w:bCs w:val="1"/>
                <w:color w:val="auto"/>
                <w:w w:val="98"/>
              </w:rPr>
              <w:t>Amount</w:t>
            </w:r>
          </w:p>
        </w:tc>
        <w:tc>
          <w:tcPr>
            <w:tcW w:w="8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7"/>
              </w:rPr>
              <w:t>Revenues</w:t>
            </w:r>
          </w:p>
        </w:tc>
        <w:tc>
          <w:tcPr>
            <w:tcW w:w="36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gridSpan w:val="3"/>
          </w:tcPr>
          <w:p>
            <w:pPr>
              <w:ind w:left="40"/>
              <w:spacing w:after="0"/>
              <w:rPr>
                <w:sz w:val="20"/>
                <w:szCs w:val="20"/>
                <w:color w:val="auto"/>
              </w:rPr>
            </w:pPr>
            <w:r>
              <w:rPr>
                <w:rFonts w:ascii="Arial" w:cs="Arial" w:eastAsia="Arial" w:hAnsi="Arial"/>
                <w:sz w:val="14"/>
                <w:szCs w:val="14"/>
                <w:b w:val="1"/>
                <w:bCs w:val="1"/>
                <w:color w:val="auto"/>
              </w:rPr>
              <w:t>Amount</w:t>
            </w:r>
          </w:p>
        </w:tc>
        <w:tc>
          <w:tcPr>
            <w:tcW w:w="920" w:type="dxa"/>
            <w:vAlign w:val="bottom"/>
            <w:tcBorders>
              <w:bottom w:val="single" w:sz="8" w:color="auto"/>
            </w:tcBorders>
            <w:gridSpan w:val="2"/>
          </w:tcPr>
          <w:p>
            <w:pPr>
              <w:jc w:val="center"/>
              <w:ind w:right="160"/>
              <w:spacing w:after="0"/>
              <w:rPr>
                <w:sz w:val="20"/>
                <w:szCs w:val="20"/>
                <w:color w:val="auto"/>
              </w:rPr>
            </w:pPr>
            <w:r>
              <w:rPr>
                <w:rFonts w:ascii="Arial" w:cs="Arial" w:eastAsia="Arial" w:hAnsi="Arial"/>
                <w:sz w:val="14"/>
                <w:szCs w:val="14"/>
                <w:b w:val="1"/>
                <w:bCs w:val="1"/>
                <w:color w:val="auto"/>
                <w:w w:val="90"/>
              </w:rPr>
              <w:t>Revenues</w:t>
            </w:r>
          </w:p>
        </w:tc>
        <w:tc>
          <w:tcPr>
            <w:tcW w:w="34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gridSpan w:val="3"/>
          </w:tcPr>
          <w:p>
            <w:pPr>
              <w:ind w:left="40"/>
              <w:spacing w:after="0"/>
              <w:rPr>
                <w:sz w:val="20"/>
                <w:szCs w:val="20"/>
                <w:color w:val="auto"/>
              </w:rPr>
            </w:pPr>
            <w:r>
              <w:rPr>
                <w:rFonts w:ascii="Arial" w:cs="Arial" w:eastAsia="Arial" w:hAnsi="Arial"/>
                <w:sz w:val="14"/>
                <w:szCs w:val="14"/>
                <w:b w:val="1"/>
                <w:bCs w:val="1"/>
                <w:color w:val="auto"/>
              </w:rPr>
              <w:t>Amount</w:t>
            </w:r>
          </w:p>
        </w:tc>
        <w:tc>
          <w:tcPr>
            <w:tcW w:w="660" w:type="dxa"/>
            <w:vAlign w:val="bottom"/>
            <w:tcBorders>
              <w:bottom w:val="single" w:sz="8" w:color="auto"/>
            </w:tcBorders>
          </w:tcPr>
          <w:p>
            <w:pPr>
              <w:jc w:val="right"/>
              <w:ind w:right="291"/>
              <w:spacing w:after="0"/>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3380" w:type="dxa"/>
            <w:vAlign w:val="bottom"/>
            <w:tcBorders>
              <w:bottom w:val="single" w:sz="8" w:color="CFF0FC"/>
            </w:tcBorders>
          </w:tcPr>
          <w:p>
            <w:pPr>
              <w:spacing w:after="0"/>
              <w:rPr>
                <w:sz w:val="13"/>
                <w:szCs w:val="13"/>
                <w:color w:val="auto"/>
              </w:rPr>
            </w:pPr>
          </w:p>
        </w:tc>
        <w:tc>
          <w:tcPr>
            <w:tcW w:w="720" w:type="dxa"/>
            <w:vAlign w:val="bottom"/>
            <w:tcBorders>
              <w:bottom w:val="single" w:sz="8" w:color="CFF0FC"/>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4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spacing w:after="0"/>
              <w:rPr>
                <w:sz w:val="13"/>
                <w:szCs w:val="13"/>
                <w:color w:val="auto"/>
              </w:rPr>
            </w:pPr>
          </w:p>
        </w:tc>
        <w:tc>
          <w:tcPr>
            <w:tcW w:w="2860" w:type="dxa"/>
            <w:vAlign w:val="bottom"/>
            <w:tcBorders>
              <w:bottom w:val="single" w:sz="8" w:color="auto"/>
            </w:tcBorders>
            <w:gridSpan w:val="9"/>
          </w:tcPr>
          <w:p>
            <w:pPr>
              <w:jc w:val="center"/>
              <w:spacing w:after="0" w:line="155" w:lineRule="exact"/>
              <w:rPr>
                <w:sz w:val="20"/>
                <w:szCs w:val="20"/>
                <w:color w:val="auto"/>
              </w:rPr>
            </w:pPr>
            <w:r>
              <w:rPr>
                <w:rFonts w:ascii="Arial" w:cs="Arial" w:eastAsia="Arial" w:hAnsi="Arial"/>
                <w:sz w:val="14"/>
                <w:szCs w:val="14"/>
                <w:b w:val="1"/>
                <w:bCs w:val="1"/>
                <w:color w:val="auto"/>
                <w:w w:val="91"/>
              </w:rPr>
              <w:t>(Amounts in Thousands, Except Percentages)</w:t>
            </w:r>
          </w:p>
        </w:tc>
        <w:tc>
          <w:tcPr>
            <w:tcW w:w="14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660" w:type="dxa"/>
            <w:vAlign w:val="bottom"/>
            <w:tcBorders>
              <w:bottom w:val="single" w:sz="8" w:color="auto"/>
            </w:tcBorders>
          </w:tcPr>
          <w:p>
            <w:pPr>
              <w:spacing w:after="0"/>
              <w:rPr>
                <w:sz w:val="13"/>
                <w:szCs w:val="13"/>
                <w:color w:val="auto"/>
              </w:rPr>
            </w:pPr>
          </w:p>
        </w:tc>
        <w:tc>
          <w:tcPr>
            <w:tcW w:w="100" w:type="dxa"/>
            <w:vAlign w:val="bottom"/>
            <w:tcBorders>
              <w:bottom w:val="single" w:sz="8" w:color="CFF0FC"/>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3380" w:type="dxa"/>
            <w:vAlign w:val="bottom"/>
            <w:shd w:val="clear" w:color="auto" w:fill="CFF0FC"/>
          </w:tcPr>
          <w:p>
            <w:pPr>
              <w:spacing w:after="0"/>
              <w:rPr>
                <w:sz w:val="20"/>
                <w:szCs w:val="20"/>
                <w:color w:val="auto"/>
              </w:rPr>
            </w:pPr>
            <w:r>
              <w:rPr>
                <w:rFonts w:ascii="Arial" w:cs="Arial" w:eastAsia="Arial" w:hAnsi="Arial"/>
                <w:sz w:val="18"/>
                <w:szCs w:val="18"/>
                <w:color w:val="auto"/>
              </w:rPr>
              <w:t>Net service revenues</w:t>
            </w:r>
          </w:p>
        </w:tc>
        <w:tc>
          <w:tcPr>
            <w:tcW w:w="720" w:type="dxa"/>
            <w:vAlign w:val="bottom"/>
            <w:shd w:val="clear" w:color="auto" w:fill="CFF0FC"/>
          </w:tcPr>
          <w:p>
            <w:pPr>
              <w:spacing w:after="0"/>
              <w:rPr>
                <w:sz w:val="19"/>
                <w:szCs w:val="19"/>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184,576</w:t>
            </w:r>
          </w:p>
        </w:tc>
        <w:tc>
          <w:tcPr>
            <w:tcW w:w="24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100.0</w:t>
            </w:r>
          </w:p>
        </w:tc>
        <w:tc>
          <w:tcPr>
            <w:tcW w:w="360" w:type="dxa"/>
            <w:vAlign w:val="bottom"/>
            <w:shd w:val="clear" w:color="auto" w:fill="CFF0FC"/>
          </w:tcPr>
          <w:p>
            <w:pPr>
              <w:jc w:val="right"/>
              <w:ind w:right="16"/>
              <w:spacing w:after="0"/>
              <w:rPr>
                <w:sz w:val="20"/>
                <w:szCs w:val="20"/>
                <w:color w:val="auto"/>
              </w:rPr>
            </w:pPr>
            <w:r>
              <w:rPr>
                <w:rFonts w:ascii="Arial" w:cs="Arial" w:eastAsia="Arial" w:hAnsi="Arial"/>
                <w:sz w:val="18"/>
                <w:szCs w:val="18"/>
                <w:color w:val="auto"/>
              </w:rPr>
              <w:t>%</w:t>
            </w:r>
          </w:p>
        </w:tc>
        <w:tc>
          <w:tcPr>
            <w:tcW w:w="2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148,915</w:t>
            </w:r>
          </w:p>
        </w:tc>
        <w:tc>
          <w:tcPr>
            <w:tcW w:w="22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100.0</w:t>
            </w:r>
          </w:p>
        </w:tc>
        <w:tc>
          <w:tcPr>
            <w:tcW w:w="100" w:type="dxa"/>
            <w:vAlign w:val="bottom"/>
            <w:shd w:val="clear" w:color="auto" w:fill="CFF0FC"/>
          </w:tcPr>
          <w:p>
            <w:pPr>
              <w:spacing w:after="0"/>
              <w:rPr>
                <w:sz w:val="19"/>
                <w:szCs w:val="19"/>
                <w:color w:val="auto"/>
              </w:rPr>
            </w:pPr>
          </w:p>
        </w:tc>
        <w:tc>
          <w:tcPr>
            <w:tcW w:w="34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w w:val="87"/>
              </w:rPr>
              <w:t>%</w:t>
            </w:r>
          </w:p>
        </w:tc>
        <w:tc>
          <w:tcPr>
            <w:tcW w:w="14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35,661</w:t>
            </w:r>
          </w:p>
        </w:tc>
        <w:tc>
          <w:tcPr>
            <w:tcW w:w="2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23.9</w:t>
            </w:r>
          </w:p>
        </w:tc>
        <w:tc>
          <w:tcPr>
            <w:tcW w:w="100" w:type="dxa"/>
            <w:vAlign w:val="bottom"/>
            <w:shd w:val="clear" w:color="auto" w:fill="CFF0FC"/>
          </w:tcPr>
          <w:p>
            <w:pPr>
              <w:spacing w:after="0"/>
              <w:rPr>
                <w:sz w:val="19"/>
                <w:szCs w:val="19"/>
                <w:color w:val="auto"/>
              </w:rPr>
            </w:pPr>
          </w:p>
        </w:tc>
        <w:tc>
          <w:tcPr>
            <w:tcW w:w="2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87"/>
              </w:rPr>
              <w:t>%</w:t>
            </w:r>
          </w:p>
        </w:tc>
        <w:tc>
          <w:tcPr>
            <w:tcW w:w="0" w:type="dxa"/>
            <w:vAlign w:val="bottom"/>
          </w:tcPr>
          <w:p>
            <w:pPr>
              <w:spacing w:after="0"/>
              <w:rPr>
                <w:sz w:val="1"/>
                <w:szCs w:val="1"/>
                <w:color w:val="auto"/>
              </w:rPr>
            </w:pPr>
          </w:p>
        </w:tc>
      </w:tr>
      <w:tr>
        <w:trPr>
          <w:trHeight w:val="230"/>
        </w:trPr>
        <w:tc>
          <w:tcPr>
            <w:tcW w:w="338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Cost of service revenues</w:t>
            </w:r>
          </w:p>
        </w:tc>
        <w:tc>
          <w:tcPr>
            <w:tcW w:w="720" w:type="dxa"/>
            <w:vAlign w:val="bottom"/>
            <w:tcBorders>
              <w:bottom w:val="single" w:sz="8" w:color="CFF0FC"/>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129,579</w:t>
            </w:r>
          </w:p>
        </w:tc>
        <w:tc>
          <w:tcPr>
            <w:tcW w:w="240" w:type="dxa"/>
            <w:vAlign w:val="bottom"/>
            <w:tcBorders>
              <w:bottom w:val="single" w:sz="8" w:color="CFF0FC"/>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70.2</w:t>
            </w:r>
          </w:p>
        </w:tc>
        <w:tc>
          <w:tcPr>
            <w:tcW w:w="36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109,222</w:t>
            </w:r>
          </w:p>
        </w:tc>
        <w:tc>
          <w:tcPr>
            <w:tcW w:w="220" w:type="dxa"/>
            <w:vAlign w:val="bottom"/>
            <w:tcBorders>
              <w:bottom w:val="single" w:sz="8" w:color="CFF0FC"/>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73.3</w:t>
            </w:r>
          </w:p>
        </w:tc>
        <w:tc>
          <w:tcPr>
            <w:tcW w:w="100" w:type="dxa"/>
            <w:vAlign w:val="bottom"/>
            <w:tcBorders>
              <w:bottom w:val="single" w:sz="8" w:color="CFF0FC"/>
            </w:tcBorders>
          </w:tcPr>
          <w:p>
            <w:pPr>
              <w:spacing w:after="0"/>
              <w:rPr>
                <w:sz w:val="19"/>
                <w:szCs w:val="19"/>
                <w:color w:val="auto"/>
              </w:rPr>
            </w:pPr>
          </w:p>
        </w:tc>
        <w:tc>
          <w:tcPr>
            <w:tcW w:w="340" w:type="dxa"/>
            <w:vAlign w:val="bottom"/>
            <w:tcBorders>
              <w:bottom w:val="single" w:sz="8" w:color="CFF0FC"/>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20,357</w:t>
            </w:r>
          </w:p>
        </w:tc>
        <w:tc>
          <w:tcPr>
            <w:tcW w:w="22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18.6</w:t>
            </w:r>
          </w:p>
        </w:tc>
        <w:tc>
          <w:tcPr>
            <w:tcW w:w="100" w:type="dxa"/>
            <w:vAlign w:val="bottom"/>
            <w:tcBorders>
              <w:bottom w:val="single" w:sz="8" w:color="CFF0FC"/>
            </w:tcBorders>
          </w:tcPr>
          <w:p>
            <w:pPr>
              <w:spacing w:after="0"/>
              <w:rPr>
                <w:sz w:val="19"/>
                <w:szCs w:val="19"/>
                <w:color w:val="auto"/>
              </w:rPr>
            </w:pPr>
          </w:p>
        </w:tc>
        <w:tc>
          <w:tcPr>
            <w:tcW w:w="2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380" w:type="dxa"/>
            <w:vAlign w:val="bottom"/>
            <w:shd w:val="clear" w:color="auto" w:fill="CFF0FC"/>
          </w:tcPr>
          <w:p>
            <w:pPr>
              <w:spacing w:after="0"/>
              <w:rPr>
                <w:sz w:val="20"/>
                <w:szCs w:val="20"/>
                <w:color w:val="auto"/>
              </w:rPr>
            </w:pPr>
            <w:r>
              <w:rPr>
                <w:rFonts w:ascii="Arial" w:cs="Arial" w:eastAsia="Arial" w:hAnsi="Arial"/>
                <w:sz w:val="18"/>
                <w:szCs w:val="18"/>
                <w:color w:val="auto"/>
              </w:rPr>
              <w:t>Gross profit</w:t>
            </w:r>
          </w:p>
        </w:tc>
        <w:tc>
          <w:tcPr>
            <w:tcW w:w="7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54,997</w:t>
            </w:r>
          </w:p>
        </w:tc>
        <w:tc>
          <w:tcPr>
            <w:tcW w:w="24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29.8</w:t>
            </w:r>
          </w:p>
        </w:tc>
        <w:tc>
          <w:tcPr>
            <w:tcW w:w="3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39,693</w:t>
            </w:r>
          </w:p>
        </w:tc>
        <w:tc>
          <w:tcPr>
            <w:tcW w:w="22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26.7</w:t>
            </w:r>
          </w:p>
        </w:tc>
        <w:tc>
          <w:tcPr>
            <w:tcW w:w="10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15,304</w:t>
            </w:r>
          </w:p>
        </w:tc>
        <w:tc>
          <w:tcPr>
            <w:tcW w:w="2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38.6</w:t>
            </w:r>
          </w:p>
        </w:tc>
        <w:tc>
          <w:tcPr>
            <w:tcW w:w="1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380" w:type="dxa"/>
            <w:vAlign w:val="bottom"/>
          </w:tcPr>
          <w:p>
            <w:pPr>
              <w:spacing w:after="0"/>
              <w:rPr>
                <w:sz w:val="20"/>
                <w:szCs w:val="20"/>
                <w:color w:val="auto"/>
              </w:rPr>
            </w:pPr>
            <w:r>
              <w:rPr>
                <w:rFonts w:ascii="Arial" w:cs="Arial" w:eastAsia="Arial" w:hAnsi="Arial"/>
                <w:sz w:val="18"/>
                <w:szCs w:val="18"/>
                <w:color w:val="auto"/>
              </w:rPr>
              <w:t>General and administrative expenses</w:t>
            </w:r>
          </w:p>
        </w:tc>
        <w:tc>
          <w:tcPr>
            <w:tcW w:w="7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42,450</w:t>
            </w:r>
          </w:p>
        </w:tc>
        <w:tc>
          <w:tcPr>
            <w:tcW w:w="2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23.0</w:t>
            </w:r>
          </w:p>
        </w:tc>
        <w:tc>
          <w:tcPr>
            <w:tcW w:w="3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29,767</w:t>
            </w:r>
          </w:p>
        </w:tc>
        <w:tc>
          <w:tcPr>
            <w:tcW w:w="2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20.0</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12,683</w:t>
            </w: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42.6</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380" w:type="dxa"/>
            <w:vAlign w:val="bottom"/>
            <w:shd w:val="clear" w:color="auto" w:fill="CFF0FC"/>
          </w:tcPr>
          <w:p>
            <w:pPr>
              <w:spacing w:after="0"/>
              <w:rPr>
                <w:sz w:val="20"/>
                <w:szCs w:val="20"/>
                <w:color w:val="auto"/>
              </w:rPr>
            </w:pPr>
            <w:r>
              <w:rPr>
                <w:rFonts w:ascii="Arial" w:cs="Arial" w:eastAsia="Arial" w:hAnsi="Arial"/>
                <w:sz w:val="18"/>
                <w:szCs w:val="18"/>
                <w:color w:val="auto"/>
              </w:rPr>
              <w:t>Depreciation and amortization</w:t>
            </w:r>
          </w:p>
        </w:tc>
        <w:tc>
          <w:tcPr>
            <w:tcW w:w="720" w:type="dxa"/>
            <w:vAlign w:val="bottom"/>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7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2,940</w:t>
            </w:r>
          </w:p>
        </w:tc>
        <w:tc>
          <w:tcPr>
            <w:tcW w:w="240" w:type="dxa"/>
            <w:vAlign w:val="bottom"/>
            <w:shd w:val="clear" w:color="auto" w:fill="CFF0FC"/>
          </w:tcPr>
          <w:p>
            <w:pPr>
              <w:spacing w:after="0"/>
              <w:rPr>
                <w:sz w:val="19"/>
                <w:szCs w:val="19"/>
                <w:color w:val="auto"/>
              </w:rPr>
            </w:pPr>
          </w:p>
        </w:tc>
        <w:tc>
          <w:tcPr>
            <w:tcW w:w="40" w:type="dxa"/>
            <w:vAlign w:val="bottom"/>
            <w:tcBorders>
              <w:bottom w:val="single" w:sz="8" w:color="auto"/>
            </w:tcBorders>
            <w:shd w:val="clear" w:color="auto" w:fill="CFF0FC"/>
          </w:tcPr>
          <w:p>
            <w:pPr>
              <w:spacing w:after="0"/>
              <w:rPr>
                <w:sz w:val="19"/>
                <w:szCs w:val="19"/>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w:t>
            </w:r>
          </w:p>
        </w:tc>
        <w:tc>
          <w:tcPr>
            <w:tcW w:w="3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7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2,535</w:t>
            </w:r>
          </w:p>
        </w:tc>
        <w:tc>
          <w:tcPr>
            <w:tcW w:w="220" w:type="dxa"/>
            <w:vAlign w:val="bottom"/>
            <w:shd w:val="clear" w:color="auto" w:fill="CFF0FC"/>
          </w:tcPr>
          <w:p>
            <w:pPr>
              <w:spacing w:after="0"/>
              <w:rPr>
                <w:sz w:val="19"/>
                <w:szCs w:val="19"/>
                <w:color w:val="auto"/>
              </w:rPr>
            </w:pPr>
          </w:p>
        </w:tc>
        <w:tc>
          <w:tcPr>
            <w:tcW w:w="60" w:type="dxa"/>
            <w:vAlign w:val="bottom"/>
            <w:tcBorders>
              <w:bottom w:val="single" w:sz="8" w:color="auto"/>
            </w:tcBorders>
            <w:shd w:val="clear" w:color="auto" w:fill="CFF0FC"/>
          </w:tcPr>
          <w:p>
            <w:pPr>
              <w:spacing w:after="0"/>
              <w:rPr>
                <w:sz w:val="19"/>
                <w:szCs w:val="19"/>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w:t>
            </w:r>
          </w:p>
        </w:tc>
        <w:tc>
          <w:tcPr>
            <w:tcW w:w="10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7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405</w:t>
            </w:r>
          </w:p>
        </w:tc>
        <w:tc>
          <w:tcPr>
            <w:tcW w:w="22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6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16.0</w:t>
            </w:r>
          </w:p>
        </w:tc>
        <w:tc>
          <w:tcPr>
            <w:tcW w:w="1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38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Total operating expenses</w:t>
            </w:r>
          </w:p>
        </w:tc>
        <w:tc>
          <w:tcPr>
            <w:tcW w:w="720" w:type="dxa"/>
            <w:vAlign w:val="bottom"/>
            <w:tcBorders>
              <w:bottom w:val="single" w:sz="8" w:color="CFF0FC"/>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45,390</w:t>
            </w:r>
          </w:p>
        </w:tc>
        <w:tc>
          <w:tcPr>
            <w:tcW w:w="240" w:type="dxa"/>
            <w:vAlign w:val="bottom"/>
            <w:tcBorders>
              <w:bottom w:val="single" w:sz="8" w:color="CFF0FC"/>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24.6</w:t>
            </w:r>
          </w:p>
        </w:tc>
        <w:tc>
          <w:tcPr>
            <w:tcW w:w="36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32,302</w:t>
            </w:r>
          </w:p>
        </w:tc>
        <w:tc>
          <w:tcPr>
            <w:tcW w:w="220" w:type="dxa"/>
            <w:vAlign w:val="bottom"/>
            <w:tcBorders>
              <w:bottom w:val="single" w:sz="8" w:color="CFF0FC"/>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21.7</w:t>
            </w:r>
          </w:p>
        </w:tc>
        <w:tc>
          <w:tcPr>
            <w:tcW w:w="100" w:type="dxa"/>
            <w:vAlign w:val="bottom"/>
            <w:tcBorders>
              <w:bottom w:val="single" w:sz="8" w:color="CFF0FC"/>
            </w:tcBorders>
          </w:tcPr>
          <w:p>
            <w:pPr>
              <w:spacing w:after="0"/>
              <w:rPr>
                <w:sz w:val="19"/>
                <w:szCs w:val="19"/>
                <w:color w:val="auto"/>
              </w:rPr>
            </w:pPr>
          </w:p>
        </w:tc>
        <w:tc>
          <w:tcPr>
            <w:tcW w:w="340" w:type="dxa"/>
            <w:vAlign w:val="bottom"/>
            <w:tcBorders>
              <w:bottom w:val="single" w:sz="8" w:color="CFF0FC"/>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13,088</w:t>
            </w:r>
          </w:p>
        </w:tc>
        <w:tc>
          <w:tcPr>
            <w:tcW w:w="22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40.5</w:t>
            </w:r>
          </w:p>
        </w:tc>
        <w:tc>
          <w:tcPr>
            <w:tcW w:w="100" w:type="dxa"/>
            <w:vAlign w:val="bottom"/>
            <w:tcBorders>
              <w:bottom w:val="single" w:sz="8" w:color="CFF0FC"/>
            </w:tcBorders>
          </w:tcPr>
          <w:p>
            <w:pPr>
              <w:spacing w:after="0"/>
              <w:rPr>
                <w:sz w:val="19"/>
                <w:szCs w:val="19"/>
                <w:color w:val="auto"/>
              </w:rPr>
            </w:pPr>
          </w:p>
        </w:tc>
        <w:tc>
          <w:tcPr>
            <w:tcW w:w="2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380" w:type="dxa"/>
            <w:vAlign w:val="bottom"/>
            <w:shd w:val="clear" w:color="auto" w:fill="CFF0FC"/>
          </w:tcPr>
          <w:p>
            <w:pPr>
              <w:spacing w:after="0"/>
              <w:rPr>
                <w:sz w:val="20"/>
                <w:szCs w:val="20"/>
                <w:color w:val="auto"/>
              </w:rPr>
            </w:pPr>
            <w:r>
              <w:rPr>
                <w:rFonts w:ascii="Arial" w:cs="Arial" w:eastAsia="Arial" w:hAnsi="Arial"/>
                <w:sz w:val="18"/>
                <w:szCs w:val="18"/>
                <w:color w:val="auto"/>
              </w:rPr>
              <w:t>Operating income</w:t>
            </w:r>
          </w:p>
        </w:tc>
        <w:tc>
          <w:tcPr>
            <w:tcW w:w="720" w:type="dxa"/>
            <w:vAlign w:val="bottom"/>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7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9,607</w:t>
            </w:r>
          </w:p>
        </w:tc>
        <w:tc>
          <w:tcPr>
            <w:tcW w:w="240" w:type="dxa"/>
            <w:vAlign w:val="bottom"/>
            <w:shd w:val="clear" w:color="auto" w:fill="CFF0FC"/>
          </w:tcPr>
          <w:p>
            <w:pPr>
              <w:spacing w:after="0"/>
              <w:rPr>
                <w:sz w:val="19"/>
                <w:szCs w:val="19"/>
                <w:color w:val="auto"/>
              </w:rPr>
            </w:pPr>
          </w:p>
        </w:tc>
        <w:tc>
          <w:tcPr>
            <w:tcW w:w="40" w:type="dxa"/>
            <w:vAlign w:val="bottom"/>
            <w:tcBorders>
              <w:bottom w:val="single" w:sz="8" w:color="auto"/>
            </w:tcBorders>
            <w:shd w:val="clear" w:color="auto" w:fill="CFF0FC"/>
          </w:tcPr>
          <w:p>
            <w:pPr>
              <w:spacing w:after="0"/>
              <w:rPr>
                <w:sz w:val="19"/>
                <w:szCs w:val="19"/>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5.2</w:t>
            </w:r>
          </w:p>
        </w:tc>
        <w:tc>
          <w:tcPr>
            <w:tcW w:w="3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7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7,391</w:t>
            </w:r>
          </w:p>
        </w:tc>
        <w:tc>
          <w:tcPr>
            <w:tcW w:w="220" w:type="dxa"/>
            <w:vAlign w:val="bottom"/>
            <w:shd w:val="clear" w:color="auto" w:fill="CFF0FC"/>
          </w:tcPr>
          <w:p>
            <w:pPr>
              <w:spacing w:after="0"/>
              <w:rPr>
                <w:sz w:val="19"/>
                <w:szCs w:val="19"/>
                <w:color w:val="auto"/>
              </w:rPr>
            </w:pPr>
          </w:p>
        </w:tc>
        <w:tc>
          <w:tcPr>
            <w:tcW w:w="60" w:type="dxa"/>
            <w:vAlign w:val="bottom"/>
            <w:tcBorders>
              <w:bottom w:val="single" w:sz="8" w:color="auto"/>
            </w:tcBorders>
            <w:shd w:val="clear" w:color="auto" w:fill="CFF0FC"/>
          </w:tcPr>
          <w:p>
            <w:pPr>
              <w:spacing w:after="0"/>
              <w:rPr>
                <w:sz w:val="19"/>
                <w:szCs w:val="19"/>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5.0</w:t>
            </w:r>
          </w:p>
        </w:tc>
        <w:tc>
          <w:tcPr>
            <w:tcW w:w="10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7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2,216</w:t>
            </w:r>
          </w:p>
        </w:tc>
        <w:tc>
          <w:tcPr>
            <w:tcW w:w="22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6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30.0</w:t>
            </w:r>
          </w:p>
        </w:tc>
        <w:tc>
          <w:tcPr>
            <w:tcW w:w="1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380" w:type="dxa"/>
            <w:vAlign w:val="bottom"/>
          </w:tcPr>
          <w:p>
            <w:pPr>
              <w:spacing w:after="0"/>
              <w:rPr>
                <w:sz w:val="20"/>
                <w:szCs w:val="20"/>
                <w:color w:val="auto"/>
              </w:rPr>
            </w:pPr>
            <w:r>
              <w:rPr>
                <w:rFonts w:ascii="Arial" w:cs="Arial" w:eastAsia="Arial" w:hAnsi="Arial"/>
                <w:sz w:val="18"/>
                <w:szCs w:val="18"/>
                <w:color w:val="auto"/>
              </w:rPr>
              <w:t>Interest income</w:t>
            </w:r>
          </w:p>
        </w:tc>
        <w:tc>
          <w:tcPr>
            <w:tcW w:w="7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(155)</w:t>
            </w:r>
          </w:p>
        </w:tc>
        <w:tc>
          <w:tcPr>
            <w:tcW w:w="2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(0.1)</w:t>
            </w:r>
          </w:p>
        </w:tc>
        <w:tc>
          <w:tcPr>
            <w:tcW w:w="3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(95)</w:t>
            </w:r>
          </w:p>
        </w:tc>
        <w:tc>
          <w:tcPr>
            <w:tcW w:w="2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(0.1)</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(60)</w:t>
            </w: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63.2</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380" w:type="dxa"/>
            <w:vAlign w:val="bottom"/>
            <w:shd w:val="clear" w:color="auto" w:fill="CFF0FC"/>
          </w:tcPr>
          <w:p>
            <w:pPr>
              <w:spacing w:after="0"/>
              <w:rPr>
                <w:sz w:val="20"/>
                <w:szCs w:val="20"/>
                <w:color w:val="auto"/>
              </w:rPr>
            </w:pPr>
            <w:r>
              <w:rPr>
                <w:rFonts w:ascii="Arial" w:cs="Arial" w:eastAsia="Arial" w:hAnsi="Arial"/>
                <w:sz w:val="18"/>
                <w:szCs w:val="18"/>
                <w:color w:val="auto"/>
              </w:rPr>
              <w:t>Interest expense</w:t>
            </w:r>
          </w:p>
        </w:tc>
        <w:tc>
          <w:tcPr>
            <w:tcW w:w="720" w:type="dxa"/>
            <w:vAlign w:val="bottom"/>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7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721</w:t>
            </w:r>
          </w:p>
        </w:tc>
        <w:tc>
          <w:tcPr>
            <w:tcW w:w="240" w:type="dxa"/>
            <w:vAlign w:val="bottom"/>
            <w:shd w:val="clear" w:color="auto" w:fill="CFF0FC"/>
          </w:tcPr>
          <w:p>
            <w:pPr>
              <w:spacing w:after="0"/>
              <w:rPr>
                <w:sz w:val="19"/>
                <w:szCs w:val="19"/>
                <w:color w:val="auto"/>
              </w:rPr>
            </w:pPr>
          </w:p>
        </w:tc>
        <w:tc>
          <w:tcPr>
            <w:tcW w:w="40" w:type="dxa"/>
            <w:vAlign w:val="bottom"/>
            <w:tcBorders>
              <w:bottom w:val="single" w:sz="8" w:color="auto"/>
            </w:tcBorders>
            <w:shd w:val="clear" w:color="auto" w:fill="CFF0FC"/>
          </w:tcPr>
          <w:p>
            <w:pPr>
              <w:spacing w:after="0"/>
              <w:rPr>
                <w:sz w:val="19"/>
                <w:szCs w:val="19"/>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0.4</w:t>
            </w:r>
          </w:p>
        </w:tc>
        <w:tc>
          <w:tcPr>
            <w:tcW w:w="3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7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680</w:t>
            </w:r>
          </w:p>
        </w:tc>
        <w:tc>
          <w:tcPr>
            <w:tcW w:w="220" w:type="dxa"/>
            <w:vAlign w:val="bottom"/>
            <w:shd w:val="clear" w:color="auto" w:fill="CFF0FC"/>
          </w:tcPr>
          <w:p>
            <w:pPr>
              <w:spacing w:after="0"/>
              <w:rPr>
                <w:sz w:val="19"/>
                <w:szCs w:val="19"/>
                <w:color w:val="auto"/>
              </w:rPr>
            </w:pPr>
          </w:p>
        </w:tc>
        <w:tc>
          <w:tcPr>
            <w:tcW w:w="60" w:type="dxa"/>
            <w:vAlign w:val="bottom"/>
            <w:tcBorders>
              <w:bottom w:val="single" w:sz="8" w:color="auto"/>
            </w:tcBorders>
            <w:shd w:val="clear" w:color="auto" w:fill="CFF0FC"/>
          </w:tcPr>
          <w:p>
            <w:pPr>
              <w:spacing w:after="0"/>
              <w:rPr>
                <w:sz w:val="19"/>
                <w:szCs w:val="19"/>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0.5</w:t>
            </w:r>
          </w:p>
        </w:tc>
        <w:tc>
          <w:tcPr>
            <w:tcW w:w="10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7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41</w:t>
            </w:r>
          </w:p>
        </w:tc>
        <w:tc>
          <w:tcPr>
            <w:tcW w:w="22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6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6.0</w:t>
            </w:r>
          </w:p>
        </w:tc>
        <w:tc>
          <w:tcPr>
            <w:tcW w:w="1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380" w:type="dxa"/>
            <w:vAlign w:val="bottom"/>
          </w:tcPr>
          <w:p>
            <w:pPr>
              <w:spacing w:after="0"/>
              <w:rPr>
                <w:sz w:val="20"/>
                <w:szCs w:val="20"/>
                <w:color w:val="auto"/>
              </w:rPr>
            </w:pPr>
            <w:r>
              <w:rPr>
                <w:rFonts w:ascii="Arial" w:cs="Arial" w:eastAsia="Arial" w:hAnsi="Arial"/>
                <w:sz w:val="18"/>
                <w:szCs w:val="18"/>
                <w:color w:val="auto"/>
              </w:rPr>
              <w:t>Total interest expense, net</w:t>
            </w:r>
          </w:p>
        </w:tc>
        <w:tc>
          <w:tcPr>
            <w:tcW w:w="7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566</w:t>
            </w:r>
          </w:p>
        </w:tc>
        <w:tc>
          <w:tcPr>
            <w:tcW w:w="2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0.3</w:t>
            </w:r>
          </w:p>
        </w:tc>
        <w:tc>
          <w:tcPr>
            <w:tcW w:w="3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585</w:t>
            </w:r>
          </w:p>
        </w:tc>
        <w:tc>
          <w:tcPr>
            <w:tcW w:w="2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0.4</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(19)</w:t>
            </w: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(3.2)</w:t>
            </w: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380" w:type="dxa"/>
            <w:vAlign w:val="bottom"/>
            <w:shd w:val="clear" w:color="auto" w:fill="CFF0FC"/>
          </w:tcPr>
          <w:p>
            <w:pPr>
              <w:spacing w:after="0"/>
              <w:rPr>
                <w:sz w:val="20"/>
                <w:szCs w:val="20"/>
                <w:color w:val="auto"/>
              </w:rPr>
            </w:pPr>
            <w:r>
              <w:rPr>
                <w:rFonts w:ascii="Arial" w:cs="Arial" w:eastAsia="Arial" w:hAnsi="Arial"/>
                <w:sz w:val="18"/>
                <w:szCs w:val="18"/>
                <w:color w:val="auto"/>
              </w:rPr>
              <w:t>Income before income taxes</w:t>
            </w:r>
          </w:p>
        </w:tc>
        <w:tc>
          <w:tcPr>
            <w:tcW w:w="7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9,041</w:t>
            </w:r>
          </w:p>
        </w:tc>
        <w:tc>
          <w:tcPr>
            <w:tcW w:w="24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4.9</w:t>
            </w:r>
          </w:p>
        </w:tc>
        <w:tc>
          <w:tcPr>
            <w:tcW w:w="3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6,806</w:t>
            </w:r>
          </w:p>
        </w:tc>
        <w:tc>
          <w:tcPr>
            <w:tcW w:w="22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4.6</w:t>
            </w:r>
          </w:p>
        </w:tc>
        <w:tc>
          <w:tcPr>
            <w:tcW w:w="10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2,235</w:t>
            </w:r>
          </w:p>
        </w:tc>
        <w:tc>
          <w:tcPr>
            <w:tcW w:w="2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32.8</w:t>
            </w:r>
          </w:p>
        </w:tc>
        <w:tc>
          <w:tcPr>
            <w:tcW w:w="1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38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Income tax expense</w:t>
            </w:r>
          </w:p>
        </w:tc>
        <w:tc>
          <w:tcPr>
            <w:tcW w:w="720" w:type="dxa"/>
            <w:vAlign w:val="bottom"/>
            <w:tcBorders>
              <w:bottom w:val="single" w:sz="8" w:color="CFF0FC"/>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2,134</w:t>
            </w:r>
          </w:p>
        </w:tc>
        <w:tc>
          <w:tcPr>
            <w:tcW w:w="240" w:type="dxa"/>
            <w:vAlign w:val="bottom"/>
            <w:tcBorders>
              <w:bottom w:val="single" w:sz="8" w:color="CFF0FC"/>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w:t>
            </w:r>
          </w:p>
        </w:tc>
        <w:tc>
          <w:tcPr>
            <w:tcW w:w="36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1,514</w:t>
            </w:r>
          </w:p>
        </w:tc>
        <w:tc>
          <w:tcPr>
            <w:tcW w:w="220" w:type="dxa"/>
            <w:vAlign w:val="bottom"/>
            <w:tcBorders>
              <w:bottom w:val="single" w:sz="8" w:color="CFF0FC"/>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w:t>
            </w:r>
          </w:p>
        </w:tc>
        <w:tc>
          <w:tcPr>
            <w:tcW w:w="100" w:type="dxa"/>
            <w:vAlign w:val="bottom"/>
            <w:tcBorders>
              <w:bottom w:val="single" w:sz="8" w:color="CFF0FC"/>
            </w:tcBorders>
          </w:tcPr>
          <w:p>
            <w:pPr>
              <w:spacing w:after="0"/>
              <w:rPr>
                <w:sz w:val="19"/>
                <w:szCs w:val="19"/>
                <w:color w:val="auto"/>
              </w:rPr>
            </w:pPr>
          </w:p>
        </w:tc>
        <w:tc>
          <w:tcPr>
            <w:tcW w:w="340" w:type="dxa"/>
            <w:vAlign w:val="bottom"/>
            <w:tcBorders>
              <w:bottom w:val="single" w:sz="8" w:color="CFF0FC"/>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620</w:t>
            </w:r>
          </w:p>
        </w:tc>
        <w:tc>
          <w:tcPr>
            <w:tcW w:w="22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41.0</w:t>
            </w:r>
          </w:p>
        </w:tc>
        <w:tc>
          <w:tcPr>
            <w:tcW w:w="100" w:type="dxa"/>
            <w:vAlign w:val="bottom"/>
            <w:tcBorders>
              <w:bottom w:val="single" w:sz="8" w:color="CFF0FC"/>
            </w:tcBorders>
          </w:tcPr>
          <w:p>
            <w:pPr>
              <w:spacing w:after="0"/>
              <w:rPr>
                <w:sz w:val="19"/>
                <w:szCs w:val="19"/>
                <w:color w:val="auto"/>
              </w:rPr>
            </w:pPr>
          </w:p>
        </w:tc>
        <w:tc>
          <w:tcPr>
            <w:tcW w:w="2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38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Net income</w:t>
            </w:r>
          </w:p>
        </w:tc>
        <w:tc>
          <w:tcPr>
            <w:tcW w:w="720" w:type="dxa"/>
            <w:vAlign w:val="bottom"/>
            <w:tcBorders>
              <w:bottom w:val="single" w:sz="8" w:color="CFF0FC"/>
            </w:tcBorders>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6,907</w:t>
            </w:r>
          </w:p>
        </w:tc>
        <w:tc>
          <w:tcPr>
            <w:tcW w:w="240" w:type="dxa"/>
            <w:vAlign w:val="bottom"/>
            <w:tcBorders>
              <w:bottom w:val="single" w:sz="8" w:color="CFF0FC"/>
            </w:tcBorders>
            <w:shd w:val="clear" w:color="auto" w:fill="CFF0FC"/>
          </w:tcPr>
          <w:p>
            <w:pPr>
              <w:spacing w:after="0"/>
              <w:rPr>
                <w:sz w:val="19"/>
                <w:szCs w:val="19"/>
                <w:color w:val="auto"/>
              </w:rPr>
            </w:pPr>
          </w:p>
        </w:tc>
        <w:tc>
          <w:tcPr>
            <w:tcW w:w="40" w:type="dxa"/>
            <w:vAlign w:val="bottom"/>
            <w:tcBorders>
              <w:bottom w:val="single" w:sz="8" w:color="auto"/>
            </w:tcBorders>
            <w:shd w:val="clear" w:color="auto" w:fill="CFF0FC"/>
          </w:tcPr>
          <w:p>
            <w:pPr>
              <w:spacing w:after="0"/>
              <w:rPr>
                <w:sz w:val="19"/>
                <w:szCs w:val="19"/>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3.7</w:t>
            </w:r>
          </w:p>
        </w:tc>
        <w:tc>
          <w:tcPr>
            <w:tcW w:w="360" w:type="dxa"/>
            <w:vAlign w:val="bottom"/>
            <w:tcBorders>
              <w:bottom w:val="single" w:sz="8" w:color="CFF0FC"/>
            </w:tcBorders>
            <w:shd w:val="clear" w:color="auto" w:fill="CFF0FC"/>
          </w:tcPr>
          <w:p>
            <w:pPr>
              <w:jc w:val="right"/>
              <w:ind w:right="16"/>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CFF0FC"/>
            </w:tcBorders>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5,292</w:t>
            </w:r>
          </w:p>
        </w:tc>
        <w:tc>
          <w:tcPr>
            <w:tcW w:w="220" w:type="dxa"/>
            <w:vAlign w:val="bottom"/>
            <w:tcBorders>
              <w:bottom w:val="single" w:sz="8" w:color="CFF0FC"/>
            </w:tcBorders>
            <w:shd w:val="clear" w:color="auto" w:fill="CFF0FC"/>
          </w:tcPr>
          <w:p>
            <w:pPr>
              <w:spacing w:after="0"/>
              <w:rPr>
                <w:sz w:val="19"/>
                <w:szCs w:val="19"/>
                <w:color w:val="auto"/>
              </w:rPr>
            </w:pPr>
          </w:p>
        </w:tc>
        <w:tc>
          <w:tcPr>
            <w:tcW w:w="60" w:type="dxa"/>
            <w:vAlign w:val="bottom"/>
            <w:tcBorders>
              <w:bottom w:val="single" w:sz="8" w:color="auto"/>
            </w:tcBorders>
            <w:shd w:val="clear" w:color="auto" w:fill="CFF0FC"/>
          </w:tcPr>
          <w:p>
            <w:pPr>
              <w:spacing w:after="0"/>
              <w:rPr>
                <w:sz w:val="19"/>
                <w:szCs w:val="19"/>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3.6</w:t>
            </w:r>
          </w:p>
        </w:tc>
        <w:tc>
          <w:tcPr>
            <w:tcW w:w="100" w:type="dxa"/>
            <w:vAlign w:val="bottom"/>
            <w:tcBorders>
              <w:bottom w:val="single" w:sz="8" w:color="CFF0FC"/>
            </w:tcBorders>
            <w:shd w:val="clear" w:color="auto" w:fill="CFF0FC"/>
          </w:tcPr>
          <w:p>
            <w:pPr>
              <w:spacing w:after="0"/>
              <w:rPr>
                <w:sz w:val="19"/>
                <w:szCs w:val="19"/>
                <w:color w:val="auto"/>
              </w:rPr>
            </w:pPr>
          </w:p>
        </w:tc>
        <w:tc>
          <w:tcPr>
            <w:tcW w:w="340" w:type="dxa"/>
            <w:vAlign w:val="bottom"/>
            <w:tcBorders>
              <w:bottom w:val="single" w:sz="8" w:color="CFF0FC"/>
            </w:tcBorders>
            <w:shd w:val="clear" w:color="auto" w:fill="CFF0FC"/>
          </w:tcPr>
          <w:p>
            <w:pPr>
              <w:jc w:val="right"/>
              <w:ind w:right="90"/>
              <w:spacing w:after="0"/>
              <w:rPr>
                <w:sz w:val="20"/>
                <w:szCs w:val="20"/>
                <w:color w:val="auto"/>
              </w:rPr>
            </w:pPr>
            <w:r>
              <w:rPr>
                <w:rFonts w:ascii="Arial" w:cs="Arial" w:eastAsia="Arial" w:hAnsi="Arial"/>
                <w:sz w:val="18"/>
                <w:szCs w:val="18"/>
                <w:color w:val="auto"/>
                <w:w w:val="87"/>
              </w:rPr>
              <w:t>%</w:t>
            </w:r>
          </w:p>
        </w:tc>
        <w:tc>
          <w:tcPr>
            <w:tcW w:w="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1,615</w:t>
            </w:r>
          </w:p>
        </w:tc>
        <w:tc>
          <w:tcPr>
            <w:tcW w:w="220" w:type="dxa"/>
            <w:vAlign w:val="bottom"/>
            <w:tcBorders>
              <w:bottom w:val="single" w:sz="8" w:color="CFF0FC"/>
            </w:tcBorders>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6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30.5</w:t>
            </w:r>
          </w:p>
        </w:tc>
        <w:tc>
          <w:tcPr>
            <w:tcW w:w="100" w:type="dxa"/>
            <w:vAlign w:val="bottom"/>
            <w:tcBorders>
              <w:bottom w:val="single" w:sz="8" w:color="CFF0FC"/>
            </w:tcBorders>
            <w:shd w:val="clear" w:color="auto" w:fill="CFF0FC"/>
          </w:tcPr>
          <w:p>
            <w:pPr>
              <w:spacing w:after="0"/>
              <w:rPr>
                <w:sz w:val="19"/>
                <w:szCs w:val="19"/>
                <w:color w:val="auto"/>
              </w:rPr>
            </w:pPr>
          </w:p>
        </w:tc>
        <w:tc>
          <w:tcPr>
            <w:tcW w:w="22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w w:val="87"/>
              </w:rPr>
              <w:t>%</w:t>
            </w:r>
          </w:p>
        </w:tc>
        <w:tc>
          <w:tcPr>
            <w:tcW w:w="0" w:type="dxa"/>
            <w:vAlign w:val="bottom"/>
          </w:tcPr>
          <w:p>
            <w:pPr>
              <w:spacing w:after="0"/>
              <w:rPr>
                <w:sz w:val="1"/>
                <w:szCs w:val="1"/>
                <w:color w:val="auto"/>
              </w:rPr>
            </w:pPr>
          </w:p>
        </w:tc>
      </w:tr>
      <w:tr>
        <w:trPr>
          <w:trHeight w:val="20"/>
        </w:trPr>
        <w:tc>
          <w:tcPr>
            <w:tcW w:w="33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8" w:lineRule="exact"/>
        <w:rPr>
          <w:sz w:val="20"/>
          <w:szCs w:val="20"/>
          <w:color w:val="auto"/>
        </w:rPr>
      </w:pPr>
    </w:p>
    <w:p>
      <w:pPr>
        <w:ind w:right="60" w:firstLine="476"/>
        <w:spacing w:after="0" w:line="257" w:lineRule="auto"/>
        <w:rPr>
          <w:sz w:val="20"/>
          <w:szCs w:val="20"/>
          <w:color w:val="auto"/>
        </w:rPr>
      </w:pPr>
      <w:r>
        <w:rPr>
          <w:rFonts w:ascii="Arial" w:cs="Arial" w:eastAsia="Arial" w:hAnsi="Arial"/>
          <w:sz w:val="18"/>
          <w:szCs w:val="18"/>
          <w:color w:val="auto"/>
        </w:rPr>
        <w:t>Net service revenues increased by 23.9% to $184.6 million for the three months ended June 30, 2020 compared to $148.9 million for the three months ended June 30, 2019. The increase was due to an increase in same store growth of 9.7% and an 11.8% increase in revenues per billable hour for the three months ended June 30, 2020, partially offset by a decrease in average billable census of 7.2% in our personal care segment. In addition, revenue increased by $16.1 million from our hospice segment during the three months ended June 30, 2020, compared to the same period in 2019, partially attributed to the fiscal year 2019 acquisitions of Hospice Partners and Alliance.</w:t>
      </w:r>
    </w:p>
    <w:p>
      <w:pPr>
        <w:spacing w:after="0" w:line="134" w:lineRule="exact"/>
        <w:rPr>
          <w:sz w:val="20"/>
          <w:szCs w:val="20"/>
          <w:color w:val="auto"/>
        </w:rPr>
      </w:pPr>
    </w:p>
    <w:p>
      <w:pPr>
        <w:ind w:right="20" w:firstLine="476"/>
        <w:spacing w:after="0" w:line="308" w:lineRule="auto"/>
        <w:rPr>
          <w:sz w:val="20"/>
          <w:szCs w:val="20"/>
          <w:color w:val="auto"/>
        </w:rPr>
      </w:pPr>
      <w:r>
        <w:rPr>
          <w:rFonts w:ascii="Arial" w:cs="Arial" w:eastAsia="Arial" w:hAnsi="Arial"/>
          <w:sz w:val="17"/>
          <w:szCs w:val="17"/>
          <w:color w:val="auto"/>
        </w:rPr>
        <w:t>Gross profit, expressed as a percentage of net service revenues, increased to 29.8% for the three months ended June 30, 2020, compared to 26.7% for the same period in 2019. The increase was mainly attributed to the acquisition of the relatively higher margin businesses in 2019.</w:t>
      </w:r>
    </w:p>
    <w:p>
      <w:pPr>
        <w:spacing w:after="0" w:line="92" w:lineRule="exact"/>
        <w:rPr>
          <w:sz w:val="20"/>
          <w:szCs w:val="20"/>
          <w:color w:val="auto"/>
        </w:rPr>
      </w:pPr>
    </w:p>
    <w:p>
      <w:pPr>
        <w:ind w:right="20" w:firstLine="476"/>
        <w:spacing w:after="0" w:line="254" w:lineRule="auto"/>
        <w:rPr>
          <w:sz w:val="20"/>
          <w:szCs w:val="20"/>
          <w:color w:val="auto"/>
        </w:rPr>
      </w:pPr>
      <w:r>
        <w:rPr>
          <w:rFonts w:ascii="Arial" w:cs="Arial" w:eastAsia="Arial" w:hAnsi="Arial"/>
          <w:sz w:val="18"/>
          <w:szCs w:val="18"/>
          <w:color w:val="auto"/>
        </w:rPr>
        <w:t>General and administrative expenses increased to $42.5 million for the three months ended June 30, 2020 as compared to $29.8 million for the three months ended June 30, 2019. The increase in general and administrative expenses was primarily due to acquisitions that resulted in an increase in administrative employee wages, taxes and benefit costs of $7.6 million, an increase in data processing of $0.5 million and an increase in rent expense of $0.6 million. In addition, acquisition related costs and professional fees increased by $1.2 million and $1.9 million, respectively, for the three months ended June 30, 2020 compared to the three months ended June 30, 2019. General and administrative expenses, expressed as a percentage of net service revenues increased to 23.0% for the three months ended June 30, 2020, from 20.0% for the three months ended June 30, 2019 mainly related to an increase in audit expenses.</w:t>
      </w:r>
    </w:p>
    <w:p>
      <w:pPr>
        <w:spacing w:after="0" w:line="141" w:lineRule="exact"/>
        <w:rPr>
          <w:sz w:val="20"/>
          <w:szCs w:val="20"/>
          <w:color w:val="auto"/>
        </w:rPr>
      </w:pPr>
    </w:p>
    <w:p>
      <w:pPr>
        <w:ind w:right="60" w:firstLine="476"/>
        <w:spacing w:after="0" w:line="277" w:lineRule="auto"/>
        <w:rPr>
          <w:sz w:val="20"/>
          <w:szCs w:val="20"/>
          <w:color w:val="auto"/>
        </w:rPr>
      </w:pPr>
      <w:r>
        <w:rPr>
          <w:rFonts w:ascii="Arial" w:cs="Arial" w:eastAsia="Arial" w:hAnsi="Arial"/>
          <w:sz w:val="18"/>
          <w:szCs w:val="18"/>
          <w:color w:val="auto"/>
        </w:rPr>
        <w:t>Depreciation and amortization expense increased to $2.9 million from $2.5 million for the three months ended June 30, 2020 and 2019, respectively, primarily due to the increase of intangible assets related to the fiscal year 2019 acquisitions.</w:t>
      </w:r>
    </w:p>
    <w:p>
      <w:pPr>
        <w:spacing w:after="0" w:line="184" w:lineRule="exact"/>
        <w:rPr>
          <w:sz w:val="20"/>
          <w:szCs w:val="20"/>
          <w:color w:val="auto"/>
        </w:rPr>
      </w:pPr>
    </w:p>
    <w:p>
      <w:pPr>
        <w:ind w:left="480"/>
        <w:spacing w:after="0"/>
        <w:rPr>
          <w:sz w:val="20"/>
          <w:szCs w:val="20"/>
          <w:color w:val="auto"/>
        </w:rPr>
      </w:pPr>
      <w:r>
        <w:rPr>
          <w:rFonts w:ascii="Arial" w:cs="Arial" w:eastAsia="Arial" w:hAnsi="Arial"/>
          <w:sz w:val="18"/>
          <w:szCs w:val="18"/>
          <w:b w:val="1"/>
          <w:bCs w:val="1"/>
          <w:i w:val="1"/>
          <w:iCs w:val="1"/>
          <w:color w:val="auto"/>
        </w:rPr>
        <w:t>Income Tax Expense</w:t>
      </w:r>
    </w:p>
    <w:p>
      <w:pPr>
        <w:spacing w:after="0" w:line="77" w:lineRule="exact"/>
        <w:rPr>
          <w:sz w:val="20"/>
          <w:szCs w:val="20"/>
          <w:color w:val="auto"/>
        </w:rPr>
      </w:pPr>
    </w:p>
    <w:p>
      <w:pPr>
        <w:ind w:right="100" w:firstLine="476"/>
        <w:spacing w:after="0" w:line="257" w:lineRule="auto"/>
        <w:rPr>
          <w:sz w:val="20"/>
          <w:szCs w:val="20"/>
          <w:color w:val="auto"/>
        </w:rPr>
      </w:pPr>
      <w:r>
        <w:rPr>
          <w:rFonts w:ascii="Arial" w:cs="Arial" w:eastAsia="Arial" w:hAnsi="Arial"/>
          <w:sz w:val="18"/>
          <w:szCs w:val="18"/>
          <w:color w:val="auto"/>
        </w:rPr>
        <w:t>All of our income is from domestic sources. We incur state and local taxes in states in which we operate. For the three months ended June 30, 2020 and 2019, the federal statutory rate was 21.0%. The effective income tax rate was 23.6% and 22.2% for the three months ended June 30, 2020 and 2019, respectively. For the three months ended June 30, 2020 and 2019, the difference between our federal statutory and effective income tax rates was principally due to the inclusion of state taxes and non-deductible compensation, partially offset by an excess tax benefit and the use of federal employment tax credits.</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223520</wp:posOffset>
            </wp:positionV>
            <wp:extent cx="7132320"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97" w:lineRule="exact"/>
        <w:rPr>
          <w:sz w:val="20"/>
          <w:szCs w:val="20"/>
          <w:color w:val="auto"/>
        </w:rPr>
      </w:pPr>
    </w:p>
    <w:p>
      <w:pPr>
        <w:ind w:left="480"/>
        <w:spacing w:after="0"/>
        <w:rPr>
          <w:sz w:val="20"/>
          <w:szCs w:val="20"/>
          <w:color w:val="auto"/>
        </w:rPr>
      </w:pPr>
      <w:r>
        <w:rPr>
          <w:rFonts w:ascii="Arial" w:cs="Arial" w:eastAsia="Arial" w:hAnsi="Arial"/>
          <w:sz w:val="18"/>
          <w:szCs w:val="18"/>
          <w:i w:val="1"/>
          <w:iCs w:val="1"/>
          <w:color w:val="auto"/>
        </w:rPr>
        <w:t>Six Months Ended June 30, 2020 Compared to Six Months Ended June 30, 2019</w:t>
      </w:r>
    </w:p>
    <w:p>
      <w:pPr>
        <w:spacing w:after="0" w:line="90" w:lineRule="exact"/>
        <w:rPr>
          <w:sz w:val="20"/>
          <w:szCs w:val="20"/>
          <w:color w:val="auto"/>
        </w:rPr>
      </w:pPr>
    </w:p>
    <w:p>
      <w:pPr>
        <w:ind w:left="480"/>
        <w:spacing w:after="0"/>
        <w:rPr>
          <w:sz w:val="20"/>
          <w:szCs w:val="20"/>
          <w:color w:val="auto"/>
        </w:rPr>
      </w:pPr>
      <w:r>
        <w:rPr>
          <w:rFonts w:ascii="Arial" w:cs="Arial" w:eastAsia="Arial" w:hAnsi="Arial"/>
          <w:sz w:val="18"/>
          <w:szCs w:val="18"/>
          <w:color w:val="auto"/>
        </w:rPr>
        <w:t>The following table sets forth, for the periods indicated, our consolidated results of operations.</w:t>
      </w:r>
    </w:p>
    <w:p>
      <w:pPr>
        <w:spacing w:after="0" w:line="217" w:lineRule="exact"/>
        <w:rPr>
          <w:sz w:val="20"/>
          <w:szCs w:val="20"/>
          <w:color w:val="auto"/>
        </w:rPr>
      </w:pPr>
    </w:p>
    <w:p>
      <w:pPr>
        <w:jc w:val="center"/>
        <w:ind w:left="1320"/>
        <w:spacing w:after="0"/>
        <w:rPr>
          <w:sz w:val="20"/>
          <w:szCs w:val="20"/>
          <w:color w:val="auto"/>
        </w:rPr>
      </w:pPr>
      <w:r>
        <w:rPr>
          <w:rFonts w:ascii="Arial" w:cs="Arial" w:eastAsia="Arial" w:hAnsi="Arial"/>
          <w:sz w:val="14"/>
          <w:szCs w:val="14"/>
          <w:b w:val="1"/>
          <w:bCs w:val="1"/>
          <w:color w:val="auto"/>
        </w:rPr>
        <w:t>For the Six Months</w:t>
      </w:r>
    </w:p>
    <w:p>
      <w:pPr>
        <w:jc w:val="center"/>
        <w:ind w:left="1320"/>
        <w:spacing w:after="0" w:line="236" w:lineRule="auto"/>
        <w:rPr>
          <w:sz w:val="20"/>
          <w:szCs w:val="20"/>
          <w:color w:val="auto"/>
        </w:rPr>
      </w:pPr>
      <w:r>
        <w:rPr>
          <w:rFonts w:ascii="Arial" w:cs="Arial" w:eastAsia="Arial" w:hAnsi="Arial"/>
          <w:sz w:val="14"/>
          <w:szCs w:val="14"/>
          <w:b w:val="1"/>
          <w:bCs w:val="1"/>
          <w:color w:val="auto"/>
        </w:rPr>
        <w:t>Ended June 30,</w:t>
      </w:r>
    </w:p>
    <w:tbl>
      <w:tblPr>
        <w:tblLayout w:type="fixed"/>
        <w:tblInd w:w="0" w:type="dxa"/>
        <w:tblCellMar>
          <w:top w:w="0" w:type="dxa"/>
          <w:left w:w="0" w:type="dxa"/>
          <w:bottom w:w="0" w:type="dxa"/>
          <w:right w:w="0" w:type="dxa"/>
        </w:tblCellMar>
      </w:tblPr>
      <w:tr>
        <w:trPr>
          <w:trHeight w:val="156"/>
        </w:trPr>
        <w:tc>
          <w:tcPr>
            <w:tcW w:w="33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40" w:type="dxa"/>
            <w:vAlign w:val="bottom"/>
            <w:tcBorders>
              <w:top w:val="single" w:sz="8" w:color="auto"/>
              <w:bottom w:val="single" w:sz="8" w:color="auto"/>
            </w:tcBorders>
          </w:tcPr>
          <w:p>
            <w:pPr>
              <w:spacing w:after="0"/>
              <w:rPr>
                <w:sz w:val="13"/>
                <w:szCs w:val="13"/>
                <w:color w:val="auto"/>
              </w:rPr>
            </w:pPr>
          </w:p>
        </w:tc>
        <w:tc>
          <w:tcPr>
            <w:tcW w:w="1000" w:type="dxa"/>
            <w:vAlign w:val="bottom"/>
            <w:tcBorders>
              <w:top w:val="single" w:sz="8" w:color="auto"/>
              <w:bottom w:val="single" w:sz="8" w:color="auto"/>
            </w:tcBorders>
            <w:gridSpan w:val="3"/>
          </w:tcPr>
          <w:p>
            <w:pPr>
              <w:jc w:val="right"/>
              <w:ind w:right="20"/>
              <w:spacing w:after="0" w:line="155" w:lineRule="exact"/>
              <w:rPr>
                <w:sz w:val="20"/>
                <w:szCs w:val="20"/>
                <w:color w:val="auto"/>
              </w:rPr>
            </w:pPr>
            <w:r>
              <w:rPr>
                <w:rFonts w:ascii="Arial" w:cs="Arial" w:eastAsia="Arial" w:hAnsi="Arial"/>
                <w:sz w:val="14"/>
                <w:szCs w:val="14"/>
                <w:b w:val="1"/>
                <w:bCs w:val="1"/>
                <w:color w:val="auto"/>
              </w:rPr>
              <w:t>2020</w:t>
            </w:r>
          </w:p>
        </w:tc>
        <w:tc>
          <w:tcPr>
            <w:tcW w:w="820" w:type="dxa"/>
            <w:vAlign w:val="bottom"/>
            <w:tcBorders>
              <w:top w:val="single" w:sz="8" w:color="auto"/>
              <w:bottom w:val="single" w:sz="8" w:color="auto"/>
            </w:tcBorders>
          </w:tcPr>
          <w:p>
            <w:pPr>
              <w:spacing w:after="0"/>
              <w:rPr>
                <w:sz w:val="13"/>
                <w:szCs w:val="13"/>
                <w:color w:val="auto"/>
              </w:rPr>
            </w:pPr>
          </w:p>
        </w:tc>
        <w:tc>
          <w:tcPr>
            <w:tcW w:w="360" w:type="dxa"/>
            <w:vAlign w:val="bottom"/>
            <w:tcBorders>
              <w:top w:val="single" w:sz="8" w:color="auto"/>
            </w:tcBorders>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140" w:type="dxa"/>
            <w:vAlign w:val="bottom"/>
            <w:tcBorders>
              <w:top w:val="single" w:sz="8" w:color="auto"/>
              <w:bottom w:val="single" w:sz="8" w:color="auto"/>
            </w:tcBorders>
          </w:tcPr>
          <w:p>
            <w:pPr>
              <w:spacing w:after="0"/>
              <w:rPr>
                <w:sz w:val="13"/>
                <w:szCs w:val="13"/>
                <w:color w:val="auto"/>
              </w:rPr>
            </w:pPr>
          </w:p>
        </w:tc>
        <w:tc>
          <w:tcPr>
            <w:tcW w:w="1020" w:type="dxa"/>
            <w:vAlign w:val="bottom"/>
            <w:tcBorders>
              <w:top w:val="single" w:sz="8" w:color="auto"/>
              <w:bottom w:val="single" w:sz="8" w:color="auto"/>
            </w:tcBorders>
            <w:gridSpan w:val="3"/>
          </w:tcPr>
          <w:p>
            <w:pPr>
              <w:jc w:val="right"/>
              <w:ind w:right="20"/>
              <w:spacing w:after="0" w:line="155" w:lineRule="exact"/>
              <w:rPr>
                <w:sz w:val="20"/>
                <w:szCs w:val="20"/>
                <w:color w:val="auto"/>
              </w:rPr>
            </w:pPr>
            <w:r>
              <w:rPr>
                <w:rFonts w:ascii="Arial" w:cs="Arial" w:eastAsia="Arial" w:hAnsi="Arial"/>
                <w:sz w:val="14"/>
                <w:szCs w:val="14"/>
                <w:b w:val="1"/>
                <w:bCs w:val="1"/>
                <w:color w:val="auto"/>
              </w:rPr>
              <w:t>2019</w:t>
            </w:r>
          </w:p>
        </w:tc>
        <w:tc>
          <w:tcPr>
            <w:tcW w:w="820" w:type="dxa"/>
            <w:vAlign w:val="bottom"/>
            <w:tcBorders>
              <w:top w:val="single" w:sz="8" w:color="auto"/>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200" w:type="dxa"/>
            <w:vAlign w:val="bottom"/>
            <w:tcBorders>
              <w:bottom w:val="single" w:sz="8" w:color="auto"/>
            </w:tcBorders>
            <w:gridSpan w:val="3"/>
          </w:tcPr>
          <w:p>
            <w:pPr>
              <w:ind w:left="620"/>
              <w:spacing w:after="0" w:line="155" w:lineRule="exact"/>
              <w:rPr>
                <w:sz w:val="20"/>
                <w:szCs w:val="20"/>
                <w:color w:val="auto"/>
              </w:rPr>
            </w:pPr>
            <w:r>
              <w:rPr>
                <w:rFonts w:ascii="Arial" w:cs="Arial" w:eastAsia="Arial" w:hAnsi="Arial"/>
                <w:sz w:val="14"/>
                <w:szCs w:val="14"/>
                <w:b w:val="1"/>
                <w:bCs w:val="1"/>
                <w:color w:val="auto"/>
              </w:rPr>
              <w:t>Change</w:t>
            </w:r>
          </w:p>
        </w:tc>
        <w:tc>
          <w:tcPr>
            <w:tcW w:w="660" w:type="dxa"/>
            <w:vAlign w:val="bottom"/>
            <w:tcBorders>
              <w:bottom w:val="single" w:sz="8" w:color="auto"/>
            </w:tcBorders>
          </w:tcPr>
          <w:p>
            <w:pPr>
              <w:spacing w:after="0"/>
              <w:rPr>
                <w:sz w:val="13"/>
                <w:szCs w:val="13"/>
                <w:color w:val="auto"/>
              </w:rPr>
            </w:pPr>
          </w:p>
        </w:tc>
        <w:tc>
          <w:tcPr>
            <w:tcW w:w="320" w:type="dxa"/>
            <w:vAlign w:val="bottom"/>
          </w:tcPr>
          <w:p>
            <w:pPr>
              <w:spacing w:after="0"/>
              <w:rPr>
                <w:sz w:val="13"/>
                <w:szCs w:val="13"/>
                <w:color w:val="auto"/>
              </w:rPr>
            </w:pPr>
          </w:p>
        </w:tc>
      </w:tr>
      <w:tr>
        <w:trPr>
          <w:trHeight w:val="146"/>
        </w:trPr>
        <w:tc>
          <w:tcPr>
            <w:tcW w:w="33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20" w:type="dxa"/>
            <w:vAlign w:val="bottom"/>
          </w:tcPr>
          <w:p>
            <w:pPr>
              <w:jc w:val="center"/>
              <w:spacing w:after="0" w:line="147" w:lineRule="exact"/>
              <w:rPr>
                <w:sz w:val="20"/>
                <w:szCs w:val="20"/>
                <w:color w:val="auto"/>
              </w:rPr>
            </w:pPr>
            <w:r>
              <w:rPr>
                <w:rFonts w:ascii="Arial" w:cs="Arial" w:eastAsia="Arial" w:hAnsi="Arial"/>
                <w:sz w:val="14"/>
                <w:szCs w:val="14"/>
                <w:b w:val="1"/>
                <w:bCs w:val="1"/>
                <w:color w:val="auto"/>
              </w:rPr>
              <w:t>% Of</w:t>
            </w:r>
          </w:p>
        </w:tc>
        <w:tc>
          <w:tcPr>
            <w:tcW w:w="3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20" w:type="dxa"/>
            <w:vAlign w:val="bottom"/>
          </w:tcPr>
          <w:p>
            <w:pPr>
              <w:jc w:val="center"/>
              <w:spacing w:after="0" w:line="147" w:lineRule="exact"/>
              <w:rPr>
                <w:sz w:val="20"/>
                <w:szCs w:val="20"/>
                <w:color w:val="auto"/>
              </w:rPr>
            </w:pPr>
            <w:r>
              <w:rPr>
                <w:rFonts w:ascii="Arial" w:cs="Arial" w:eastAsia="Arial" w:hAnsi="Arial"/>
                <w:sz w:val="14"/>
                <w:szCs w:val="14"/>
                <w:b w:val="1"/>
                <w:bCs w:val="1"/>
                <w:color w:val="auto"/>
              </w:rPr>
              <w:t>% Of</w:t>
            </w:r>
          </w:p>
        </w:tc>
        <w:tc>
          <w:tcPr>
            <w:tcW w:w="1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320" w:type="dxa"/>
            <w:vAlign w:val="bottom"/>
          </w:tcPr>
          <w:p>
            <w:pPr>
              <w:spacing w:after="0"/>
              <w:rPr>
                <w:sz w:val="12"/>
                <w:szCs w:val="12"/>
                <w:color w:val="auto"/>
              </w:rPr>
            </w:pPr>
          </w:p>
        </w:tc>
      </w:tr>
      <w:tr>
        <w:trPr>
          <w:trHeight w:val="162"/>
        </w:trPr>
        <w:tc>
          <w:tcPr>
            <w:tcW w:w="33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20" w:type="dxa"/>
            <w:vAlign w:val="bottom"/>
          </w:tcPr>
          <w:p>
            <w:pPr>
              <w:jc w:val="center"/>
              <w:spacing w:after="0"/>
              <w:rPr>
                <w:sz w:val="20"/>
                <w:szCs w:val="20"/>
                <w:color w:val="auto"/>
              </w:rPr>
            </w:pPr>
            <w:r>
              <w:rPr>
                <w:rFonts w:ascii="Arial" w:cs="Arial" w:eastAsia="Arial" w:hAnsi="Arial"/>
                <w:sz w:val="14"/>
                <w:szCs w:val="14"/>
                <w:b w:val="1"/>
                <w:bCs w:val="1"/>
                <w:color w:val="auto"/>
                <w:w w:val="91"/>
              </w:rPr>
              <w:t>Net Service</w:t>
            </w:r>
          </w:p>
        </w:tc>
        <w:tc>
          <w:tcPr>
            <w:tcW w:w="3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92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1"/>
              </w:rPr>
              <w:t>Net Service</w:t>
            </w:r>
          </w:p>
        </w:tc>
        <w:tc>
          <w:tcPr>
            <w:tcW w:w="3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320" w:type="dxa"/>
            <w:vAlign w:val="bottom"/>
          </w:tcPr>
          <w:p>
            <w:pPr>
              <w:spacing w:after="0"/>
              <w:rPr>
                <w:sz w:val="14"/>
                <w:szCs w:val="14"/>
                <w:color w:val="auto"/>
              </w:rPr>
            </w:pPr>
          </w:p>
        </w:tc>
      </w:tr>
      <w:tr>
        <w:trPr>
          <w:trHeight w:val="171"/>
        </w:trPr>
        <w:tc>
          <w:tcPr>
            <w:tcW w:w="33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gridSpan w:val="3"/>
          </w:tcPr>
          <w:p>
            <w:pPr>
              <w:jc w:val="right"/>
              <w:ind w:right="460"/>
              <w:spacing w:after="0"/>
              <w:rPr>
                <w:sz w:val="20"/>
                <w:szCs w:val="20"/>
                <w:color w:val="auto"/>
              </w:rPr>
            </w:pPr>
            <w:r>
              <w:rPr>
                <w:rFonts w:ascii="Arial" w:cs="Arial" w:eastAsia="Arial" w:hAnsi="Arial"/>
                <w:sz w:val="14"/>
                <w:szCs w:val="14"/>
                <w:b w:val="1"/>
                <w:bCs w:val="1"/>
                <w:color w:val="auto"/>
                <w:w w:val="98"/>
              </w:rPr>
              <w:t>Amount</w:t>
            </w:r>
          </w:p>
        </w:tc>
        <w:tc>
          <w:tcPr>
            <w:tcW w:w="8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7"/>
              </w:rPr>
              <w:t>Revenues</w:t>
            </w:r>
          </w:p>
        </w:tc>
        <w:tc>
          <w:tcPr>
            <w:tcW w:w="36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gridSpan w:val="3"/>
          </w:tcPr>
          <w:p>
            <w:pPr>
              <w:ind w:left="40"/>
              <w:spacing w:after="0"/>
              <w:rPr>
                <w:sz w:val="20"/>
                <w:szCs w:val="20"/>
                <w:color w:val="auto"/>
              </w:rPr>
            </w:pPr>
            <w:r>
              <w:rPr>
                <w:rFonts w:ascii="Arial" w:cs="Arial" w:eastAsia="Arial" w:hAnsi="Arial"/>
                <w:sz w:val="14"/>
                <w:szCs w:val="14"/>
                <w:b w:val="1"/>
                <w:bCs w:val="1"/>
                <w:color w:val="auto"/>
              </w:rPr>
              <w:t>Amount</w:t>
            </w:r>
          </w:p>
        </w:tc>
        <w:tc>
          <w:tcPr>
            <w:tcW w:w="920" w:type="dxa"/>
            <w:vAlign w:val="bottom"/>
            <w:tcBorders>
              <w:bottom w:val="single" w:sz="8" w:color="auto"/>
            </w:tcBorders>
            <w:gridSpan w:val="2"/>
          </w:tcPr>
          <w:p>
            <w:pPr>
              <w:jc w:val="center"/>
              <w:ind w:right="160"/>
              <w:spacing w:after="0"/>
              <w:rPr>
                <w:sz w:val="20"/>
                <w:szCs w:val="20"/>
                <w:color w:val="auto"/>
              </w:rPr>
            </w:pPr>
            <w:r>
              <w:rPr>
                <w:rFonts w:ascii="Arial" w:cs="Arial" w:eastAsia="Arial" w:hAnsi="Arial"/>
                <w:sz w:val="14"/>
                <w:szCs w:val="14"/>
                <w:b w:val="1"/>
                <w:bCs w:val="1"/>
                <w:color w:val="auto"/>
                <w:w w:val="90"/>
              </w:rPr>
              <w:t>Revenues</w:t>
            </w:r>
          </w:p>
        </w:tc>
        <w:tc>
          <w:tcPr>
            <w:tcW w:w="34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gridSpan w:val="3"/>
          </w:tcPr>
          <w:p>
            <w:pPr>
              <w:ind w:left="40"/>
              <w:spacing w:after="0"/>
              <w:rPr>
                <w:sz w:val="20"/>
                <w:szCs w:val="20"/>
                <w:color w:val="auto"/>
              </w:rPr>
            </w:pPr>
            <w:r>
              <w:rPr>
                <w:rFonts w:ascii="Arial" w:cs="Arial" w:eastAsia="Arial" w:hAnsi="Arial"/>
                <w:sz w:val="14"/>
                <w:szCs w:val="14"/>
                <w:b w:val="1"/>
                <w:bCs w:val="1"/>
                <w:color w:val="auto"/>
              </w:rPr>
              <w:t>Amount</w:t>
            </w:r>
          </w:p>
        </w:tc>
        <w:tc>
          <w:tcPr>
            <w:tcW w:w="660" w:type="dxa"/>
            <w:vAlign w:val="bottom"/>
            <w:tcBorders>
              <w:bottom w:val="single" w:sz="8" w:color="auto"/>
            </w:tcBorders>
          </w:tcPr>
          <w:p>
            <w:pPr>
              <w:jc w:val="right"/>
              <w:ind w:right="291"/>
              <w:spacing w:after="0"/>
              <w:rPr>
                <w:sz w:val="20"/>
                <w:szCs w:val="20"/>
                <w:color w:val="auto"/>
              </w:rPr>
            </w:pPr>
            <w:r>
              <w:rPr>
                <w:rFonts w:ascii="Arial" w:cs="Arial" w:eastAsia="Arial" w:hAnsi="Arial"/>
                <w:sz w:val="14"/>
                <w:szCs w:val="14"/>
                <w:b w:val="1"/>
                <w:bCs w:val="1"/>
                <w:color w:val="auto"/>
              </w:rPr>
              <w:t>%</w:t>
            </w:r>
          </w:p>
        </w:tc>
        <w:tc>
          <w:tcPr>
            <w:tcW w:w="320" w:type="dxa"/>
            <w:vAlign w:val="bottom"/>
          </w:tcPr>
          <w:p>
            <w:pPr>
              <w:spacing w:after="0"/>
              <w:rPr>
                <w:sz w:val="14"/>
                <w:szCs w:val="14"/>
                <w:color w:val="auto"/>
              </w:rPr>
            </w:pPr>
          </w:p>
        </w:tc>
      </w:tr>
      <w:tr>
        <w:trPr>
          <w:trHeight w:val="156"/>
        </w:trPr>
        <w:tc>
          <w:tcPr>
            <w:tcW w:w="3380" w:type="dxa"/>
            <w:vAlign w:val="bottom"/>
            <w:tcBorders>
              <w:bottom w:val="single" w:sz="8" w:color="CFF0FC"/>
            </w:tcBorders>
          </w:tcPr>
          <w:p>
            <w:pPr>
              <w:spacing w:after="0"/>
              <w:rPr>
                <w:sz w:val="13"/>
                <w:szCs w:val="13"/>
                <w:color w:val="auto"/>
              </w:rPr>
            </w:pPr>
          </w:p>
        </w:tc>
        <w:tc>
          <w:tcPr>
            <w:tcW w:w="720" w:type="dxa"/>
            <w:vAlign w:val="bottom"/>
            <w:tcBorders>
              <w:bottom w:val="single" w:sz="8" w:color="CFF0FC"/>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4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spacing w:after="0"/>
              <w:rPr>
                <w:sz w:val="13"/>
                <w:szCs w:val="13"/>
                <w:color w:val="auto"/>
              </w:rPr>
            </w:pPr>
          </w:p>
        </w:tc>
        <w:tc>
          <w:tcPr>
            <w:tcW w:w="2860" w:type="dxa"/>
            <w:vAlign w:val="bottom"/>
            <w:tcBorders>
              <w:bottom w:val="single" w:sz="8" w:color="auto"/>
            </w:tcBorders>
            <w:gridSpan w:val="9"/>
          </w:tcPr>
          <w:p>
            <w:pPr>
              <w:jc w:val="center"/>
              <w:spacing w:after="0" w:line="155" w:lineRule="exact"/>
              <w:rPr>
                <w:sz w:val="20"/>
                <w:szCs w:val="20"/>
                <w:color w:val="auto"/>
              </w:rPr>
            </w:pPr>
            <w:r>
              <w:rPr>
                <w:rFonts w:ascii="Arial" w:cs="Arial" w:eastAsia="Arial" w:hAnsi="Arial"/>
                <w:sz w:val="14"/>
                <w:szCs w:val="14"/>
                <w:b w:val="1"/>
                <w:bCs w:val="1"/>
                <w:color w:val="auto"/>
                <w:w w:val="91"/>
              </w:rPr>
              <w:t>(Amounts in Thousands, Except Percentages)</w:t>
            </w:r>
          </w:p>
        </w:tc>
        <w:tc>
          <w:tcPr>
            <w:tcW w:w="14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660" w:type="dxa"/>
            <w:vAlign w:val="bottom"/>
            <w:tcBorders>
              <w:bottom w:val="single" w:sz="8" w:color="auto"/>
            </w:tcBorders>
          </w:tcPr>
          <w:p>
            <w:pPr>
              <w:spacing w:after="0"/>
              <w:rPr>
                <w:sz w:val="13"/>
                <w:szCs w:val="13"/>
                <w:color w:val="auto"/>
              </w:rPr>
            </w:pPr>
          </w:p>
        </w:tc>
        <w:tc>
          <w:tcPr>
            <w:tcW w:w="320" w:type="dxa"/>
            <w:vAlign w:val="bottom"/>
            <w:tcBorders>
              <w:bottom w:val="single" w:sz="8" w:color="CFF0FC"/>
            </w:tcBorders>
          </w:tcPr>
          <w:p>
            <w:pPr>
              <w:spacing w:after="0"/>
              <w:rPr>
                <w:sz w:val="13"/>
                <w:szCs w:val="13"/>
                <w:color w:val="auto"/>
              </w:rPr>
            </w:pPr>
          </w:p>
        </w:tc>
      </w:tr>
      <w:tr>
        <w:trPr>
          <w:trHeight w:val="223"/>
        </w:trPr>
        <w:tc>
          <w:tcPr>
            <w:tcW w:w="3380" w:type="dxa"/>
            <w:vAlign w:val="bottom"/>
            <w:shd w:val="clear" w:color="auto" w:fill="CFF0FC"/>
          </w:tcPr>
          <w:p>
            <w:pPr>
              <w:spacing w:after="0"/>
              <w:rPr>
                <w:sz w:val="20"/>
                <w:szCs w:val="20"/>
                <w:color w:val="auto"/>
              </w:rPr>
            </w:pPr>
            <w:r>
              <w:rPr>
                <w:rFonts w:ascii="Arial" w:cs="Arial" w:eastAsia="Arial" w:hAnsi="Arial"/>
                <w:sz w:val="18"/>
                <w:szCs w:val="18"/>
                <w:color w:val="auto"/>
              </w:rPr>
              <w:t>Net service revenues</w:t>
            </w:r>
          </w:p>
        </w:tc>
        <w:tc>
          <w:tcPr>
            <w:tcW w:w="720" w:type="dxa"/>
            <w:vAlign w:val="bottom"/>
            <w:shd w:val="clear" w:color="auto" w:fill="CFF0FC"/>
          </w:tcPr>
          <w:p>
            <w:pPr>
              <w:spacing w:after="0"/>
              <w:rPr>
                <w:sz w:val="19"/>
                <w:szCs w:val="19"/>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374,792</w:t>
            </w:r>
          </w:p>
        </w:tc>
        <w:tc>
          <w:tcPr>
            <w:tcW w:w="24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100.0</w:t>
            </w:r>
          </w:p>
        </w:tc>
        <w:tc>
          <w:tcPr>
            <w:tcW w:w="360" w:type="dxa"/>
            <w:vAlign w:val="bottom"/>
            <w:shd w:val="clear" w:color="auto" w:fill="CFF0FC"/>
          </w:tcPr>
          <w:p>
            <w:pPr>
              <w:jc w:val="right"/>
              <w:ind w:right="16"/>
              <w:spacing w:after="0"/>
              <w:rPr>
                <w:sz w:val="20"/>
                <w:szCs w:val="20"/>
                <w:color w:val="auto"/>
              </w:rPr>
            </w:pPr>
            <w:r>
              <w:rPr>
                <w:rFonts w:ascii="Arial" w:cs="Arial" w:eastAsia="Arial" w:hAnsi="Arial"/>
                <w:sz w:val="18"/>
                <w:szCs w:val="18"/>
                <w:color w:val="auto"/>
              </w:rPr>
              <w:t>%</w:t>
            </w:r>
          </w:p>
        </w:tc>
        <w:tc>
          <w:tcPr>
            <w:tcW w:w="2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287,422</w:t>
            </w:r>
          </w:p>
        </w:tc>
        <w:tc>
          <w:tcPr>
            <w:tcW w:w="22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100.0</w:t>
            </w:r>
          </w:p>
        </w:tc>
        <w:tc>
          <w:tcPr>
            <w:tcW w:w="100" w:type="dxa"/>
            <w:vAlign w:val="bottom"/>
            <w:shd w:val="clear" w:color="auto" w:fill="CFF0FC"/>
          </w:tcPr>
          <w:p>
            <w:pPr>
              <w:spacing w:after="0"/>
              <w:rPr>
                <w:sz w:val="19"/>
                <w:szCs w:val="19"/>
                <w:color w:val="auto"/>
              </w:rPr>
            </w:pPr>
          </w:p>
        </w:tc>
        <w:tc>
          <w:tcPr>
            <w:tcW w:w="34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w w:val="87"/>
              </w:rPr>
              <w:t>%</w:t>
            </w:r>
          </w:p>
        </w:tc>
        <w:tc>
          <w:tcPr>
            <w:tcW w:w="14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87,370</w:t>
            </w:r>
          </w:p>
        </w:tc>
        <w:tc>
          <w:tcPr>
            <w:tcW w:w="2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30.4</w:t>
            </w:r>
          </w:p>
        </w:tc>
        <w:tc>
          <w:tcPr>
            <w:tcW w:w="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338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Cost of service revenues</w:t>
            </w:r>
          </w:p>
        </w:tc>
        <w:tc>
          <w:tcPr>
            <w:tcW w:w="720" w:type="dxa"/>
            <w:vAlign w:val="bottom"/>
            <w:tcBorders>
              <w:bottom w:val="single" w:sz="8" w:color="CFF0FC"/>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263,960</w:t>
            </w:r>
          </w:p>
        </w:tc>
        <w:tc>
          <w:tcPr>
            <w:tcW w:w="240" w:type="dxa"/>
            <w:vAlign w:val="bottom"/>
            <w:tcBorders>
              <w:bottom w:val="single" w:sz="8" w:color="CFF0FC"/>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70.4</w:t>
            </w:r>
          </w:p>
        </w:tc>
        <w:tc>
          <w:tcPr>
            <w:tcW w:w="36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210,902</w:t>
            </w:r>
          </w:p>
        </w:tc>
        <w:tc>
          <w:tcPr>
            <w:tcW w:w="220" w:type="dxa"/>
            <w:vAlign w:val="bottom"/>
            <w:tcBorders>
              <w:bottom w:val="single" w:sz="8" w:color="CFF0FC"/>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73.4</w:t>
            </w:r>
          </w:p>
        </w:tc>
        <w:tc>
          <w:tcPr>
            <w:tcW w:w="100" w:type="dxa"/>
            <w:vAlign w:val="bottom"/>
            <w:tcBorders>
              <w:bottom w:val="single" w:sz="8" w:color="CFF0FC"/>
            </w:tcBorders>
          </w:tcPr>
          <w:p>
            <w:pPr>
              <w:spacing w:after="0"/>
              <w:rPr>
                <w:sz w:val="19"/>
                <w:szCs w:val="19"/>
                <w:color w:val="auto"/>
              </w:rPr>
            </w:pPr>
          </w:p>
        </w:tc>
        <w:tc>
          <w:tcPr>
            <w:tcW w:w="340" w:type="dxa"/>
            <w:vAlign w:val="bottom"/>
            <w:tcBorders>
              <w:bottom w:val="single" w:sz="8" w:color="CFF0FC"/>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53,058</w:t>
            </w:r>
          </w:p>
        </w:tc>
        <w:tc>
          <w:tcPr>
            <w:tcW w:w="22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25.2</w:t>
            </w:r>
          </w:p>
        </w:tc>
        <w:tc>
          <w:tcPr>
            <w:tcW w:w="320" w:type="dxa"/>
            <w:vAlign w:val="bottom"/>
            <w:tcBorders>
              <w:bottom w:val="single" w:sz="8" w:color="CFF0FC"/>
            </w:tcBorders>
          </w:tcPr>
          <w:p>
            <w:pPr>
              <w:spacing w:after="0"/>
              <w:rPr>
                <w:sz w:val="19"/>
                <w:szCs w:val="19"/>
                <w:color w:val="auto"/>
              </w:rPr>
            </w:pPr>
          </w:p>
        </w:tc>
      </w:tr>
      <w:tr>
        <w:trPr>
          <w:trHeight w:val="223"/>
        </w:trPr>
        <w:tc>
          <w:tcPr>
            <w:tcW w:w="3380" w:type="dxa"/>
            <w:vAlign w:val="bottom"/>
            <w:shd w:val="clear" w:color="auto" w:fill="CFF0FC"/>
          </w:tcPr>
          <w:p>
            <w:pPr>
              <w:spacing w:after="0"/>
              <w:rPr>
                <w:sz w:val="20"/>
                <w:szCs w:val="20"/>
                <w:color w:val="auto"/>
              </w:rPr>
            </w:pPr>
            <w:r>
              <w:rPr>
                <w:rFonts w:ascii="Arial" w:cs="Arial" w:eastAsia="Arial" w:hAnsi="Arial"/>
                <w:sz w:val="18"/>
                <w:szCs w:val="18"/>
                <w:color w:val="auto"/>
              </w:rPr>
              <w:t>Gross profit</w:t>
            </w:r>
          </w:p>
        </w:tc>
        <w:tc>
          <w:tcPr>
            <w:tcW w:w="7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110,832</w:t>
            </w:r>
          </w:p>
        </w:tc>
        <w:tc>
          <w:tcPr>
            <w:tcW w:w="24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29.6</w:t>
            </w:r>
          </w:p>
        </w:tc>
        <w:tc>
          <w:tcPr>
            <w:tcW w:w="3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76,520</w:t>
            </w:r>
          </w:p>
        </w:tc>
        <w:tc>
          <w:tcPr>
            <w:tcW w:w="22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26.6</w:t>
            </w:r>
          </w:p>
        </w:tc>
        <w:tc>
          <w:tcPr>
            <w:tcW w:w="10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34,312</w:t>
            </w:r>
          </w:p>
        </w:tc>
        <w:tc>
          <w:tcPr>
            <w:tcW w:w="2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44.8</w:t>
            </w:r>
          </w:p>
        </w:tc>
        <w:tc>
          <w:tcPr>
            <w:tcW w:w="320" w:type="dxa"/>
            <w:vAlign w:val="bottom"/>
            <w:shd w:val="clear" w:color="auto" w:fill="CFF0FC"/>
          </w:tcPr>
          <w:p>
            <w:pPr>
              <w:spacing w:after="0"/>
              <w:rPr>
                <w:sz w:val="19"/>
                <w:szCs w:val="19"/>
                <w:color w:val="auto"/>
              </w:rPr>
            </w:pPr>
          </w:p>
        </w:tc>
      </w:tr>
      <w:tr>
        <w:trPr>
          <w:trHeight w:val="230"/>
        </w:trPr>
        <w:tc>
          <w:tcPr>
            <w:tcW w:w="3380" w:type="dxa"/>
            <w:vAlign w:val="bottom"/>
          </w:tcPr>
          <w:p>
            <w:pPr>
              <w:spacing w:after="0"/>
              <w:rPr>
                <w:sz w:val="20"/>
                <w:szCs w:val="20"/>
                <w:color w:val="auto"/>
              </w:rPr>
            </w:pPr>
            <w:r>
              <w:rPr>
                <w:rFonts w:ascii="Arial" w:cs="Arial" w:eastAsia="Arial" w:hAnsi="Arial"/>
                <w:sz w:val="18"/>
                <w:szCs w:val="18"/>
                <w:color w:val="auto"/>
              </w:rPr>
              <w:t>General and administrative expenses</w:t>
            </w:r>
          </w:p>
        </w:tc>
        <w:tc>
          <w:tcPr>
            <w:tcW w:w="7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84,737</w:t>
            </w:r>
          </w:p>
        </w:tc>
        <w:tc>
          <w:tcPr>
            <w:tcW w:w="2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22.6</w:t>
            </w:r>
          </w:p>
        </w:tc>
        <w:tc>
          <w:tcPr>
            <w:tcW w:w="3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59,024</w:t>
            </w:r>
          </w:p>
        </w:tc>
        <w:tc>
          <w:tcPr>
            <w:tcW w:w="2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20.5</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25,713</w:t>
            </w: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43.6</w:t>
            </w:r>
          </w:p>
        </w:tc>
        <w:tc>
          <w:tcPr>
            <w:tcW w:w="320" w:type="dxa"/>
            <w:vAlign w:val="bottom"/>
          </w:tcPr>
          <w:p>
            <w:pPr>
              <w:spacing w:after="0"/>
              <w:rPr>
                <w:sz w:val="19"/>
                <w:szCs w:val="19"/>
                <w:color w:val="auto"/>
              </w:rPr>
            </w:pPr>
          </w:p>
        </w:tc>
      </w:tr>
      <w:tr>
        <w:trPr>
          <w:trHeight w:val="229"/>
        </w:trPr>
        <w:tc>
          <w:tcPr>
            <w:tcW w:w="3380" w:type="dxa"/>
            <w:vAlign w:val="bottom"/>
            <w:shd w:val="clear" w:color="auto" w:fill="CFF0FC"/>
          </w:tcPr>
          <w:p>
            <w:pPr>
              <w:spacing w:after="0"/>
              <w:rPr>
                <w:sz w:val="20"/>
                <w:szCs w:val="20"/>
                <w:color w:val="auto"/>
              </w:rPr>
            </w:pPr>
            <w:r>
              <w:rPr>
                <w:rFonts w:ascii="Arial" w:cs="Arial" w:eastAsia="Arial" w:hAnsi="Arial"/>
                <w:sz w:val="18"/>
                <w:szCs w:val="18"/>
                <w:color w:val="auto"/>
              </w:rPr>
              <w:t>Depreciation and amortization</w:t>
            </w:r>
          </w:p>
        </w:tc>
        <w:tc>
          <w:tcPr>
            <w:tcW w:w="720" w:type="dxa"/>
            <w:vAlign w:val="bottom"/>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7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5,827</w:t>
            </w:r>
          </w:p>
        </w:tc>
        <w:tc>
          <w:tcPr>
            <w:tcW w:w="240" w:type="dxa"/>
            <w:vAlign w:val="bottom"/>
            <w:shd w:val="clear" w:color="auto" w:fill="CFF0FC"/>
          </w:tcPr>
          <w:p>
            <w:pPr>
              <w:spacing w:after="0"/>
              <w:rPr>
                <w:sz w:val="19"/>
                <w:szCs w:val="19"/>
                <w:color w:val="auto"/>
              </w:rPr>
            </w:pPr>
          </w:p>
        </w:tc>
        <w:tc>
          <w:tcPr>
            <w:tcW w:w="40" w:type="dxa"/>
            <w:vAlign w:val="bottom"/>
            <w:tcBorders>
              <w:bottom w:val="single" w:sz="8" w:color="auto"/>
            </w:tcBorders>
            <w:shd w:val="clear" w:color="auto" w:fill="CFF0FC"/>
          </w:tcPr>
          <w:p>
            <w:pPr>
              <w:spacing w:after="0"/>
              <w:rPr>
                <w:sz w:val="19"/>
                <w:szCs w:val="19"/>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w:t>
            </w:r>
          </w:p>
        </w:tc>
        <w:tc>
          <w:tcPr>
            <w:tcW w:w="3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7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4,609</w:t>
            </w:r>
          </w:p>
        </w:tc>
        <w:tc>
          <w:tcPr>
            <w:tcW w:w="220" w:type="dxa"/>
            <w:vAlign w:val="bottom"/>
            <w:shd w:val="clear" w:color="auto" w:fill="CFF0FC"/>
          </w:tcPr>
          <w:p>
            <w:pPr>
              <w:spacing w:after="0"/>
              <w:rPr>
                <w:sz w:val="19"/>
                <w:szCs w:val="19"/>
                <w:color w:val="auto"/>
              </w:rPr>
            </w:pPr>
          </w:p>
        </w:tc>
        <w:tc>
          <w:tcPr>
            <w:tcW w:w="60" w:type="dxa"/>
            <w:vAlign w:val="bottom"/>
            <w:tcBorders>
              <w:bottom w:val="single" w:sz="8" w:color="auto"/>
            </w:tcBorders>
            <w:shd w:val="clear" w:color="auto" w:fill="CFF0FC"/>
          </w:tcPr>
          <w:p>
            <w:pPr>
              <w:spacing w:after="0"/>
              <w:rPr>
                <w:sz w:val="19"/>
                <w:szCs w:val="19"/>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w:t>
            </w:r>
          </w:p>
        </w:tc>
        <w:tc>
          <w:tcPr>
            <w:tcW w:w="10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7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1,218</w:t>
            </w:r>
          </w:p>
        </w:tc>
        <w:tc>
          <w:tcPr>
            <w:tcW w:w="22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6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26.4</w:t>
            </w:r>
          </w:p>
        </w:tc>
        <w:tc>
          <w:tcPr>
            <w:tcW w:w="320" w:type="dxa"/>
            <w:vAlign w:val="bottom"/>
            <w:shd w:val="clear" w:color="auto" w:fill="CFF0FC"/>
          </w:tcPr>
          <w:p>
            <w:pPr>
              <w:spacing w:after="0"/>
              <w:rPr>
                <w:sz w:val="19"/>
                <w:szCs w:val="19"/>
                <w:color w:val="auto"/>
              </w:rPr>
            </w:pPr>
          </w:p>
        </w:tc>
      </w:tr>
      <w:tr>
        <w:trPr>
          <w:trHeight w:val="223"/>
        </w:trPr>
        <w:tc>
          <w:tcPr>
            <w:tcW w:w="338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Total operating expenses</w:t>
            </w:r>
          </w:p>
        </w:tc>
        <w:tc>
          <w:tcPr>
            <w:tcW w:w="720" w:type="dxa"/>
            <w:vAlign w:val="bottom"/>
            <w:tcBorders>
              <w:bottom w:val="single" w:sz="8" w:color="CFF0FC"/>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90,564</w:t>
            </w:r>
          </w:p>
        </w:tc>
        <w:tc>
          <w:tcPr>
            <w:tcW w:w="240" w:type="dxa"/>
            <w:vAlign w:val="bottom"/>
            <w:tcBorders>
              <w:bottom w:val="single" w:sz="8" w:color="CFF0FC"/>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24.2</w:t>
            </w:r>
          </w:p>
        </w:tc>
        <w:tc>
          <w:tcPr>
            <w:tcW w:w="36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63,633</w:t>
            </w:r>
          </w:p>
        </w:tc>
        <w:tc>
          <w:tcPr>
            <w:tcW w:w="220" w:type="dxa"/>
            <w:vAlign w:val="bottom"/>
            <w:tcBorders>
              <w:bottom w:val="single" w:sz="8" w:color="CFF0FC"/>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22.1</w:t>
            </w:r>
          </w:p>
        </w:tc>
        <w:tc>
          <w:tcPr>
            <w:tcW w:w="100" w:type="dxa"/>
            <w:vAlign w:val="bottom"/>
            <w:tcBorders>
              <w:bottom w:val="single" w:sz="8" w:color="CFF0FC"/>
            </w:tcBorders>
          </w:tcPr>
          <w:p>
            <w:pPr>
              <w:spacing w:after="0"/>
              <w:rPr>
                <w:sz w:val="19"/>
                <w:szCs w:val="19"/>
                <w:color w:val="auto"/>
              </w:rPr>
            </w:pPr>
          </w:p>
        </w:tc>
        <w:tc>
          <w:tcPr>
            <w:tcW w:w="340" w:type="dxa"/>
            <w:vAlign w:val="bottom"/>
            <w:tcBorders>
              <w:bottom w:val="single" w:sz="8" w:color="CFF0FC"/>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26,931</w:t>
            </w:r>
          </w:p>
        </w:tc>
        <w:tc>
          <w:tcPr>
            <w:tcW w:w="22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42.3</w:t>
            </w:r>
          </w:p>
        </w:tc>
        <w:tc>
          <w:tcPr>
            <w:tcW w:w="320" w:type="dxa"/>
            <w:vAlign w:val="bottom"/>
            <w:tcBorders>
              <w:bottom w:val="single" w:sz="8" w:color="CFF0FC"/>
            </w:tcBorders>
          </w:tcPr>
          <w:p>
            <w:pPr>
              <w:spacing w:after="0"/>
              <w:rPr>
                <w:sz w:val="19"/>
                <w:szCs w:val="19"/>
                <w:color w:val="auto"/>
              </w:rPr>
            </w:pPr>
          </w:p>
        </w:tc>
      </w:tr>
      <w:tr>
        <w:trPr>
          <w:trHeight w:val="223"/>
        </w:trPr>
        <w:tc>
          <w:tcPr>
            <w:tcW w:w="3380" w:type="dxa"/>
            <w:vAlign w:val="bottom"/>
            <w:shd w:val="clear" w:color="auto" w:fill="CFF0FC"/>
          </w:tcPr>
          <w:p>
            <w:pPr>
              <w:spacing w:after="0"/>
              <w:rPr>
                <w:sz w:val="20"/>
                <w:szCs w:val="20"/>
                <w:color w:val="auto"/>
              </w:rPr>
            </w:pPr>
            <w:r>
              <w:rPr>
                <w:rFonts w:ascii="Arial" w:cs="Arial" w:eastAsia="Arial" w:hAnsi="Arial"/>
                <w:sz w:val="18"/>
                <w:szCs w:val="18"/>
                <w:color w:val="auto"/>
              </w:rPr>
              <w:t>Operating income</w:t>
            </w:r>
          </w:p>
        </w:tc>
        <w:tc>
          <w:tcPr>
            <w:tcW w:w="720" w:type="dxa"/>
            <w:vAlign w:val="bottom"/>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7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20,268</w:t>
            </w:r>
          </w:p>
        </w:tc>
        <w:tc>
          <w:tcPr>
            <w:tcW w:w="240" w:type="dxa"/>
            <w:vAlign w:val="bottom"/>
            <w:shd w:val="clear" w:color="auto" w:fill="CFF0FC"/>
          </w:tcPr>
          <w:p>
            <w:pPr>
              <w:spacing w:after="0"/>
              <w:rPr>
                <w:sz w:val="19"/>
                <w:szCs w:val="19"/>
                <w:color w:val="auto"/>
              </w:rPr>
            </w:pPr>
          </w:p>
        </w:tc>
        <w:tc>
          <w:tcPr>
            <w:tcW w:w="40" w:type="dxa"/>
            <w:vAlign w:val="bottom"/>
            <w:tcBorders>
              <w:bottom w:val="single" w:sz="8" w:color="auto"/>
            </w:tcBorders>
            <w:shd w:val="clear" w:color="auto" w:fill="CFF0FC"/>
          </w:tcPr>
          <w:p>
            <w:pPr>
              <w:spacing w:after="0"/>
              <w:rPr>
                <w:sz w:val="19"/>
                <w:szCs w:val="19"/>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5.4</w:t>
            </w:r>
          </w:p>
        </w:tc>
        <w:tc>
          <w:tcPr>
            <w:tcW w:w="3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7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12,887</w:t>
            </w:r>
          </w:p>
        </w:tc>
        <w:tc>
          <w:tcPr>
            <w:tcW w:w="220" w:type="dxa"/>
            <w:vAlign w:val="bottom"/>
            <w:shd w:val="clear" w:color="auto" w:fill="CFF0FC"/>
          </w:tcPr>
          <w:p>
            <w:pPr>
              <w:spacing w:after="0"/>
              <w:rPr>
                <w:sz w:val="19"/>
                <w:szCs w:val="19"/>
                <w:color w:val="auto"/>
              </w:rPr>
            </w:pPr>
          </w:p>
        </w:tc>
        <w:tc>
          <w:tcPr>
            <w:tcW w:w="60" w:type="dxa"/>
            <w:vAlign w:val="bottom"/>
            <w:tcBorders>
              <w:bottom w:val="single" w:sz="8" w:color="auto"/>
            </w:tcBorders>
            <w:shd w:val="clear" w:color="auto" w:fill="CFF0FC"/>
          </w:tcPr>
          <w:p>
            <w:pPr>
              <w:spacing w:after="0"/>
              <w:rPr>
                <w:sz w:val="19"/>
                <w:szCs w:val="19"/>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4.5</w:t>
            </w:r>
          </w:p>
        </w:tc>
        <w:tc>
          <w:tcPr>
            <w:tcW w:w="10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7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7,381</w:t>
            </w:r>
          </w:p>
        </w:tc>
        <w:tc>
          <w:tcPr>
            <w:tcW w:w="22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6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57.3</w:t>
            </w:r>
          </w:p>
        </w:tc>
        <w:tc>
          <w:tcPr>
            <w:tcW w:w="320" w:type="dxa"/>
            <w:vAlign w:val="bottom"/>
            <w:shd w:val="clear" w:color="auto" w:fill="CFF0FC"/>
          </w:tcPr>
          <w:p>
            <w:pPr>
              <w:spacing w:after="0"/>
              <w:rPr>
                <w:sz w:val="19"/>
                <w:szCs w:val="19"/>
                <w:color w:val="auto"/>
              </w:rPr>
            </w:pPr>
          </w:p>
        </w:tc>
      </w:tr>
      <w:tr>
        <w:trPr>
          <w:trHeight w:val="223"/>
        </w:trPr>
        <w:tc>
          <w:tcPr>
            <w:tcW w:w="3380" w:type="dxa"/>
            <w:vAlign w:val="bottom"/>
          </w:tcPr>
          <w:p>
            <w:pPr>
              <w:spacing w:after="0"/>
              <w:rPr>
                <w:sz w:val="20"/>
                <w:szCs w:val="20"/>
                <w:color w:val="auto"/>
              </w:rPr>
            </w:pPr>
            <w:r>
              <w:rPr>
                <w:rFonts w:ascii="Arial" w:cs="Arial" w:eastAsia="Arial" w:hAnsi="Arial"/>
                <w:sz w:val="18"/>
                <w:szCs w:val="18"/>
                <w:color w:val="auto"/>
              </w:rPr>
              <w:t>Interest income</w:t>
            </w:r>
          </w:p>
        </w:tc>
        <w:tc>
          <w:tcPr>
            <w:tcW w:w="7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(489)</w:t>
            </w:r>
          </w:p>
        </w:tc>
        <w:tc>
          <w:tcPr>
            <w:tcW w:w="2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(0.1)</w:t>
            </w:r>
          </w:p>
        </w:tc>
        <w:tc>
          <w:tcPr>
            <w:tcW w:w="3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(310)</w:t>
            </w:r>
          </w:p>
        </w:tc>
        <w:tc>
          <w:tcPr>
            <w:tcW w:w="2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(0.1)</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(179)</w:t>
            </w: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57.7</w:t>
            </w:r>
          </w:p>
        </w:tc>
        <w:tc>
          <w:tcPr>
            <w:tcW w:w="320" w:type="dxa"/>
            <w:vAlign w:val="bottom"/>
          </w:tcPr>
          <w:p>
            <w:pPr>
              <w:spacing w:after="0"/>
              <w:rPr>
                <w:sz w:val="19"/>
                <w:szCs w:val="19"/>
                <w:color w:val="auto"/>
              </w:rPr>
            </w:pPr>
          </w:p>
        </w:tc>
      </w:tr>
      <w:tr>
        <w:trPr>
          <w:trHeight w:val="229"/>
        </w:trPr>
        <w:tc>
          <w:tcPr>
            <w:tcW w:w="3380" w:type="dxa"/>
            <w:vAlign w:val="bottom"/>
            <w:shd w:val="clear" w:color="auto" w:fill="CFF0FC"/>
          </w:tcPr>
          <w:p>
            <w:pPr>
              <w:spacing w:after="0"/>
              <w:rPr>
                <w:sz w:val="20"/>
                <w:szCs w:val="20"/>
                <w:color w:val="auto"/>
              </w:rPr>
            </w:pPr>
            <w:r>
              <w:rPr>
                <w:rFonts w:ascii="Arial" w:cs="Arial" w:eastAsia="Arial" w:hAnsi="Arial"/>
                <w:sz w:val="18"/>
                <w:szCs w:val="18"/>
                <w:color w:val="auto"/>
              </w:rPr>
              <w:t>Interest expense</w:t>
            </w:r>
          </w:p>
        </w:tc>
        <w:tc>
          <w:tcPr>
            <w:tcW w:w="720" w:type="dxa"/>
            <w:vAlign w:val="bottom"/>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7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1,629</w:t>
            </w:r>
          </w:p>
        </w:tc>
        <w:tc>
          <w:tcPr>
            <w:tcW w:w="240" w:type="dxa"/>
            <w:vAlign w:val="bottom"/>
            <w:shd w:val="clear" w:color="auto" w:fill="CFF0FC"/>
          </w:tcPr>
          <w:p>
            <w:pPr>
              <w:spacing w:after="0"/>
              <w:rPr>
                <w:sz w:val="19"/>
                <w:szCs w:val="19"/>
                <w:color w:val="auto"/>
              </w:rPr>
            </w:pPr>
          </w:p>
        </w:tc>
        <w:tc>
          <w:tcPr>
            <w:tcW w:w="40" w:type="dxa"/>
            <w:vAlign w:val="bottom"/>
            <w:tcBorders>
              <w:bottom w:val="single" w:sz="8" w:color="auto"/>
            </w:tcBorders>
            <w:shd w:val="clear" w:color="auto" w:fill="CFF0FC"/>
          </w:tcPr>
          <w:p>
            <w:pPr>
              <w:spacing w:after="0"/>
              <w:rPr>
                <w:sz w:val="19"/>
                <w:szCs w:val="19"/>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0.4</w:t>
            </w:r>
          </w:p>
        </w:tc>
        <w:tc>
          <w:tcPr>
            <w:tcW w:w="3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7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1,298</w:t>
            </w:r>
          </w:p>
        </w:tc>
        <w:tc>
          <w:tcPr>
            <w:tcW w:w="220" w:type="dxa"/>
            <w:vAlign w:val="bottom"/>
            <w:shd w:val="clear" w:color="auto" w:fill="CFF0FC"/>
          </w:tcPr>
          <w:p>
            <w:pPr>
              <w:spacing w:after="0"/>
              <w:rPr>
                <w:sz w:val="19"/>
                <w:szCs w:val="19"/>
                <w:color w:val="auto"/>
              </w:rPr>
            </w:pPr>
          </w:p>
        </w:tc>
        <w:tc>
          <w:tcPr>
            <w:tcW w:w="60" w:type="dxa"/>
            <w:vAlign w:val="bottom"/>
            <w:tcBorders>
              <w:bottom w:val="single" w:sz="8" w:color="auto"/>
            </w:tcBorders>
            <w:shd w:val="clear" w:color="auto" w:fill="CFF0FC"/>
          </w:tcPr>
          <w:p>
            <w:pPr>
              <w:spacing w:after="0"/>
              <w:rPr>
                <w:sz w:val="19"/>
                <w:szCs w:val="19"/>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0.5</w:t>
            </w:r>
          </w:p>
        </w:tc>
        <w:tc>
          <w:tcPr>
            <w:tcW w:w="10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7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331</w:t>
            </w:r>
          </w:p>
        </w:tc>
        <w:tc>
          <w:tcPr>
            <w:tcW w:w="22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6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25.5</w:t>
            </w:r>
          </w:p>
        </w:tc>
        <w:tc>
          <w:tcPr>
            <w:tcW w:w="320" w:type="dxa"/>
            <w:vAlign w:val="bottom"/>
            <w:shd w:val="clear" w:color="auto" w:fill="CFF0FC"/>
          </w:tcPr>
          <w:p>
            <w:pPr>
              <w:spacing w:after="0"/>
              <w:rPr>
                <w:sz w:val="19"/>
                <w:szCs w:val="19"/>
                <w:color w:val="auto"/>
              </w:rPr>
            </w:pPr>
          </w:p>
        </w:tc>
      </w:tr>
      <w:tr>
        <w:trPr>
          <w:trHeight w:val="223"/>
        </w:trPr>
        <w:tc>
          <w:tcPr>
            <w:tcW w:w="3380" w:type="dxa"/>
            <w:vAlign w:val="bottom"/>
          </w:tcPr>
          <w:p>
            <w:pPr>
              <w:spacing w:after="0"/>
              <w:rPr>
                <w:sz w:val="20"/>
                <w:szCs w:val="20"/>
                <w:color w:val="auto"/>
              </w:rPr>
            </w:pPr>
            <w:r>
              <w:rPr>
                <w:rFonts w:ascii="Arial" w:cs="Arial" w:eastAsia="Arial" w:hAnsi="Arial"/>
                <w:sz w:val="18"/>
                <w:szCs w:val="18"/>
                <w:color w:val="auto"/>
              </w:rPr>
              <w:t>Total interest expense, net</w:t>
            </w:r>
          </w:p>
        </w:tc>
        <w:tc>
          <w:tcPr>
            <w:tcW w:w="7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1,140</w:t>
            </w:r>
          </w:p>
        </w:tc>
        <w:tc>
          <w:tcPr>
            <w:tcW w:w="2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0.3</w:t>
            </w:r>
          </w:p>
        </w:tc>
        <w:tc>
          <w:tcPr>
            <w:tcW w:w="3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988</w:t>
            </w:r>
          </w:p>
        </w:tc>
        <w:tc>
          <w:tcPr>
            <w:tcW w:w="2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0.4</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152</w:t>
            </w: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15.4</w:t>
            </w:r>
          </w:p>
        </w:tc>
        <w:tc>
          <w:tcPr>
            <w:tcW w:w="320" w:type="dxa"/>
            <w:vAlign w:val="bottom"/>
          </w:tcPr>
          <w:p>
            <w:pPr>
              <w:spacing w:after="0"/>
              <w:rPr>
                <w:sz w:val="19"/>
                <w:szCs w:val="19"/>
                <w:color w:val="auto"/>
              </w:rPr>
            </w:pPr>
          </w:p>
        </w:tc>
      </w:tr>
      <w:tr>
        <w:trPr>
          <w:trHeight w:val="229"/>
        </w:trPr>
        <w:tc>
          <w:tcPr>
            <w:tcW w:w="3380" w:type="dxa"/>
            <w:vAlign w:val="bottom"/>
            <w:shd w:val="clear" w:color="auto" w:fill="CFF0FC"/>
          </w:tcPr>
          <w:p>
            <w:pPr>
              <w:spacing w:after="0"/>
              <w:rPr>
                <w:sz w:val="20"/>
                <w:szCs w:val="20"/>
                <w:color w:val="auto"/>
              </w:rPr>
            </w:pPr>
            <w:r>
              <w:rPr>
                <w:rFonts w:ascii="Arial" w:cs="Arial" w:eastAsia="Arial" w:hAnsi="Arial"/>
                <w:sz w:val="18"/>
                <w:szCs w:val="18"/>
                <w:color w:val="auto"/>
              </w:rPr>
              <w:t>Income before income taxes</w:t>
            </w:r>
          </w:p>
        </w:tc>
        <w:tc>
          <w:tcPr>
            <w:tcW w:w="7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19,128</w:t>
            </w:r>
          </w:p>
        </w:tc>
        <w:tc>
          <w:tcPr>
            <w:tcW w:w="24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5.1</w:t>
            </w:r>
          </w:p>
        </w:tc>
        <w:tc>
          <w:tcPr>
            <w:tcW w:w="3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11,899</w:t>
            </w:r>
          </w:p>
        </w:tc>
        <w:tc>
          <w:tcPr>
            <w:tcW w:w="22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4.1</w:t>
            </w:r>
          </w:p>
        </w:tc>
        <w:tc>
          <w:tcPr>
            <w:tcW w:w="10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7,229</w:t>
            </w:r>
          </w:p>
        </w:tc>
        <w:tc>
          <w:tcPr>
            <w:tcW w:w="2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60.8</w:t>
            </w:r>
          </w:p>
        </w:tc>
        <w:tc>
          <w:tcPr>
            <w:tcW w:w="320" w:type="dxa"/>
            <w:vAlign w:val="bottom"/>
            <w:shd w:val="clear" w:color="auto" w:fill="CFF0FC"/>
          </w:tcPr>
          <w:p>
            <w:pPr>
              <w:spacing w:after="0"/>
              <w:rPr>
                <w:sz w:val="19"/>
                <w:szCs w:val="19"/>
                <w:color w:val="auto"/>
              </w:rPr>
            </w:pPr>
          </w:p>
        </w:tc>
      </w:tr>
      <w:tr>
        <w:trPr>
          <w:trHeight w:val="230"/>
        </w:trPr>
        <w:tc>
          <w:tcPr>
            <w:tcW w:w="338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Income tax expense</w:t>
            </w:r>
          </w:p>
        </w:tc>
        <w:tc>
          <w:tcPr>
            <w:tcW w:w="720" w:type="dxa"/>
            <w:vAlign w:val="bottom"/>
            <w:tcBorders>
              <w:bottom w:val="single" w:sz="8" w:color="CFF0FC"/>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3,563</w:t>
            </w:r>
          </w:p>
        </w:tc>
        <w:tc>
          <w:tcPr>
            <w:tcW w:w="240" w:type="dxa"/>
            <w:vAlign w:val="bottom"/>
            <w:tcBorders>
              <w:bottom w:val="single" w:sz="8" w:color="CFF0FC"/>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w:t>
            </w:r>
          </w:p>
        </w:tc>
        <w:tc>
          <w:tcPr>
            <w:tcW w:w="36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2,311</w:t>
            </w:r>
          </w:p>
        </w:tc>
        <w:tc>
          <w:tcPr>
            <w:tcW w:w="220" w:type="dxa"/>
            <w:vAlign w:val="bottom"/>
            <w:tcBorders>
              <w:bottom w:val="single" w:sz="8" w:color="CFF0FC"/>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0.8</w:t>
            </w:r>
          </w:p>
        </w:tc>
        <w:tc>
          <w:tcPr>
            <w:tcW w:w="100" w:type="dxa"/>
            <w:vAlign w:val="bottom"/>
            <w:tcBorders>
              <w:bottom w:val="single" w:sz="8" w:color="CFF0FC"/>
            </w:tcBorders>
          </w:tcPr>
          <w:p>
            <w:pPr>
              <w:spacing w:after="0"/>
              <w:rPr>
                <w:sz w:val="19"/>
                <w:szCs w:val="19"/>
                <w:color w:val="auto"/>
              </w:rPr>
            </w:pPr>
          </w:p>
        </w:tc>
        <w:tc>
          <w:tcPr>
            <w:tcW w:w="340" w:type="dxa"/>
            <w:vAlign w:val="bottom"/>
            <w:tcBorders>
              <w:bottom w:val="single" w:sz="8" w:color="CFF0FC"/>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1,252</w:t>
            </w:r>
          </w:p>
        </w:tc>
        <w:tc>
          <w:tcPr>
            <w:tcW w:w="22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54.2</w:t>
            </w:r>
          </w:p>
        </w:tc>
        <w:tc>
          <w:tcPr>
            <w:tcW w:w="320" w:type="dxa"/>
            <w:vAlign w:val="bottom"/>
            <w:tcBorders>
              <w:bottom w:val="single" w:sz="8" w:color="CFF0FC"/>
            </w:tcBorders>
          </w:tcPr>
          <w:p>
            <w:pPr>
              <w:spacing w:after="0"/>
              <w:rPr>
                <w:sz w:val="19"/>
                <w:szCs w:val="19"/>
                <w:color w:val="auto"/>
              </w:rPr>
            </w:pPr>
          </w:p>
        </w:tc>
      </w:tr>
      <w:tr>
        <w:trPr>
          <w:trHeight w:val="223"/>
        </w:trPr>
        <w:tc>
          <w:tcPr>
            <w:tcW w:w="338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Net income</w:t>
            </w:r>
          </w:p>
        </w:tc>
        <w:tc>
          <w:tcPr>
            <w:tcW w:w="720" w:type="dxa"/>
            <w:vAlign w:val="bottom"/>
            <w:tcBorders>
              <w:bottom w:val="single" w:sz="8" w:color="CFF0FC"/>
            </w:tcBorders>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15,565</w:t>
            </w:r>
          </w:p>
        </w:tc>
        <w:tc>
          <w:tcPr>
            <w:tcW w:w="240" w:type="dxa"/>
            <w:vAlign w:val="bottom"/>
            <w:tcBorders>
              <w:bottom w:val="single" w:sz="8" w:color="CFF0FC"/>
            </w:tcBorders>
            <w:shd w:val="clear" w:color="auto" w:fill="CFF0FC"/>
          </w:tcPr>
          <w:p>
            <w:pPr>
              <w:spacing w:after="0"/>
              <w:rPr>
                <w:sz w:val="19"/>
                <w:szCs w:val="19"/>
                <w:color w:val="auto"/>
              </w:rPr>
            </w:pPr>
          </w:p>
        </w:tc>
        <w:tc>
          <w:tcPr>
            <w:tcW w:w="40" w:type="dxa"/>
            <w:vAlign w:val="bottom"/>
            <w:tcBorders>
              <w:bottom w:val="single" w:sz="8" w:color="auto"/>
            </w:tcBorders>
            <w:shd w:val="clear" w:color="auto" w:fill="CFF0FC"/>
          </w:tcPr>
          <w:p>
            <w:pPr>
              <w:spacing w:after="0"/>
              <w:rPr>
                <w:sz w:val="19"/>
                <w:szCs w:val="19"/>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4.1</w:t>
            </w:r>
          </w:p>
        </w:tc>
        <w:tc>
          <w:tcPr>
            <w:tcW w:w="360" w:type="dxa"/>
            <w:vAlign w:val="bottom"/>
            <w:tcBorders>
              <w:bottom w:val="single" w:sz="8" w:color="CFF0FC"/>
            </w:tcBorders>
            <w:shd w:val="clear" w:color="auto" w:fill="CFF0FC"/>
          </w:tcPr>
          <w:p>
            <w:pPr>
              <w:jc w:val="right"/>
              <w:ind w:right="16"/>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CFF0FC"/>
            </w:tcBorders>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9,588</w:t>
            </w:r>
          </w:p>
        </w:tc>
        <w:tc>
          <w:tcPr>
            <w:tcW w:w="220" w:type="dxa"/>
            <w:vAlign w:val="bottom"/>
            <w:tcBorders>
              <w:bottom w:val="single" w:sz="8" w:color="CFF0FC"/>
            </w:tcBorders>
            <w:shd w:val="clear" w:color="auto" w:fill="CFF0FC"/>
          </w:tcPr>
          <w:p>
            <w:pPr>
              <w:spacing w:after="0"/>
              <w:rPr>
                <w:sz w:val="19"/>
                <w:szCs w:val="19"/>
                <w:color w:val="auto"/>
              </w:rPr>
            </w:pPr>
          </w:p>
        </w:tc>
        <w:tc>
          <w:tcPr>
            <w:tcW w:w="60" w:type="dxa"/>
            <w:vAlign w:val="bottom"/>
            <w:tcBorders>
              <w:bottom w:val="single" w:sz="8" w:color="auto"/>
            </w:tcBorders>
            <w:shd w:val="clear" w:color="auto" w:fill="CFF0FC"/>
          </w:tcPr>
          <w:p>
            <w:pPr>
              <w:spacing w:after="0"/>
              <w:rPr>
                <w:sz w:val="19"/>
                <w:szCs w:val="19"/>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3.3</w:t>
            </w:r>
          </w:p>
        </w:tc>
        <w:tc>
          <w:tcPr>
            <w:tcW w:w="100" w:type="dxa"/>
            <w:vAlign w:val="bottom"/>
            <w:tcBorders>
              <w:bottom w:val="single" w:sz="8" w:color="CFF0FC"/>
            </w:tcBorders>
            <w:shd w:val="clear" w:color="auto" w:fill="CFF0FC"/>
          </w:tcPr>
          <w:p>
            <w:pPr>
              <w:spacing w:after="0"/>
              <w:rPr>
                <w:sz w:val="19"/>
                <w:szCs w:val="19"/>
                <w:color w:val="auto"/>
              </w:rPr>
            </w:pPr>
          </w:p>
        </w:tc>
        <w:tc>
          <w:tcPr>
            <w:tcW w:w="340" w:type="dxa"/>
            <w:vAlign w:val="bottom"/>
            <w:tcBorders>
              <w:bottom w:val="single" w:sz="8" w:color="CFF0FC"/>
            </w:tcBorders>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5,977</w:t>
            </w:r>
          </w:p>
        </w:tc>
        <w:tc>
          <w:tcPr>
            <w:tcW w:w="220" w:type="dxa"/>
            <w:vAlign w:val="bottom"/>
            <w:tcBorders>
              <w:bottom w:val="single" w:sz="8" w:color="CFF0FC"/>
            </w:tcBorders>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6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62.3</w:t>
            </w:r>
          </w:p>
        </w:tc>
        <w:tc>
          <w:tcPr>
            <w:tcW w:w="32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w:t>
            </w:r>
          </w:p>
        </w:tc>
      </w:tr>
      <w:tr>
        <w:trPr>
          <w:trHeight w:val="20"/>
        </w:trPr>
        <w:tc>
          <w:tcPr>
            <w:tcW w:w="33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r>
    </w:tbl>
    <w:p>
      <w:pPr>
        <w:spacing w:after="0" w:line="148" w:lineRule="exact"/>
        <w:rPr>
          <w:sz w:val="20"/>
          <w:szCs w:val="20"/>
          <w:color w:val="auto"/>
        </w:rPr>
      </w:pPr>
    </w:p>
    <w:p>
      <w:pPr>
        <w:ind w:right="140" w:firstLine="476"/>
        <w:spacing w:after="0" w:line="257" w:lineRule="auto"/>
        <w:rPr>
          <w:sz w:val="20"/>
          <w:szCs w:val="20"/>
          <w:color w:val="auto"/>
        </w:rPr>
      </w:pPr>
      <w:r>
        <w:rPr>
          <w:rFonts w:ascii="Arial" w:cs="Arial" w:eastAsia="Arial" w:hAnsi="Arial"/>
          <w:sz w:val="18"/>
          <w:szCs w:val="18"/>
          <w:color w:val="auto"/>
        </w:rPr>
        <w:t>Net service revenues increased by 30.4% to $374.8 million for the six months ended June 30, 2020 compared to $287.4 million for the six months ended June 30, 2019. The increase was due to an increase in same store growth of 11.8% and an 11.9% increase in revenues per billable hour for the six months ended June 30, 2020, partially offset by a decrease in average billable census of 3.1% in our personal care segment. In addition, revenue increased by $8.6 million from our hospice segment during the six months ended June 30, 2020, compared to the same period in 2019, attributed to the fiscal year 2019 acquisitions of Hospice Partners and Alliance.</w:t>
      </w:r>
    </w:p>
    <w:p>
      <w:pPr>
        <w:spacing w:after="0" w:line="134" w:lineRule="exact"/>
        <w:rPr>
          <w:sz w:val="20"/>
          <w:szCs w:val="20"/>
          <w:color w:val="auto"/>
        </w:rPr>
      </w:pPr>
    </w:p>
    <w:p>
      <w:pPr>
        <w:ind w:right="160" w:firstLine="476"/>
        <w:spacing w:after="0" w:line="308" w:lineRule="auto"/>
        <w:rPr>
          <w:sz w:val="20"/>
          <w:szCs w:val="20"/>
          <w:color w:val="auto"/>
        </w:rPr>
      </w:pPr>
      <w:r>
        <w:rPr>
          <w:rFonts w:ascii="Arial" w:cs="Arial" w:eastAsia="Arial" w:hAnsi="Arial"/>
          <w:sz w:val="17"/>
          <w:szCs w:val="17"/>
          <w:color w:val="auto"/>
        </w:rPr>
        <w:t>Gross profit, expressed as a percentage of net service revenues, increased to 29.6% for the six months ended June 30, 2020, compared to 26.6% for the same period in 2019. The increase was mainly attributed to the acquisition of the relatively higher margin businesses in 2019.</w:t>
      </w:r>
    </w:p>
    <w:p>
      <w:pPr>
        <w:spacing w:after="0" w:line="92" w:lineRule="exact"/>
        <w:rPr>
          <w:sz w:val="20"/>
          <w:szCs w:val="20"/>
          <w:color w:val="auto"/>
        </w:rPr>
      </w:pPr>
    </w:p>
    <w:p>
      <w:pPr>
        <w:ind w:right="180" w:firstLine="476"/>
        <w:spacing w:after="0" w:line="254" w:lineRule="auto"/>
        <w:rPr>
          <w:sz w:val="20"/>
          <w:szCs w:val="20"/>
          <w:color w:val="auto"/>
        </w:rPr>
      </w:pPr>
      <w:r>
        <w:rPr>
          <w:rFonts w:ascii="Arial" w:cs="Arial" w:eastAsia="Arial" w:hAnsi="Arial"/>
          <w:sz w:val="18"/>
          <w:szCs w:val="18"/>
          <w:color w:val="auto"/>
        </w:rPr>
        <w:t>General and administrative expenses increased to $84.7 million for the six months ended June 30, 2020 as compared to $59.0 million for the six months ended June 30, 2019. The increase in general and administrative expenses was primarily due to acquisitions that resulted in an increase in administrative employee wages, taxes and benefit costs of $16.2 million, an increase in data processing of $1.3 million and an increase in rent expense of $1.3 million. In addition, acquisition related costs and professional fees increased by $2.3 million and $2.4 million, respectively, for the six months ended June 30, 2020 compared to the six months ended June 30, 2019. General and administrative expenses, expressed as a percentage of net service revenues increased to 22.6% for the six months ended June 30, 2020, from 20.5% for the six months ended June 30, 2019 mainly related to an increase in audit expenses.</w:t>
      </w:r>
    </w:p>
    <w:p>
      <w:pPr>
        <w:spacing w:after="0" w:line="141" w:lineRule="exact"/>
        <w:rPr>
          <w:sz w:val="20"/>
          <w:szCs w:val="20"/>
          <w:color w:val="auto"/>
        </w:rPr>
      </w:pPr>
    </w:p>
    <w:p>
      <w:pPr>
        <w:ind w:right="220" w:firstLine="476"/>
        <w:spacing w:after="0" w:line="277" w:lineRule="auto"/>
        <w:rPr>
          <w:sz w:val="20"/>
          <w:szCs w:val="20"/>
          <w:color w:val="auto"/>
        </w:rPr>
      </w:pPr>
      <w:r>
        <w:rPr>
          <w:rFonts w:ascii="Arial" w:cs="Arial" w:eastAsia="Arial" w:hAnsi="Arial"/>
          <w:sz w:val="18"/>
          <w:szCs w:val="18"/>
          <w:color w:val="auto"/>
        </w:rPr>
        <w:t>Depreciation and amortization expense increased to $5.8 million from $4.6 million for the six months ended June 30, 2020 and 2019, respectively, primarily due to the increase of intangible assets related to the fiscal year 2019 acquisitions.</w:t>
      </w:r>
    </w:p>
    <w:p>
      <w:pPr>
        <w:spacing w:after="0" w:line="224" w:lineRule="exact"/>
        <w:rPr>
          <w:sz w:val="20"/>
          <w:szCs w:val="20"/>
          <w:color w:val="auto"/>
        </w:rPr>
      </w:pPr>
    </w:p>
    <w:p>
      <w:pPr>
        <w:ind w:left="480"/>
        <w:spacing w:after="0"/>
        <w:rPr>
          <w:sz w:val="20"/>
          <w:szCs w:val="20"/>
          <w:color w:val="auto"/>
        </w:rPr>
      </w:pPr>
      <w:r>
        <w:rPr>
          <w:rFonts w:ascii="Arial" w:cs="Arial" w:eastAsia="Arial" w:hAnsi="Arial"/>
          <w:sz w:val="18"/>
          <w:szCs w:val="18"/>
          <w:b w:val="1"/>
          <w:bCs w:val="1"/>
          <w:i w:val="1"/>
          <w:iCs w:val="1"/>
          <w:color w:val="auto"/>
        </w:rPr>
        <w:t>Interest Expense</w:t>
      </w:r>
    </w:p>
    <w:p>
      <w:pPr>
        <w:spacing w:after="0" w:line="77" w:lineRule="exact"/>
        <w:rPr>
          <w:sz w:val="20"/>
          <w:szCs w:val="20"/>
          <w:color w:val="auto"/>
        </w:rPr>
      </w:pPr>
    </w:p>
    <w:p>
      <w:pPr>
        <w:jc w:val="both"/>
        <w:ind w:right="120" w:firstLine="476"/>
        <w:spacing w:after="0" w:line="263" w:lineRule="auto"/>
        <w:rPr>
          <w:sz w:val="20"/>
          <w:szCs w:val="20"/>
          <w:color w:val="auto"/>
        </w:rPr>
      </w:pPr>
      <w:r>
        <w:rPr>
          <w:rFonts w:ascii="Arial" w:cs="Arial" w:eastAsia="Arial" w:hAnsi="Arial"/>
          <w:sz w:val="18"/>
          <w:szCs w:val="18"/>
          <w:color w:val="auto"/>
        </w:rPr>
        <w:t>Interest expense increased to $1.6 million from $1.3 million for the six months ended June 30, 2020 as compared to June 30, 2019. The increase in interest expense was primarily due to higher outstanding loan balance under our credit facility for the six months ended June 30, 2020 compared to the six months ended June 30, 2019.</w:t>
      </w:r>
    </w:p>
    <w:p>
      <w:pPr>
        <w:spacing w:after="0" w:line="197" w:lineRule="exact"/>
        <w:rPr>
          <w:sz w:val="20"/>
          <w:szCs w:val="20"/>
          <w:color w:val="auto"/>
        </w:rPr>
      </w:pPr>
    </w:p>
    <w:p>
      <w:pPr>
        <w:ind w:left="480"/>
        <w:spacing w:after="0"/>
        <w:rPr>
          <w:sz w:val="20"/>
          <w:szCs w:val="20"/>
          <w:color w:val="auto"/>
        </w:rPr>
      </w:pPr>
      <w:r>
        <w:rPr>
          <w:rFonts w:ascii="Arial" w:cs="Arial" w:eastAsia="Arial" w:hAnsi="Arial"/>
          <w:sz w:val="18"/>
          <w:szCs w:val="18"/>
          <w:b w:val="1"/>
          <w:bCs w:val="1"/>
          <w:i w:val="1"/>
          <w:iCs w:val="1"/>
          <w:color w:val="auto"/>
        </w:rPr>
        <w:t>Income Tax Expense</w:t>
      </w:r>
    </w:p>
    <w:p>
      <w:pPr>
        <w:spacing w:after="0" w:line="90" w:lineRule="exact"/>
        <w:rPr>
          <w:sz w:val="20"/>
          <w:szCs w:val="20"/>
          <w:color w:val="auto"/>
        </w:rPr>
      </w:pPr>
    </w:p>
    <w:p>
      <w:pPr>
        <w:ind w:right="20" w:firstLine="476"/>
        <w:spacing w:after="0" w:line="263" w:lineRule="auto"/>
        <w:rPr>
          <w:sz w:val="20"/>
          <w:szCs w:val="20"/>
          <w:color w:val="auto"/>
        </w:rPr>
      </w:pPr>
      <w:r>
        <w:rPr>
          <w:rFonts w:ascii="Arial" w:cs="Arial" w:eastAsia="Arial" w:hAnsi="Arial"/>
          <w:sz w:val="18"/>
          <w:szCs w:val="18"/>
          <w:color w:val="auto"/>
        </w:rPr>
        <w:t>All of our income is from domestic sources. We incur state and local taxes in states in which we operate. For the six months ended June 30, 2020 and 2019, the federal statutory rate was 21.0%. The effective income tax rate was 18.6% and 19.4% for the six months ended June 30, 2020 and 2019, respectively.</w:t>
      </w:r>
    </w:p>
    <w:p>
      <w:pPr>
        <w:spacing w:after="0" w:line="130" w:lineRule="exact"/>
        <w:rPr>
          <w:sz w:val="20"/>
          <w:szCs w:val="20"/>
          <w:color w:val="auto"/>
        </w:rPr>
      </w:pPr>
    </w:p>
    <w:p>
      <w:pPr>
        <w:ind w:right="100" w:firstLine="476"/>
        <w:spacing w:after="0" w:line="301" w:lineRule="auto"/>
        <w:rPr>
          <w:sz w:val="20"/>
          <w:szCs w:val="20"/>
          <w:color w:val="auto"/>
        </w:rPr>
      </w:pPr>
      <w:r>
        <w:rPr>
          <w:rFonts w:ascii="Arial" w:cs="Arial" w:eastAsia="Arial" w:hAnsi="Arial"/>
          <w:sz w:val="16"/>
          <w:szCs w:val="16"/>
          <w:color w:val="auto"/>
        </w:rPr>
        <w:t>For the six months ended June 30, 2020 and 2019, the difference between our federal statutory and effective income tax rates was principally due to the inclusion of an excess tax benefit and the use of federal employment tax credits, partially offset by state taxes and non-deductible compensation. The effective tax rates were lower than the federal statutory rate primarily due to the inclusion of a 7.5% and 6.5% excess tax benefit for the six months ended June 30, 2020 and 2019, respectively. The excess tax benefit is a discrete item which requires us to recognize the benefit fully in the period.</w:t>
      </w:r>
    </w:p>
    <w:p>
      <w:pPr>
        <w:spacing w:after="0" w:line="36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223520</wp:posOffset>
            </wp:positionV>
            <wp:extent cx="7132320"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Results of Operations – Segments</w:t>
      </w:r>
    </w:p>
    <w:p>
      <w:pPr>
        <w:spacing w:after="0" w:line="90" w:lineRule="exact"/>
        <w:rPr>
          <w:sz w:val="20"/>
          <w:szCs w:val="20"/>
          <w:color w:val="auto"/>
        </w:rPr>
      </w:pPr>
    </w:p>
    <w:p>
      <w:pPr>
        <w:ind w:left="480"/>
        <w:spacing w:after="0"/>
        <w:rPr>
          <w:sz w:val="20"/>
          <w:szCs w:val="20"/>
          <w:color w:val="auto"/>
        </w:rPr>
      </w:pPr>
      <w:r>
        <w:rPr>
          <w:rFonts w:ascii="Arial" w:cs="Arial" w:eastAsia="Arial" w:hAnsi="Arial"/>
          <w:sz w:val="18"/>
          <w:szCs w:val="18"/>
          <w:color w:val="auto"/>
        </w:rPr>
        <w:t>The following tables and related analysis summarize our operating results and business metrics by segment:</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Personal Care Segment</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17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420" w:type="dxa"/>
            <w:vAlign w:val="bottom"/>
            <w:gridSpan w:val="5"/>
          </w:tcPr>
          <w:p>
            <w:pPr>
              <w:jc w:val="center"/>
              <w:ind w:right="117"/>
              <w:spacing w:after="0"/>
              <w:rPr>
                <w:sz w:val="20"/>
                <w:szCs w:val="20"/>
                <w:color w:val="auto"/>
              </w:rPr>
            </w:pPr>
            <w:r>
              <w:rPr>
                <w:rFonts w:ascii="Arial" w:cs="Arial" w:eastAsia="Arial" w:hAnsi="Arial"/>
                <w:sz w:val="13"/>
                <w:szCs w:val="13"/>
                <w:b w:val="1"/>
                <w:bCs w:val="1"/>
                <w:color w:val="auto"/>
                <w:w w:val="90"/>
              </w:rPr>
              <w:t>For the Three Months</w:t>
            </w:r>
          </w:p>
        </w:tc>
        <w:tc>
          <w:tcPr>
            <w:tcW w:w="2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360" w:type="dxa"/>
            <w:vAlign w:val="bottom"/>
            <w:gridSpan w:val="4"/>
          </w:tcPr>
          <w:p>
            <w:pPr>
              <w:jc w:val="center"/>
              <w:ind w:right="217"/>
              <w:spacing w:after="0"/>
              <w:rPr>
                <w:sz w:val="20"/>
                <w:szCs w:val="20"/>
                <w:color w:val="auto"/>
              </w:rPr>
            </w:pPr>
            <w:r>
              <w:rPr>
                <w:rFonts w:ascii="Arial" w:cs="Arial" w:eastAsia="Arial" w:hAnsi="Arial"/>
                <w:sz w:val="13"/>
                <w:szCs w:val="13"/>
                <w:b w:val="1"/>
                <w:bCs w:val="1"/>
                <w:color w:val="auto"/>
                <w:w w:val="88"/>
              </w:rPr>
              <w:t>For the Six Months</w:t>
            </w:r>
          </w:p>
        </w:tc>
        <w:tc>
          <w:tcPr>
            <w:tcW w:w="2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17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46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620" w:type="dxa"/>
            <w:vAlign w:val="bottom"/>
            <w:tcBorders>
              <w:bottom w:val="single" w:sz="8" w:color="auto"/>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260" w:type="dxa"/>
            <w:vAlign w:val="bottom"/>
            <w:tcBorders>
              <w:bottom w:val="single" w:sz="8" w:color="auto"/>
            </w:tcBorders>
            <w:gridSpan w:val="3"/>
          </w:tcPr>
          <w:p>
            <w:pPr>
              <w:jc w:val="center"/>
              <w:ind w:right="277"/>
              <w:spacing w:after="0"/>
              <w:rPr>
                <w:sz w:val="20"/>
                <w:szCs w:val="20"/>
                <w:color w:val="auto"/>
              </w:rPr>
            </w:pPr>
            <w:r>
              <w:rPr>
                <w:rFonts w:ascii="Arial" w:cs="Arial" w:eastAsia="Arial" w:hAnsi="Arial"/>
                <w:sz w:val="13"/>
                <w:szCs w:val="13"/>
                <w:b w:val="1"/>
                <w:bCs w:val="1"/>
                <w:color w:val="auto"/>
                <w:w w:val="88"/>
              </w:rPr>
              <w:t>Ended June 30,</w:t>
            </w:r>
          </w:p>
        </w:tc>
        <w:tc>
          <w:tcPr>
            <w:tcW w:w="260" w:type="dxa"/>
            <w:vAlign w:val="bottom"/>
            <w:tcBorders>
              <w:bottom w:val="single" w:sz="8" w:color="auto"/>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38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44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620" w:type="dxa"/>
            <w:vAlign w:val="bottom"/>
            <w:tcBorders>
              <w:bottom w:val="single" w:sz="8" w:color="auto"/>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260" w:type="dxa"/>
            <w:vAlign w:val="bottom"/>
            <w:tcBorders>
              <w:bottom w:val="single" w:sz="8" w:color="auto"/>
            </w:tcBorders>
            <w:gridSpan w:val="3"/>
          </w:tcPr>
          <w:p>
            <w:pPr>
              <w:jc w:val="center"/>
              <w:ind w:right="317"/>
              <w:spacing w:after="0"/>
              <w:rPr>
                <w:sz w:val="20"/>
                <w:szCs w:val="20"/>
                <w:color w:val="auto"/>
              </w:rPr>
            </w:pPr>
            <w:r>
              <w:rPr>
                <w:rFonts w:ascii="Arial" w:cs="Arial" w:eastAsia="Arial" w:hAnsi="Arial"/>
                <w:sz w:val="13"/>
                <w:szCs w:val="13"/>
                <w:b w:val="1"/>
                <w:bCs w:val="1"/>
                <w:color w:val="auto"/>
                <w:w w:val="88"/>
              </w:rPr>
              <w:t>Ended June 30,</w:t>
            </w:r>
          </w:p>
        </w:tc>
        <w:tc>
          <w:tcPr>
            <w:tcW w:w="260" w:type="dxa"/>
            <w:vAlign w:val="bottom"/>
            <w:tcBorders>
              <w:bottom w:val="single" w:sz="8" w:color="auto"/>
            </w:tcBorders>
          </w:tcPr>
          <w:p>
            <w:pPr>
              <w:spacing w:after="0"/>
              <w:rPr>
                <w:sz w:val="13"/>
                <w:szCs w:val="13"/>
                <w:color w:val="auto"/>
              </w:rPr>
            </w:pPr>
          </w:p>
        </w:tc>
        <w:tc>
          <w:tcPr>
            <w:tcW w:w="4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38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17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46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gridSpan w:val="2"/>
          </w:tcPr>
          <w:p>
            <w:pPr>
              <w:jc w:val="right"/>
              <w:ind w:right="477"/>
              <w:spacing w:after="0" w:line="142" w:lineRule="exact"/>
              <w:rPr>
                <w:sz w:val="20"/>
                <w:szCs w:val="20"/>
                <w:color w:val="auto"/>
              </w:rPr>
            </w:pPr>
            <w:r>
              <w:rPr>
                <w:rFonts w:ascii="Arial" w:cs="Arial" w:eastAsia="Arial" w:hAnsi="Arial"/>
                <w:sz w:val="13"/>
                <w:szCs w:val="13"/>
                <w:b w:val="1"/>
                <w:bCs w:val="1"/>
                <w:color w:val="auto"/>
                <w:w w:val="82"/>
              </w:rPr>
              <w:t>2020</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46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gridSpan w:val="2"/>
          </w:tcPr>
          <w:p>
            <w:pPr>
              <w:jc w:val="right"/>
              <w:ind w:right="477"/>
              <w:spacing w:after="0" w:line="142" w:lineRule="exact"/>
              <w:rPr>
                <w:sz w:val="20"/>
                <w:szCs w:val="20"/>
                <w:color w:val="auto"/>
              </w:rPr>
            </w:pPr>
            <w:r>
              <w:rPr>
                <w:rFonts w:ascii="Arial" w:cs="Arial" w:eastAsia="Arial" w:hAnsi="Arial"/>
                <w:sz w:val="13"/>
                <w:szCs w:val="13"/>
                <w:b w:val="1"/>
                <w:bCs w:val="1"/>
                <w:color w:val="auto"/>
                <w:w w:val="82"/>
              </w:rPr>
              <w:t>2019</w:t>
            </w:r>
          </w:p>
        </w:tc>
        <w:tc>
          <w:tcPr>
            <w:tcW w:w="2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gridSpan w:val="3"/>
          </w:tcPr>
          <w:p>
            <w:pPr>
              <w:ind w:left="240"/>
              <w:spacing w:after="0" w:line="142" w:lineRule="exact"/>
              <w:rPr>
                <w:sz w:val="20"/>
                <w:szCs w:val="20"/>
                <w:color w:val="auto"/>
              </w:rPr>
            </w:pPr>
            <w:r>
              <w:rPr>
                <w:rFonts w:ascii="Arial" w:cs="Arial" w:eastAsia="Arial" w:hAnsi="Arial"/>
                <w:sz w:val="13"/>
                <w:szCs w:val="13"/>
                <w:b w:val="1"/>
                <w:bCs w:val="1"/>
                <w:color w:val="auto"/>
                <w:w w:val="88"/>
              </w:rPr>
              <w:t>Change</w:t>
            </w:r>
          </w:p>
        </w:tc>
        <w:tc>
          <w:tcPr>
            <w:tcW w:w="320" w:type="dxa"/>
            <w:vAlign w:val="bottom"/>
            <w:tcBorders>
              <w:bottom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4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gridSpan w:val="2"/>
          </w:tcPr>
          <w:p>
            <w:pPr>
              <w:jc w:val="right"/>
              <w:ind w:right="497"/>
              <w:spacing w:after="0" w:line="142" w:lineRule="exact"/>
              <w:rPr>
                <w:sz w:val="20"/>
                <w:szCs w:val="20"/>
                <w:color w:val="auto"/>
              </w:rPr>
            </w:pPr>
            <w:r>
              <w:rPr>
                <w:rFonts w:ascii="Arial" w:cs="Arial" w:eastAsia="Arial" w:hAnsi="Arial"/>
                <w:sz w:val="13"/>
                <w:szCs w:val="13"/>
                <w:b w:val="1"/>
                <w:bCs w:val="1"/>
                <w:color w:val="auto"/>
                <w:w w:val="82"/>
              </w:rPr>
              <w:t>2020</w:t>
            </w:r>
          </w:p>
        </w:tc>
        <w:tc>
          <w:tcPr>
            <w:tcW w:w="30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4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gridSpan w:val="2"/>
          </w:tcPr>
          <w:p>
            <w:pPr>
              <w:jc w:val="right"/>
              <w:ind w:right="497"/>
              <w:spacing w:after="0" w:line="142" w:lineRule="exact"/>
              <w:rPr>
                <w:sz w:val="20"/>
                <w:szCs w:val="20"/>
                <w:color w:val="auto"/>
              </w:rPr>
            </w:pPr>
            <w:r>
              <w:rPr>
                <w:rFonts w:ascii="Arial" w:cs="Arial" w:eastAsia="Arial" w:hAnsi="Arial"/>
                <w:sz w:val="13"/>
                <w:szCs w:val="13"/>
                <w:b w:val="1"/>
                <w:bCs w:val="1"/>
                <w:color w:val="auto"/>
                <w:w w:val="82"/>
              </w:rPr>
              <w:t>2019</w:t>
            </w:r>
          </w:p>
        </w:tc>
        <w:tc>
          <w:tcPr>
            <w:tcW w:w="2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gridSpan w:val="3"/>
          </w:tcPr>
          <w:p>
            <w:pPr>
              <w:ind w:left="240"/>
              <w:spacing w:after="0" w:line="142" w:lineRule="exact"/>
              <w:rPr>
                <w:sz w:val="20"/>
                <w:szCs w:val="20"/>
                <w:color w:val="auto"/>
              </w:rPr>
            </w:pPr>
            <w:r>
              <w:rPr>
                <w:rFonts w:ascii="Arial" w:cs="Arial" w:eastAsia="Arial" w:hAnsi="Arial"/>
                <w:sz w:val="13"/>
                <w:szCs w:val="13"/>
                <w:b w:val="1"/>
                <w:bCs w:val="1"/>
                <w:color w:val="auto"/>
                <w:w w:val="88"/>
              </w:rPr>
              <w:t>Change</w:t>
            </w:r>
          </w:p>
        </w:tc>
        <w:tc>
          <w:tcPr>
            <w:tcW w:w="320" w:type="dxa"/>
            <w:vAlign w:val="bottom"/>
            <w:tcBorders>
              <w:bottom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4"/>
        </w:trPr>
        <w:tc>
          <w:tcPr>
            <w:tcW w:w="17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20" w:type="dxa"/>
            <w:vAlign w:val="bottom"/>
          </w:tcPr>
          <w:p>
            <w:pPr>
              <w:jc w:val="center"/>
              <w:spacing w:after="0" w:line="124" w:lineRule="exact"/>
              <w:rPr>
                <w:sz w:val="20"/>
                <w:szCs w:val="20"/>
                <w:color w:val="auto"/>
              </w:rPr>
            </w:pPr>
            <w:r>
              <w:rPr>
                <w:rFonts w:ascii="Arial" w:cs="Arial" w:eastAsia="Arial" w:hAnsi="Arial"/>
                <w:sz w:val="13"/>
                <w:szCs w:val="13"/>
                <w:b w:val="1"/>
                <w:bCs w:val="1"/>
                <w:color w:val="auto"/>
                <w:w w:val="94"/>
              </w:rPr>
              <w:t>% of</w:t>
            </w:r>
          </w:p>
        </w:tc>
        <w:tc>
          <w:tcPr>
            <w:tcW w:w="2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20" w:type="dxa"/>
            <w:vAlign w:val="bottom"/>
          </w:tcPr>
          <w:p>
            <w:pPr>
              <w:jc w:val="center"/>
              <w:spacing w:after="0" w:line="124" w:lineRule="exact"/>
              <w:rPr>
                <w:sz w:val="20"/>
                <w:szCs w:val="20"/>
                <w:color w:val="auto"/>
              </w:rPr>
            </w:pPr>
            <w:r>
              <w:rPr>
                <w:rFonts w:ascii="Arial" w:cs="Arial" w:eastAsia="Arial" w:hAnsi="Arial"/>
                <w:sz w:val="13"/>
                <w:szCs w:val="13"/>
                <w:b w:val="1"/>
                <w:bCs w:val="1"/>
                <w:color w:val="auto"/>
                <w:w w:val="94"/>
              </w:rPr>
              <w:t>% of</w:t>
            </w:r>
          </w:p>
        </w:tc>
        <w:tc>
          <w:tcPr>
            <w:tcW w:w="2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20" w:type="dxa"/>
            <w:vAlign w:val="bottom"/>
          </w:tcPr>
          <w:p>
            <w:pPr>
              <w:jc w:val="center"/>
              <w:spacing w:after="0" w:line="124" w:lineRule="exact"/>
              <w:rPr>
                <w:sz w:val="20"/>
                <w:szCs w:val="20"/>
                <w:color w:val="auto"/>
              </w:rPr>
            </w:pPr>
            <w:r>
              <w:rPr>
                <w:rFonts w:ascii="Arial" w:cs="Arial" w:eastAsia="Arial" w:hAnsi="Arial"/>
                <w:sz w:val="13"/>
                <w:szCs w:val="13"/>
                <w:b w:val="1"/>
                <w:bCs w:val="1"/>
                <w:color w:val="auto"/>
                <w:w w:val="94"/>
              </w:rPr>
              <w:t>% of</w:t>
            </w:r>
          </w:p>
        </w:tc>
        <w:tc>
          <w:tcPr>
            <w:tcW w:w="3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20" w:type="dxa"/>
            <w:vAlign w:val="bottom"/>
          </w:tcPr>
          <w:p>
            <w:pPr>
              <w:jc w:val="center"/>
              <w:spacing w:after="0" w:line="124" w:lineRule="exact"/>
              <w:rPr>
                <w:sz w:val="20"/>
                <w:szCs w:val="20"/>
                <w:color w:val="auto"/>
              </w:rPr>
            </w:pPr>
            <w:r>
              <w:rPr>
                <w:rFonts w:ascii="Arial" w:cs="Arial" w:eastAsia="Arial" w:hAnsi="Arial"/>
                <w:sz w:val="13"/>
                <w:szCs w:val="13"/>
                <w:b w:val="1"/>
                <w:bCs w:val="1"/>
                <w:color w:val="auto"/>
                <w:w w:val="94"/>
              </w:rPr>
              <w:t>% of</w:t>
            </w:r>
          </w:p>
        </w:tc>
        <w:tc>
          <w:tcPr>
            <w:tcW w:w="2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17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2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83"/>
              </w:rPr>
              <w:t>Segment</w:t>
            </w: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2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83"/>
              </w:rPr>
              <w:t>Segment</w:t>
            </w:r>
          </w:p>
        </w:tc>
        <w:tc>
          <w:tcPr>
            <w:tcW w:w="2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2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83"/>
              </w:rPr>
              <w:t>Segment</w:t>
            </w:r>
          </w:p>
        </w:tc>
        <w:tc>
          <w:tcPr>
            <w:tcW w:w="3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2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83"/>
              </w:rPr>
              <w:t>Segment</w:t>
            </w:r>
          </w:p>
        </w:tc>
        <w:tc>
          <w:tcPr>
            <w:tcW w:w="2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7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800" w:type="dxa"/>
            <w:vAlign w:val="bottom"/>
            <w:gridSpan w:val="2"/>
          </w:tcPr>
          <w:p>
            <w:pPr>
              <w:jc w:val="center"/>
              <w:ind w:left="117"/>
              <w:spacing w:after="0" w:line="135" w:lineRule="exact"/>
              <w:rPr>
                <w:sz w:val="20"/>
                <w:szCs w:val="20"/>
                <w:color w:val="auto"/>
              </w:rPr>
            </w:pPr>
            <w:r>
              <w:rPr>
                <w:rFonts w:ascii="Arial" w:cs="Arial" w:eastAsia="Arial" w:hAnsi="Arial"/>
                <w:sz w:val="13"/>
                <w:szCs w:val="13"/>
                <w:b w:val="1"/>
                <w:bCs w:val="1"/>
                <w:color w:val="auto"/>
                <w:w w:val="87"/>
              </w:rPr>
              <w:t>Net Service</w:t>
            </w: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2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87"/>
              </w:rPr>
              <w:t>Net Service</w:t>
            </w:r>
          </w:p>
        </w:tc>
        <w:tc>
          <w:tcPr>
            <w:tcW w:w="2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20" w:type="dxa"/>
            <w:vAlign w:val="bottom"/>
            <w:gridSpan w:val="2"/>
          </w:tcPr>
          <w:p>
            <w:pPr>
              <w:jc w:val="center"/>
              <w:ind w:left="117"/>
              <w:spacing w:after="0" w:line="135" w:lineRule="exact"/>
              <w:rPr>
                <w:sz w:val="20"/>
                <w:szCs w:val="20"/>
                <w:color w:val="auto"/>
              </w:rPr>
            </w:pPr>
            <w:r>
              <w:rPr>
                <w:rFonts w:ascii="Arial" w:cs="Arial" w:eastAsia="Arial" w:hAnsi="Arial"/>
                <w:sz w:val="13"/>
                <w:szCs w:val="13"/>
                <w:b w:val="1"/>
                <w:bCs w:val="1"/>
                <w:color w:val="auto"/>
                <w:w w:val="84"/>
              </w:rPr>
              <w:t>Net Service</w:t>
            </w:r>
          </w:p>
        </w:tc>
        <w:tc>
          <w:tcPr>
            <w:tcW w:w="3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2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84"/>
              </w:rPr>
              <w:t>Net Service</w:t>
            </w:r>
          </w:p>
        </w:tc>
        <w:tc>
          <w:tcPr>
            <w:tcW w:w="2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1780" w:type="dxa"/>
            <w:vAlign w:val="bottom"/>
            <w:tcBorders>
              <w:bottom w:val="single" w:sz="8" w:color="auto"/>
            </w:tcBorders>
          </w:tcPr>
          <w:p>
            <w:pPr>
              <w:spacing w:after="0"/>
              <w:rPr>
                <w:sz w:val="20"/>
                <w:szCs w:val="20"/>
                <w:color w:val="auto"/>
              </w:rPr>
            </w:pPr>
            <w:r>
              <w:rPr>
                <w:rFonts w:ascii="Arial" w:cs="Arial" w:eastAsia="Arial" w:hAnsi="Arial"/>
                <w:sz w:val="13"/>
                <w:szCs w:val="13"/>
                <w:b w:val="1"/>
                <w:bCs w:val="1"/>
                <w:color w:val="auto"/>
              </w:rPr>
              <w:t>Personal Care Segment</w:t>
            </w:r>
          </w:p>
        </w:tc>
        <w:tc>
          <w:tcPr>
            <w:tcW w:w="80" w:type="dxa"/>
            <w:vAlign w:val="bottom"/>
          </w:tcPr>
          <w:p>
            <w:pPr>
              <w:spacing w:after="0"/>
              <w:rPr>
                <w:sz w:val="13"/>
                <w:szCs w:val="13"/>
                <w:color w:val="auto"/>
              </w:rPr>
            </w:pPr>
          </w:p>
        </w:tc>
        <w:tc>
          <w:tcPr>
            <w:tcW w:w="540" w:type="dxa"/>
            <w:vAlign w:val="bottom"/>
            <w:tcBorders>
              <w:bottom w:val="single" w:sz="8" w:color="auto"/>
            </w:tcBorders>
            <w:gridSpan w:val="2"/>
          </w:tcPr>
          <w:p>
            <w:pPr>
              <w:jc w:val="right"/>
              <w:spacing w:after="0"/>
              <w:rPr>
                <w:sz w:val="20"/>
                <w:szCs w:val="20"/>
                <w:color w:val="auto"/>
              </w:rPr>
            </w:pPr>
            <w:r>
              <w:rPr>
                <w:rFonts w:ascii="Arial" w:cs="Arial" w:eastAsia="Arial" w:hAnsi="Arial"/>
                <w:sz w:val="13"/>
                <w:szCs w:val="13"/>
                <w:b w:val="1"/>
                <w:bCs w:val="1"/>
                <w:color w:val="auto"/>
                <w:w w:val="93"/>
              </w:rPr>
              <w:t>Amount</w:t>
            </w:r>
          </w:p>
        </w:tc>
        <w:tc>
          <w:tcPr>
            <w:tcW w:w="180" w:type="dxa"/>
            <w:vAlign w:val="bottom"/>
            <w:tcBorders>
              <w:bottom w:val="single" w:sz="8" w:color="auto"/>
            </w:tcBorders>
          </w:tcPr>
          <w:p>
            <w:pPr>
              <w:spacing w:after="0"/>
              <w:rPr>
                <w:sz w:val="13"/>
                <w:szCs w:val="13"/>
                <w:color w:val="auto"/>
              </w:rPr>
            </w:pPr>
          </w:p>
        </w:tc>
        <w:tc>
          <w:tcPr>
            <w:tcW w:w="62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81"/>
              </w:rPr>
              <w:t>Revenues</w:t>
            </w:r>
          </w:p>
        </w:tc>
        <w:tc>
          <w:tcPr>
            <w:tcW w:w="24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540" w:type="dxa"/>
            <w:vAlign w:val="bottom"/>
            <w:tcBorders>
              <w:bottom w:val="single" w:sz="8" w:color="auto"/>
            </w:tcBorders>
            <w:gridSpan w:val="2"/>
          </w:tcPr>
          <w:p>
            <w:pPr>
              <w:jc w:val="right"/>
              <w:spacing w:after="0"/>
              <w:rPr>
                <w:sz w:val="20"/>
                <w:szCs w:val="20"/>
                <w:color w:val="auto"/>
              </w:rPr>
            </w:pPr>
            <w:r>
              <w:rPr>
                <w:rFonts w:ascii="Arial" w:cs="Arial" w:eastAsia="Arial" w:hAnsi="Arial"/>
                <w:sz w:val="13"/>
                <w:szCs w:val="13"/>
                <w:b w:val="1"/>
                <w:bCs w:val="1"/>
                <w:color w:val="auto"/>
                <w:w w:val="93"/>
              </w:rPr>
              <w:t>Amount</w:t>
            </w:r>
          </w:p>
        </w:tc>
        <w:tc>
          <w:tcPr>
            <w:tcW w:w="180" w:type="dxa"/>
            <w:vAlign w:val="bottom"/>
            <w:tcBorders>
              <w:bottom w:val="single" w:sz="8" w:color="auto"/>
            </w:tcBorders>
          </w:tcPr>
          <w:p>
            <w:pPr>
              <w:spacing w:after="0"/>
              <w:rPr>
                <w:sz w:val="13"/>
                <w:szCs w:val="13"/>
                <w:color w:val="auto"/>
              </w:rPr>
            </w:pPr>
          </w:p>
        </w:tc>
        <w:tc>
          <w:tcPr>
            <w:tcW w:w="62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81"/>
              </w:rPr>
              <w:t>Revenues</w:t>
            </w:r>
          </w:p>
        </w:tc>
        <w:tc>
          <w:tcPr>
            <w:tcW w:w="260" w:type="dxa"/>
            <w:vAlign w:val="bottom"/>
            <w:tcBorders>
              <w:bottom w:val="single" w:sz="8" w:color="auto"/>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gridSpan w:val="4"/>
          </w:tcPr>
          <w:p>
            <w:pPr>
              <w:spacing w:after="0"/>
              <w:rPr>
                <w:sz w:val="20"/>
                <w:szCs w:val="20"/>
                <w:color w:val="auto"/>
              </w:rPr>
            </w:pPr>
            <w:r>
              <w:rPr>
                <w:rFonts w:ascii="Arial" w:cs="Arial" w:eastAsia="Arial" w:hAnsi="Arial"/>
                <w:sz w:val="13"/>
                <w:szCs w:val="13"/>
                <w:b w:val="1"/>
                <w:bCs w:val="1"/>
                <w:color w:val="auto"/>
              </w:rPr>
              <w:t>Amount</w:t>
            </w:r>
          </w:p>
        </w:tc>
        <w:tc>
          <w:tcPr>
            <w:tcW w:w="320" w:type="dxa"/>
            <w:vAlign w:val="bottom"/>
            <w:tcBorders>
              <w:bottom w:val="single" w:sz="8" w:color="auto"/>
            </w:tcBorders>
          </w:tcPr>
          <w:p>
            <w:pPr>
              <w:jc w:val="right"/>
              <w:ind w:right="97"/>
              <w:spacing w:after="0"/>
              <w:rPr>
                <w:sz w:val="20"/>
                <w:szCs w:val="20"/>
                <w:color w:val="auto"/>
              </w:rPr>
            </w:pPr>
            <w:r>
              <w:rPr>
                <w:rFonts w:ascii="Arial" w:cs="Arial" w:eastAsia="Arial" w:hAnsi="Arial"/>
                <w:sz w:val="13"/>
                <w:szCs w:val="13"/>
                <w:b w:val="1"/>
                <w:bCs w:val="1"/>
                <w:color w:val="auto"/>
              </w:rPr>
              <w:t>%</w:t>
            </w:r>
          </w:p>
        </w:tc>
        <w:tc>
          <w:tcPr>
            <w:tcW w:w="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540" w:type="dxa"/>
            <w:vAlign w:val="bottom"/>
            <w:tcBorders>
              <w:bottom w:val="single" w:sz="8" w:color="auto"/>
            </w:tcBorders>
            <w:gridSpan w:val="2"/>
          </w:tcPr>
          <w:p>
            <w:pPr>
              <w:jc w:val="right"/>
              <w:spacing w:after="0"/>
              <w:rPr>
                <w:sz w:val="20"/>
                <w:szCs w:val="20"/>
                <w:color w:val="auto"/>
              </w:rPr>
            </w:pPr>
            <w:r>
              <w:rPr>
                <w:rFonts w:ascii="Arial" w:cs="Arial" w:eastAsia="Arial" w:hAnsi="Arial"/>
                <w:sz w:val="13"/>
                <w:szCs w:val="13"/>
                <w:b w:val="1"/>
                <w:bCs w:val="1"/>
                <w:color w:val="auto"/>
                <w:w w:val="93"/>
              </w:rPr>
              <w:t>Amount</w:t>
            </w:r>
          </w:p>
        </w:tc>
        <w:tc>
          <w:tcPr>
            <w:tcW w:w="200" w:type="dxa"/>
            <w:vAlign w:val="bottom"/>
            <w:tcBorders>
              <w:bottom w:val="single" w:sz="8" w:color="auto"/>
            </w:tcBorders>
          </w:tcPr>
          <w:p>
            <w:pPr>
              <w:spacing w:after="0"/>
              <w:rPr>
                <w:sz w:val="13"/>
                <w:szCs w:val="13"/>
                <w:color w:val="auto"/>
              </w:rPr>
            </w:pPr>
          </w:p>
        </w:tc>
        <w:tc>
          <w:tcPr>
            <w:tcW w:w="62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84"/>
              </w:rPr>
              <w:t>Revenues</w:t>
            </w:r>
          </w:p>
        </w:tc>
        <w:tc>
          <w:tcPr>
            <w:tcW w:w="300" w:type="dxa"/>
            <w:vAlign w:val="bottom"/>
            <w:tcBorders>
              <w:bottom w:val="single" w:sz="8" w:color="auto"/>
            </w:tcBorders>
          </w:tcPr>
          <w:p>
            <w:pPr>
              <w:spacing w:after="0"/>
              <w:rPr>
                <w:sz w:val="13"/>
                <w:szCs w:val="13"/>
                <w:color w:val="auto"/>
              </w:rPr>
            </w:pPr>
          </w:p>
        </w:tc>
        <w:tc>
          <w:tcPr>
            <w:tcW w:w="540" w:type="dxa"/>
            <w:vAlign w:val="bottom"/>
            <w:tcBorders>
              <w:bottom w:val="single" w:sz="8" w:color="auto"/>
            </w:tcBorders>
            <w:gridSpan w:val="2"/>
          </w:tcPr>
          <w:p>
            <w:pPr>
              <w:jc w:val="right"/>
              <w:spacing w:after="0"/>
              <w:rPr>
                <w:sz w:val="20"/>
                <w:szCs w:val="20"/>
                <w:color w:val="auto"/>
              </w:rPr>
            </w:pPr>
            <w:r>
              <w:rPr>
                <w:rFonts w:ascii="Arial" w:cs="Arial" w:eastAsia="Arial" w:hAnsi="Arial"/>
                <w:sz w:val="13"/>
                <w:szCs w:val="13"/>
                <w:b w:val="1"/>
                <w:bCs w:val="1"/>
                <w:color w:val="auto"/>
                <w:w w:val="93"/>
              </w:rPr>
              <w:t>Amount</w:t>
            </w:r>
          </w:p>
        </w:tc>
        <w:tc>
          <w:tcPr>
            <w:tcW w:w="200" w:type="dxa"/>
            <w:vAlign w:val="bottom"/>
            <w:tcBorders>
              <w:bottom w:val="single" w:sz="8" w:color="auto"/>
            </w:tcBorders>
          </w:tcPr>
          <w:p>
            <w:pPr>
              <w:spacing w:after="0"/>
              <w:rPr>
                <w:sz w:val="13"/>
                <w:szCs w:val="13"/>
                <w:color w:val="auto"/>
              </w:rPr>
            </w:pPr>
          </w:p>
        </w:tc>
        <w:tc>
          <w:tcPr>
            <w:tcW w:w="62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84"/>
              </w:rPr>
              <w:t>Revenues</w:t>
            </w:r>
          </w:p>
        </w:tc>
        <w:tc>
          <w:tcPr>
            <w:tcW w:w="260" w:type="dxa"/>
            <w:vAlign w:val="bottom"/>
            <w:tcBorders>
              <w:bottom w:val="single" w:sz="8" w:color="auto"/>
            </w:tcBorders>
          </w:tcPr>
          <w:p>
            <w:pPr>
              <w:spacing w:after="0"/>
              <w:rPr>
                <w:sz w:val="13"/>
                <w:szCs w:val="13"/>
                <w:color w:val="auto"/>
              </w:rPr>
            </w:pPr>
          </w:p>
        </w:tc>
        <w:tc>
          <w:tcPr>
            <w:tcW w:w="4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gridSpan w:val="4"/>
          </w:tcPr>
          <w:p>
            <w:pPr>
              <w:ind w:left="20"/>
              <w:spacing w:after="0"/>
              <w:rPr>
                <w:sz w:val="20"/>
                <w:szCs w:val="20"/>
                <w:color w:val="auto"/>
              </w:rPr>
            </w:pPr>
            <w:r>
              <w:rPr>
                <w:rFonts w:ascii="Arial" w:cs="Arial" w:eastAsia="Arial" w:hAnsi="Arial"/>
                <w:sz w:val="13"/>
                <w:szCs w:val="13"/>
                <w:b w:val="1"/>
                <w:bCs w:val="1"/>
                <w:color w:val="auto"/>
              </w:rPr>
              <w:t>Amount</w:t>
            </w:r>
          </w:p>
        </w:tc>
        <w:tc>
          <w:tcPr>
            <w:tcW w:w="320" w:type="dxa"/>
            <w:vAlign w:val="bottom"/>
            <w:tcBorders>
              <w:bottom w:val="single" w:sz="8" w:color="auto"/>
            </w:tcBorders>
          </w:tcPr>
          <w:p>
            <w:pPr>
              <w:jc w:val="right"/>
              <w:ind w:right="97"/>
              <w:spacing w:after="0"/>
              <w:rPr>
                <w:sz w:val="20"/>
                <w:szCs w:val="20"/>
                <w:color w:val="auto"/>
              </w:rPr>
            </w:pPr>
            <w:r>
              <w:rPr>
                <w:rFonts w:ascii="Arial" w:cs="Arial" w:eastAsia="Arial" w:hAnsi="Arial"/>
                <w:sz w:val="13"/>
                <w:szCs w:val="13"/>
                <w:b w:val="1"/>
                <w:bCs w:val="1"/>
                <w:color w:val="auto"/>
              </w:rPr>
              <w:t>%</w:t>
            </w: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17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700" w:type="dxa"/>
            <w:vAlign w:val="bottom"/>
            <w:gridSpan w:val="10"/>
          </w:tcPr>
          <w:p>
            <w:pPr>
              <w:jc w:val="center"/>
              <w:ind w:left="197"/>
              <w:spacing w:after="0" w:line="142" w:lineRule="exact"/>
              <w:rPr>
                <w:sz w:val="20"/>
                <w:szCs w:val="20"/>
                <w:color w:val="auto"/>
              </w:rPr>
            </w:pPr>
            <w:r>
              <w:rPr>
                <w:rFonts w:ascii="Arial" w:cs="Arial" w:eastAsia="Arial" w:hAnsi="Arial"/>
                <w:sz w:val="13"/>
                <w:szCs w:val="13"/>
                <w:b w:val="1"/>
                <w:bCs w:val="1"/>
                <w:color w:val="auto"/>
                <w:w w:val="85"/>
              </w:rPr>
              <w:t>(Amounts in Thousands, Except Percentages)</w:t>
            </w:r>
          </w:p>
        </w:tc>
        <w:tc>
          <w:tcPr>
            <w:tcW w:w="3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680" w:type="dxa"/>
            <w:vAlign w:val="bottom"/>
            <w:gridSpan w:val="9"/>
          </w:tcPr>
          <w:p>
            <w:pPr>
              <w:jc w:val="center"/>
              <w:ind w:left="177"/>
              <w:spacing w:after="0" w:line="142" w:lineRule="exact"/>
              <w:rPr>
                <w:sz w:val="20"/>
                <w:szCs w:val="20"/>
                <w:color w:val="auto"/>
              </w:rPr>
            </w:pPr>
            <w:r>
              <w:rPr>
                <w:rFonts w:ascii="Arial" w:cs="Arial" w:eastAsia="Arial" w:hAnsi="Arial"/>
                <w:sz w:val="13"/>
                <w:szCs w:val="13"/>
                <w:b w:val="1"/>
                <w:bCs w:val="1"/>
                <w:color w:val="auto"/>
                <w:w w:val="85"/>
              </w:rPr>
              <w:t>(Amounts in Thousands, Except Percentages)</w:t>
            </w:r>
          </w:p>
        </w:tc>
        <w:tc>
          <w:tcPr>
            <w:tcW w:w="3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780" w:type="dxa"/>
            <w:vAlign w:val="bottom"/>
            <w:shd w:val="clear" w:color="auto" w:fill="CFF0FC"/>
          </w:tcPr>
          <w:p>
            <w:pPr>
              <w:spacing w:after="0"/>
              <w:rPr>
                <w:sz w:val="20"/>
                <w:szCs w:val="20"/>
                <w:color w:val="auto"/>
              </w:rPr>
            </w:pPr>
            <w:r>
              <w:rPr>
                <w:rFonts w:ascii="Arial" w:cs="Arial" w:eastAsia="Arial" w:hAnsi="Arial"/>
                <w:sz w:val="13"/>
                <w:szCs w:val="13"/>
                <w:b w:val="1"/>
                <w:bCs w:val="1"/>
                <w:color w:val="auto"/>
              </w:rPr>
              <w:t>Operating Results</w:t>
            </w:r>
          </w:p>
        </w:tc>
        <w:tc>
          <w:tcPr>
            <w:tcW w:w="8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46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62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46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62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38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32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44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620" w:type="dxa"/>
            <w:vAlign w:val="bottom"/>
            <w:shd w:val="clear" w:color="auto" w:fill="CFF0FC"/>
          </w:tcPr>
          <w:p>
            <w:pPr>
              <w:spacing w:after="0"/>
              <w:rPr>
                <w:sz w:val="12"/>
                <w:szCs w:val="12"/>
                <w:color w:val="auto"/>
              </w:rPr>
            </w:pPr>
          </w:p>
        </w:tc>
        <w:tc>
          <w:tcPr>
            <w:tcW w:w="3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44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62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38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3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780" w:type="dxa"/>
            <w:vAlign w:val="bottom"/>
          </w:tcPr>
          <w:p>
            <w:pPr>
              <w:spacing w:after="0"/>
              <w:rPr>
                <w:sz w:val="20"/>
                <w:szCs w:val="20"/>
                <w:color w:val="auto"/>
              </w:rPr>
            </w:pPr>
            <w:r>
              <w:rPr>
                <w:rFonts w:ascii="Arial" w:cs="Arial" w:eastAsia="Arial" w:hAnsi="Arial"/>
                <w:sz w:val="13"/>
                <w:szCs w:val="13"/>
                <w:color w:val="auto"/>
              </w:rPr>
              <w:t>Net service revenues</w:t>
            </w:r>
          </w:p>
        </w:tc>
        <w:tc>
          <w:tcPr>
            <w:tcW w:w="16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460" w:type="dxa"/>
            <w:vAlign w:val="bottom"/>
          </w:tcPr>
          <w:p>
            <w:pPr>
              <w:jc w:val="right"/>
              <w:spacing w:after="0"/>
              <w:rPr>
                <w:sz w:val="20"/>
                <w:szCs w:val="20"/>
                <w:color w:val="auto"/>
              </w:rPr>
            </w:pPr>
            <w:r>
              <w:rPr>
                <w:rFonts w:ascii="Arial" w:cs="Arial" w:eastAsia="Arial" w:hAnsi="Arial"/>
                <w:sz w:val="13"/>
                <w:szCs w:val="13"/>
                <w:color w:val="auto"/>
                <w:w w:val="89"/>
              </w:rPr>
              <w:t>156,268</w:t>
            </w:r>
          </w:p>
        </w:tc>
        <w:tc>
          <w:tcPr>
            <w:tcW w:w="800" w:type="dxa"/>
            <w:vAlign w:val="bottom"/>
            <w:gridSpan w:val="2"/>
          </w:tcPr>
          <w:p>
            <w:pPr>
              <w:jc w:val="right"/>
              <w:spacing w:after="0"/>
              <w:rPr>
                <w:sz w:val="20"/>
                <w:szCs w:val="20"/>
                <w:color w:val="auto"/>
              </w:rPr>
            </w:pPr>
            <w:r>
              <w:rPr>
                <w:rFonts w:ascii="Arial" w:cs="Arial" w:eastAsia="Arial" w:hAnsi="Arial"/>
                <w:sz w:val="13"/>
                <w:szCs w:val="13"/>
                <w:color w:val="auto"/>
              </w:rPr>
              <w:t>100.0</w:t>
            </w:r>
          </w:p>
        </w:tc>
        <w:tc>
          <w:tcPr>
            <w:tcW w:w="240" w:type="dxa"/>
            <w:vAlign w:val="bottom"/>
          </w:tcPr>
          <w:p>
            <w:pPr>
              <w:jc w:val="right"/>
              <w:spacing w:after="0"/>
              <w:rPr>
                <w:sz w:val="20"/>
                <w:szCs w:val="20"/>
                <w:color w:val="auto"/>
              </w:rPr>
            </w:pPr>
            <w:r>
              <w:rPr>
                <w:rFonts w:ascii="Arial" w:cs="Arial" w:eastAsia="Arial" w:hAnsi="Arial"/>
                <w:sz w:val="13"/>
                <w:szCs w:val="13"/>
                <w:color w:val="auto"/>
              </w:rPr>
              <w:t>%</w:t>
            </w:r>
          </w:p>
        </w:tc>
        <w:tc>
          <w:tcPr>
            <w:tcW w:w="16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460" w:type="dxa"/>
            <w:vAlign w:val="bottom"/>
          </w:tcPr>
          <w:p>
            <w:pPr>
              <w:jc w:val="right"/>
              <w:spacing w:after="0"/>
              <w:rPr>
                <w:sz w:val="20"/>
                <w:szCs w:val="20"/>
                <w:color w:val="auto"/>
              </w:rPr>
            </w:pPr>
            <w:r>
              <w:rPr>
                <w:rFonts w:ascii="Arial" w:cs="Arial" w:eastAsia="Arial" w:hAnsi="Arial"/>
                <w:sz w:val="13"/>
                <w:szCs w:val="13"/>
                <w:color w:val="auto"/>
                <w:w w:val="89"/>
              </w:rPr>
              <w:t>137,477</w:t>
            </w:r>
          </w:p>
        </w:tc>
        <w:tc>
          <w:tcPr>
            <w:tcW w:w="800" w:type="dxa"/>
            <w:vAlign w:val="bottom"/>
            <w:gridSpan w:val="2"/>
          </w:tcPr>
          <w:p>
            <w:pPr>
              <w:jc w:val="right"/>
              <w:spacing w:after="0"/>
              <w:rPr>
                <w:sz w:val="20"/>
                <w:szCs w:val="20"/>
                <w:color w:val="auto"/>
              </w:rPr>
            </w:pPr>
            <w:r>
              <w:rPr>
                <w:rFonts w:ascii="Arial" w:cs="Arial" w:eastAsia="Arial" w:hAnsi="Arial"/>
                <w:sz w:val="13"/>
                <w:szCs w:val="13"/>
                <w:color w:val="auto"/>
              </w:rPr>
              <w:t>100.0</w:t>
            </w:r>
          </w:p>
        </w:tc>
        <w:tc>
          <w:tcPr>
            <w:tcW w:w="260" w:type="dxa"/>
            <w:vAlign w:val="bottom"/>
          </w:tcPr>
          <w:p>
            <w:pPr>
              <w:jc w:val="right"/>
              <w:spacing w:after="0"/>
              <w:rPr>
                <w:sz w:val="20"/>
                <w:szCs w:val="20"/>
                <w:color w:val="auto"/>
              </w:rPr>
            </w:pPr>
            <w:r>
              <w:rPr>
                <w:rFonts w:ascii="Arial" w:cs="Arial" w:eastAsia="Arial" w:hAnsi="Arial"/>
                <w:sz w:val="13"/>
                <w:szCs w:val="13"/>
                <w:color w:val="auto"/>
              </w:rPr>
              <w:t>%</w:t>
            </w:r>
          </w:p>
        </w:tc>
        <w:tc>
          <w:tcPr>
            <w:tcW w:w="160" w:type="dxa"/>
            <w:vAlign w:val="bottom"/>
            <w:gridSpan w:val="2"/>
          </w:tcPr>
          <w:p>
            <w:pPr>
              <w:ind w:left="60"/>
              <w:spacing w:after="0"/>
              <w:rPr>
                <w:sz w:val="20"/>
                <w:szCs w:val="20"/>
                <w:color w:val="auto"/>
              </w:rPr>
            </w:pPr>
            <w:r>
              <w:rPr>
                <w:rFonts w:ascii="Arial" w:cs="Arial" w:eastAsia="Arial" w:hAnsi="Arial"/>
                <w:sz w:val="13"/>
                <w:szCs w:val="13"/>
                <w:color w:val="auto"/>
              </w:rPr>
              <w:t>$</w:t>
            </w:r>
          </w:p>
        </w:tc>
        <w:tc>
          <w:tcPr>
            <w:tcW w:w="380" w:type="dxa"/>
            <w:vAlign w:val="bottom"/>
          </w:tcPr>
          <w:p>
            <w:pPr>
              <w:jc w:val="right"/>
              <w:spacing w:after="0"/>
              <w:rPr>
                <w:sz w:val="20"/>
                <w:szCs w:val="20"/>
                <w:color w:val="auto"/>
              </w:rPr>
            </w:pPr>
            <w:r>
              <w:rPr>
                <w:rFonts w:ascii="Arial" w:cs="Arial" w:eastAsia="Arial" w:hAnsi="Arial"/>
                <w:sz w:val="13"/>
                <w:szCs w:val="13"/>
                <w:color w:val="auto"/>
                <w:w w:val="85"/>
              </w:rPr>
              <w:t>18,791</w:t>
            </w: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20" w:type="dxa"/>
            <w:vAlign w:val="bottom"/>
          </w:tcPr>
          <w:p>
            <w:pPr>
              <w:jc w:val="right"/>
              <w:spacing w:after="0"/>
              <w:rPr>
                <w:sz w:val="20"/>
                <w:szCs w:val="20"/>
                <w:color w:val="auto"/>
              </w:rPr>
            </w:pPr>
            <w:r>
              <w:rPr>
                <w:rFonts w:ascii="Arial" w:cs="Arial" w:eastAsia="Arial" w:hAnsi="Arial"/>
                <w:sz w:val="13"/>
                <w:szCs w:val="13"/>
                <w:color w:val="auto"/>
              </w:rPr>
              <w:t>13.7</w:t>
            </w:r>
          </w:p>
        </w:tc>
        <w:tc>
          <w:tcPr>
            <w:tcW w:w="60" w:type="dxa"/>
            <w:vAlign w:val="bottom"/>
          </w:tcPr>
          <w:p>
            <w:pPr>
              <w:spacing w:after="0"/>
              <w:rPr>
                <w:sz w:val="12"/>
                <w:szCs w:val="12"/>
                <w:color w:val="auto"/>
              </w:rPr>
            </w:pPr>
          </w:p>
        </w:tc>
        <w:tc>
          <w:tcPr>
            <w:tcW w:w="200" w:type="dxa"/>
            <w:vAlign w:val="bottom"/>
          </w:tcPr>
          <w:p>
            <w:pPr>
              <w:jc w:val="right"/>
              <w:spacing w:after="0"/>
              <w:rPr>
                <w:sz w:val="20"/>
                <w:szCs w:val="20"/>
                <w:color w:val="auto"/>
              </w:rPr>
            </w:pPr>
            <w:r>
              <w:rPr>
                <w:rFonts w:ascii="Arial" w:cs="Arial" w:eastAsia="Arial" w:hAnsi="Arial"/>
                <w:sz w:val="13"/>
                <w:szCs w:val="13"/>
                <w:color w:val="auto"/>
              </w:rPr>
              <w:t>%</w:t>
            </w:r>
          </w:p>
        </w:tc>
        <w:tc>
          <w:tcPr>
            <w:tcW w:w="14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440" w:type="dxa"/>
            <w:vAlign w:val="bottom"/>
          </w:tcPr>
          <w:p>
            <w:pPr>
              <w:jc w:val="right"/>
              <w:spacing w:after="0"/>
              <w:rPr>
                <w:sz w:val="20"/>
                <w:szCs w:val="20"/>
                <w:color w:val="auto"/>
              </w:rPr>
            </w:pPr>
            <w:r>
              <w:rPr>
                <w:rFonts w:ascii="Arial" w:cs="Arial" w:eastAsia="Arial" w:hAnsi="Arial"/>
                <w:sz w:val="13"/>
                <w:szCs w:val="13"/>
                <w:color w:val="auto"/>
                <w:w w:val="85"/>
              </w:rPr>
              <w:t>316,933</w:t>
            </w:r>
          </w:p>
        </w:tc>
        <w:tc>
          <w:tcPr>
            <w:tcW w:w="820" w:type="dxa"/>
            <w:vAlign w:val="bottom"/>
            <w:gridSpan w:val="2"/>
          </w:tcPr>
          <w:p>
            <w:pPr>
              <w:jc w:val="right"/>
              <w:spacing w:after="0"/>
              <w:rPr>
                <w:sz w:val="20"/>
                <w:szCs w:val="20"/>
                <w:color w:val="auto"/>
              </w:rPr>
            </w:pPr>
            <w:r>
              <w:rPr>
                <w:rFonts w:ascii="Arial" w:cs="Arial" w:eastAsia="Arial" w:hAnsi="Arial"/>
                <w:sz w:val="13"/>
                <w:szCs w:val="13"/>
                <w:color w:val="auto"/>
              </w:rPr>
              <w:t>100.0</w:t>
            </w:r>
          </w:p>
        </w:tc>
        <w:tc>
          <w:tcPr>
            <w:tcW w:w="300" w:type="dxa"/>
            <w:vAlign w:val="bottom"/>
          </w:tcPr>
          <w:p>
            <w:pPr>
              <w:jc w:val="right"/>
              <w:ind w:right="37"/>
              <w:spacing w:after="0"/>
              <w:rPr>
                <w:sz w:val="20"/>
                <w:szCs w:val="20"/>
                <w:color w:val="auto"/>
              </w:rPr>
            </w:pPr>
            <w:r>
              <w:rPr>
                <w:rFonts w:ascii="Arial" w:cs="Arial" w:eastAsia="Arial" w:hAnsi="Arial"/>
                <w:sz w:val="13"/>
                <w:szCs w:val="13"/>
                <w:color w:val="auto"/>
              </w:rPr>
              <w:t>%</w:t>
            </w: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440" w:type="dxa"/>
            <w:vAlign w:val="bottom"/>
          </w:tcPr>
          <w:p>
            <w:pPr>
              <w:jc w:val="right"/>
              <w:spacing w:after="0"/>
              <w:rPr>
                <w:sz w:val="20"/>
                <w:szCs w:val="20"/>
                <w:color w:val="auto"/>
              </w:rPr>
            </w:pPr>
            <w:r>
              <w:rPr>
                <w:rFonts w:ascii="Arial" w:cs="Arial" w:eastAsia="Arial" w:hAnsi="Arial"/>
                <w:sz w:val="13"/>
                <w:szCs w:val="13"/>
                <w:color w:val="auto"/>
                <w:w w:val="85"/>
              </w:rPr>
              <w:t>265,371</w:t>
            </w:r>
          </w:p>
        </w:tc>
        <w:tc>
          <w:tcPr>
            <w:tcW w:w="820" w:type="dxa"/>
            <w:vAlign w:val="bottom"/>
            <w:gridSpan w:val="2"/>
          </w:tcPr>
          <w:p>
            <w:pPr>
              <w:jc w:val="right"/>
              <w:spacing w:after="0"/>
              <w:rPr>
                <w:sz w:val="20"/>
                <w:szCs w:val="20"/>
                <w:color w:val="auto"/>
              </w:rPr>
            </w:pPr>
            <w:r>
              <w:rPr>
                <w:rFonts w:ascii="Arial" w:cs="Arial" w:eastAsia="Arial" w:hAnsi="Arial"/>
                <w:sz w:val="13"/>
                <w:szCs w:val="13"/>
                <w:color w:val="auto"/>
              </w:rPr>
              <w:t>100.0</w:t>
            </w:r>
          </w:p>
        </w:tc>
        <w:tc>
          <w:tcPr>
            <w:tcW w:w="260" w:type="dxa"/>
            <w:vAlign w:val="bottom"/>
          </w:tcPr>
          <w:p>
            <w:pPr>
              <w:jc w:val="right"/>
              <w:spacing w:after="0"/>
              <w:rPr>
                <w:sz w:val="20"/>
                <w:szCs w:val="20"/>
                <w:color w:val="auto"/>
              </w:rPr>
            </w:pPr>
            <w:r>
              <w:rPr>
                <w:rFonts w:ascii="Arial" w:cs="Arial" w:eastAsia="Arial" w:hAnsi="Arial"/>
                <w:sz w:val="13"/>
                <w:szCs w:val="13"/>
                <w:color w:val="auto"/>
              </w:rPr>
              <w:t>%</w:t>
            </w:r>
          </w:p>
        </w:tc>
        <w:tc>
          <w:tcPr>
            <w:tcW w:w="140" w:type="dxa"/>
            <w:vAlign w:val="bottom"/>
            <w:gridSpan w:val="2"/>
          </w:tcPr>
          <w:p>
            <w:pPr>
              <w:ind w:left="40"/>
              <w:spacing w:after="0"/>
              <w:rPr>
                <w:sz w:val="20"/>
                <w:szCs w:val="20"/>
                <w:color w:val="auto"/>
              </w:rPr>
            </w:pPr>
            <w:r>
              <w:rPr>
                <w:rFonts w:ascii="Arial" w:cs="Arial" w:eastAsia="Arial" w:hAnsi="Arial"/>
                <w:sz w:val="13"/>
                <w:szCs w:val="13"/>
                <w:color w:val="auto"/>
              </w:rPr>
              <w:t>$</w:t>
            </w:r>
          </w:p>
        </w:tc>
        <w:tc>
          <w:tcPr>
            <w:tcW w:w="380" w:type="dxa"/>
            <w:vAlign w:val="bottom"/>
          </w:tcPr>
          <w:p>
            <w:pPr>
              <w:jc w:val="right"/>
              <w:spacing w:after="0"/>
              <w:rPr>
                <w:sz w:val="20"/>
                <w:szCs w:val="20"/>
                <w:color w:val="auto"/>
              </w:rPr>
            </w:pPr>
            <w:r>
              <w:rPr>
                <w:rFonts w:ascii="Arial" w:cs="Arial" w:eastAsia="Arial" w:hAnsi="Arial"/>
                <w:sz w:val="13"/>
                <w:szCs w:val="13"/>
                <w:color w:val="auto"/>
                <w:w w:val="85"/>
              </w:rPr>
              <w:t>51,562</w:t>
            </w: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20" w:type="dxa"/>
            <w:vAlign w:val="bottom"/>
          </w:tcPr>
          <w:p>
            <w:pPr>
              <w:jc w:val="right"/>
              <w:spacing w:after="0"/>
              <w:rPr>
                <w:sz w:val="20"/>
                <w:szCs w:val="20"/>
                <w:color w:val="auto"/>
              </w:rPr>
            </w:pPr>
            <w:r>
              <w:rPr>
                <w:rFonts w:ascii="Arial" w:cs="Arial" w:eastAsia="Arial" w:hAnsi="Arial"/>
                <w:sz w:val="13"/>
                <w:szCs w:val="13"/>
                <w:color w:val="auto"/>
              </w:rPr>
              <w:t>19.4</w:t>
            </w:r>
          </w:p>
        </w:tc>
        <w:tc>
          <w:tcPr>
            <w:tcW w:w="80" w:type="dxa"/>
            <w:vAlign w:val="bottom"/>
          </w:tcPr>
          <w:p>
            <w:pPr>
              <w:spacing w:after="0"/>
              <w:rPr>
                <w:sz w:val="12"/>
                <w:szCs w:val="12"/>
                <w:color w:val="auto"/>
              </w:rPr>
            </w:pPr>
          </w:p>
        </w:tc>
        <w:tc>
          <w:tcPr>
            <w:tcW w:w="160" w:type="dxa"/>
            <w:vAlign w:val="bottom"/>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48"/>
        </w:trPr>
        <w:tc>
          <w:tcPr>
            <w:tcW w:w="1780" w:type="dxa"/>
            <w:vAlign w:val="bottom"/>
            <w:shd w:val="clear" w:color="auto" w:fill="CFF0FC"/>
          </w:tcPr>
          <w:p>
            <w:pPr>
              <w:spacing w:after="0"/>
              <w:rPr>
                <w:sz w:val="20"/>
                <w:szCs w:val="20"/>
                <w:color w:val="auto"/>
              </w:rPr>
            </w:pPr>
            <w:r>
              <w:rPr>
                <w:rFonts w:ascii="Arial" w:cs="Arial" w:eastAsia="Arial" w:hAnsi="Arial"/>
                <w:sz w:val="13"/>
                <w:szCs w:val="13"/>
                <w:color w:val="auto"/>
              </w:rPr>
              <w:t>Cost of services revenues</w:t>
            </w:r>
          </w:p>
        </w:tc>
        <w:tc>
          <w:tcPr>
            <w:tcW w:w="8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460" w:type="dxa"/>
            <w:vAlign w:val="bottom"/>
            <w:shd w:val="clear" w:color="auto" w:fill="CFF0FC"/>
          </w:tcPr>
          <w:p>
            <w:pPr>
              <w:jc w:val="right"/>
              <w:spacing w:after="0"/>
              <w:rPr>
                <w:sz w:val="20"/>
                <w:szCs w:val="20"/>
                <w:color w:val="auto"/>
              </w:rPr>
            </w:pPr>
            <w:r>
              <w:rPr>
                <w:rFonts w:ascii="Arial" w:cs="Arial" w:eastAsia="Arial" w:hAnsi="Arial"/>
                <w:sz w:val="13"/>
                <w:szCs w:val="13"/>
                <w:color w:val="auto"/>
                <w:w w:val="89"/>
              </w:rPr>
              <w:t>115,822</w:t>
            </w:r>
          </w:p>
        </w:tc>
        <w:tc>
          <w:tcPr>
            <w:tcW w:w="800" w:type="dxa"/>
            <w:vAlign w:val="bottom"/>
            <w:gridSpan w:val="2"/>
            <w:shd w:val="clear" w:color="auto" w:fill="CFF0FC"/>
          </w:tcPr>
          <w:p>
            <w:pPr>
              <w:jc w:val="right"/>
              <w:spacing w:after="0"/>
              <w:rPr>
                <w:sz w:val="20"/>
                <w:szCs w:val="20"/>
                <w:color w:val="auto"/>
              </w:rPr>
            </w:pPr>
            <w:r>
              <w:rPr>
                <w:rFonts w:ascii="Arial" w:cs="Arial" w:eastAsia="Arial" w:hAnsi="Arial"/>
                <w:sz w:val="13"/>
                <w:szCs w:val="13"/>
                <w:color w:val="auto"/>
              </w:rPr>
              <w:t>74.1</w:t>
            </w:r>
          </w:p>
        </w:tc>
        <w:tc>
          <w:tcPr>
            <w:tcW w:w="24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460" w:type="dxa"/>
            <w:vAlign w:val="bottom"/>
            <w:shd w:val="clear" w:color="auto" w:fill="CFF0FC"/>
          </w:tcPr>
          <w:p>
            <w:pPr>
              <w:jc w:val="right"/>
              <w:spacing w:after="0"/>
              <w:rPr>
                <w:sz w:val="20"/>
                <w:szCs w:val="20"/>
                <w:color w:val="auto"/>
              </w:rPr>
            </w:pPr>
            <w:r>
              <w:rPr>
                <w:rFonts w:ascii="Arial" w:cs="Arial" w:eastAsia="Arial" w:hAnsi="Arial"/>
                <w:sz w:val="13"/>
                <w:szCs w:val="13"/>
                <w:color w:val="auto"/>
                <w:w w:val="89"/>
              </w:rPr>
              <w:t>102,829</w:t>
            </w:r>
          </w:p>
        </w:tc>
        <w:tc>
          <w:tcPr>
            <w:tcW w:w="800" w:type="dxa"/>
            <w:vAlign w:val="bottom"/>
            <w:gridSpan w:val="2"/>
            <w:shd w:val="clear" w:color="auto" w:fill="CFF0FC"/>
          </w:tcPr>
          <w:p>
            <w:pPr>
              <w:jc w:val="right"/>
              <w:spacing w:after="0"/>
              <w:rPr>
                <w:sz w:val="20"/>
                <w:szCs w:val="20"/>
                <w:color w:val="auto"/>
              </w:rPr>
            </w:pPr>
            <w:r>
              <w:rPr>
                <w:rFonts w:ascii="Arial" w:cs="Arial" w:eastAsia="Arial" w:hAnsi="Arial"/>
                <w:sz w:val="13"/>
                <w:szCs w:val="13"/>
                <w:color w:val="auto"/>
              </w:rPr>
              <w:t>74.8</w:t>
            </w:r>
          </w:p>
        </w:tc>
        <w:tc>
          <w:tcPr>
            <w:tcW w:w="26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380" w:type="dxa"/>
            <w:vAlign w:val="bottom"/>
            <w:shd w:val="clear" w:color="auto" w:fill="CFF0FC"/>
          </w:tcPr>
          <w:p>
            <w:pPr>
              <w:jc w:val="right"/>
              <w:spacing w:after="0"/>
              <w:rPr>
                <w:sz w:val="20"/>
                <w:szCs w:val="20"/>
                <w:color w:val="auto"/>
              </w:rPr>
            </w:pPr>
            <w:r>
              <w:rPr>
                <w:rFonts w:ascii="Arial" w:cs="Arial" w:eastAsia="Arial" w:hAnsi="Arial"/>
                <w:sz w:val="13"/>
                <w:szCs w:val="13"/>
                <w:color w:val="auto"/>
                <w:w w:val="85"/>
              </w:rPr>
              <w:t>12,993</w:t>
            </w:r>
          </w:p>
        </w:tc>
        <w:tc>
          <w:tcPr>
            <w:tcW w:w="18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3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12.6</w:t>
            </w:r>
          </w:p>
        </w:tc>
        <w:tc>
          <w:tcPr>
            <w:tcW w:w="6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440" w:type="dxa"/>
            <w:vAlign w:val="bottom"/>
            <w:shd w:val="clear" w:color="auto" w:fill="CFF0FC"/>
          </w:tcPr>
          <w:p>
            <w:pPr>
              <w:jc w:val="right"/>
              <w:spacing w:after="0"/>
              <w:rPr>
                <w:sz w:val="20"/>
                <w:szCs w:val="20"/>
                <w:color w:val="auto"/>
              </w:rPr>
            </w:pPr>
            <w:r>
              <w:rPr>
                <w:rFonts w:ascii="Arial" w:cs="Arial" w:eastAsia="Arial" w:hAnsi="Arial"/>
                <w:sz w:val="13"/>
                <w:szCs w:val="13"/>
                <w:color w:val="auto"/>
                <w:w w:val="85"/>
              </w:rPr>
              <w:t>234,850</w:t>
            </w:r>
          </w:p>
        </w:tc>
        <w:tc>
          <w:tcPr>
            <w:tcW w:w="820" w:type="dxa"/>
            <w:vAlign w:val="bottom"/>
            <w:gridSpan w:val="2"/>
            <w:shd w:val="clear" w:color="auto" w:fill="CFF0FC"/>
          </w:tcPr>
          <w:p>
            <w:pPr>
              <w:jc w:val="right"/>
              <w:spacing w:after="0"/>
              <w:rPr>
                <w:sz w:val="20"/>
                <w:szCs w:val="20"/>
                <w:color w:val="auto"/>
              </w:rPr>
            </w:pPr>
            <w:r>
              <w:rPr>
                <w:rFonts w:ascii="Arial" w:cs="Arial" w:eastAsia="Arial" w:hAnsi="Arial"/>
                <w:sz w:val="13"/>
                <w:szCs w:val="13"/>
                <w:color w:val="auto"/>
              </w:rPr>
              <w:t>74.1</w:t>
            </w:r>
          </w:p>
        </w:tc>
        <w:tc>
          <w:tcPr>
            <w:tcW w:w="3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440" w:type="dxa"/>
            <w:vAlign w:val="bottom"/>
            <w:shd w:val="clear" w:color="auto" w:fill="CFF0FC"/>
          </w:tcPr>
          <w:p>
            <w:pPr>
              <w:jc w:val="right"/>
              <w:spacing w:after="0"/>
              <w:rPr>
                <w:sz w:val="20"/>
                <w:szCs w:val="20"/>
                <w:color w:val="auto"/>
              </w:rPr>
            </w:pPr>
            <w:r>
              <w:rPr>
                <w:rFonts w:ascii="Arial" w:cs="Arial" w:eastAsia="Arial" w:hAnsi="Arial"/>
                <w:sz w:val="13"/>
                <w:szCs w:val="13"/>
                <w:color w:val="auto"/>
                <w:w w:val="85"/>
              </w:rPr>
              <w:t>198,825</w:t>
            </w:r>
          </w:p>
        </w:tc>
        <w:tc>
          <w:tcPr>
            <w:tcW w:w="820" w:type="dxa"/>
            <w:vAlign w:val="bottom"/>
            <w:gridSpan w:val="2"/>
            <w:shd w:val="clear" w:color="auto" w:fill="CFF0FC"/>
          </w:tcPr>
          <w:p>
            <w:pPr>
              <w:jc w:val="right"/>
              <w:spacing w:after="0"/>
              <w:rPr>
                <w:sz w:val="20"/>
                <w:szCs w:val="20"/>
                <w:color w:val="auto"/>
              </w:rPr>
            </w:pPr>
            <w:r>
              <w:rPr>
                <w:rFonts w:ascii="Arial" w:cs="Arial" w:eastAsia="Arial" w:hAnsi="Arial"/>
                <w:sz w:val="13"/>
                <w:szCs w:val="13"/>
                <w:color w:val="auto"/>
              </w:rPr>
              <w:t>74.9</w:t>
            </w:r>
          </w:p>
        </w:tc>
        <w:tc>
          <w:tcPr>
            <w:tcW w:w="260" w:type="dxa"/>
            <w:vAlign w:val="bottom"/>
            <w:shd w:val="clear" w:color="auto" w:fill="CFF0FC"/>
          </w:tcPr>
          <w:p>
            <w:pPr>
              <w:spacing w:after="0"/>
              <w:rPr>
                <w:sz w:val="12"/>
                <w:szCs w:val="12"/>
                <w:color w:val="auto"/>
              </w:rPr>
            </w:pPr>
          </w:p>
        </w:tc>
        <w:tc>
          <w:tcPr>
            <w:tcW w:w="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380" w:type="dxa"/>
            <w:vAlign w:val="bottom"/>
            <w:shd w:val="clear" w:color="auto" w:fill="CFF0FC"/>
          </w:tcPr>
          <w:p>
            <w:pPr>
              <w:jc w:val="right"/>
              <w:spacing w:after="0"/>
              <w:rPr>
                <w:sz w:val="20"/>
                <w:szCs w:val="20"/>
                <w:color w:val="auto"/>
              </w:rPr>
            </w:pPr>
            <w:r>
              <w:rPr>
                <w:rFonts w:ascii="Arial" w:cs="Arial" w:eastAsia="Arial" w:hAnsi="Arial"/>
                <w:sz w:val="13"/>
                <w:szCs w:val="13"/>
                <w:color w:val="auto"/>
                <w:w w:val="85"/>
              </w:rPr>
              <w:t>36,025</w:t>
            </w:r>
          </w:p>
        </w:tc>
        <w:tc>
          <w:tcPr>
            <w:tcW w:w="18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3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18.1</w:t>
            </w:r>
          </w:p>
        </w:tc>
        <w:tc>
          <w:tcPr>
            <w:tcW w:w="8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1780" w:type="dxa"/>
            <w:vAlign w:val="bottom"/>
          </w:tcPr>
          <w:p>
            <w:pPr>
              <w:spacing w:after="0" w:line="142" w:lineRule="exact"/>
              <w:rPr>
                <w:sz w:val="20"/>
                <w:szCs w:val="20"/>
                <w:color w:val="auto"/>
              </w:rPr>
            </w:pPr>
            <w:r>
              <w:rPr>
                <w:rFonts w:ascii="Arial" w:cs="Arial" w:eastAsia="Arial" w:hAnsi="Arial"/>
                <w:sz w:val="13"/>
                <w:szCs w:val="13"/>
                <w:color w:val="auto"/>
              </w:rPr>
              <w:t>Gross profit</w:t>
            </w:r>
          </w:p>
        </w:tc>
        <w:tc>
          <w:tcPr>
            <w:tcW w:w="8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46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3"/>
                <w:szCs w:val="13"/>
                <w:color w:val="auto"/>
              </w:rPr>
              <w:t>40,446</w:t>
            </w:r>
          </w:p>
        </w:tc>
        <w:tc>
          <w:tcPr>
            <w:tcW w:w="180" w:type="dxa"/>
            <w:vAlign w:val="bottom"/>
          </w:tcPr>
          <w:p>
            <w:pPr>
              <w:spacing w:after="0"/>
              <w:rPr>
                <w:sz w:val="12"/>
                <w:szCs w:val="12"/>
                <w:color w:val="auto"/>
              </w:rPr>
            </w:pPr>
          </w:p>
        </w:tc>
        <w:tc>
          <w:tcPr>
            <w:tcW w:w="62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3"/>
                <w:szCs w:val="13"/>
                <w:color w:val="auto"/>
              </w:rPr>
              <w:t>25.9</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46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3"/>
                <w:szCs w:val="13"/>
                <w:color w:val="auto"/>
              </w:rPr>
              <w:t>34,648</w:t>
            </w:r>
          </w:p>
        </w:tc>
        <w:tc>
          <w:tcPr>
            <w:tcW w:w="180" w:type="dxa"/>
            <w:vAlign w:val="bottom"/>
          </w:tcPr>
          <w:p>
            <w:pPr>
              <w:spacing w:after="0"/>
              <w:rPr>
                <w:sz w:val="12"/>
                <w:szCs w:val="12"/>
                <w:color w:val="auto"/>
              </w:rPr>
            </w:pPr>
          </w:p>
        </w:tc>
        <w:tc>
          <w:tcPr>
            <w:tcW w:w="62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3"/>
                <w:szCs w:val="13"/>
                <w:color w:val="auto"/>
              </w:rPr>
              <w:t>25.2</w:t>
            </w:r>
          </w:p>
        </w:tc>
        <w:tc>
          <w:tcPr>
            <w:tcW w:w="2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38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3"/>
                <w:szCs w:val="13"/>
                <w:color w:val="auto"/>
              </w:rPr>
              <w:t>5,798</w:t>
            </w:r>
          </w:p>
        </w:tc>
        <w:tc>
          <w:tcPr>
            <w:tcW w:w="18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32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3"/>
                <w:szCs w:val="13"/>
                <w:color w:val="auto"/>
              </w:rPr>
              <w:t>16.7</w:t>
            </w:r>
          </w:p>
        </w:tc>
        <w:tc>
          <w:tcPr>
            <w:tcW w:w="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44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3"/>
                <w:szCs w:val="13"/>
                <w:color w:val="auto"/>
              </w:rPr>
              <w:t>82,083</w:t>
            </w:r>
          </w:p>
        </w:tc>
        <w:tc>
          <w:tcPr>
            <w:tcW w:w="200" w:type="dxa"/>
            <w:vAlign w:val="bottom"/>
          </w:tcPr>
          <w:p>
            <w:pPr>
              <w:spacing w:after="0"/>
              <w:rPr>
                <w:sz w:val="12"/>
                <w:szCs w:val="12"/>
                <w:color w:val="auto"/>
              </w:rPr>
            </w:pPr>
          </w:p>
        </w:tc>
        <w:tc>
          <w:tcPr>
            <w:tcW w:w="62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3"/>
                <w:szCs w:val="13"/>
                <w:color w:val="auto"/>
              </w:rPr>
              <w:t>25.9</w:t>
            </w:r>
          </w:p>
        </w:tc>
        <w:tc>
          <w:tcPr>
            <w:tcW w:w="30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44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3"/>
                <w:szCs w:val="13"/>
                <w:color w:val="auto"/>
              </w:rPr>
              <w:t>66,546</w:t>
            </w:r>
          </w:p>
        </w:tc>
        <w:tc>
          <w:tcPr>
            <w:tcW w:w="200" w:type="dxa"/>
            <w:vAlign w:val="bottom"/>
          </w:tcPr>
          <w:p>
            <w:pPr>
              <w:spacing w:after="0"/>
              <w:rPr>
                <w:sz w:val="12"/>
                <w:szCs w:val="12"/>
                <w:color w:val="auto"/>
              </w:rPr>
            </w:pPr>
          </w:p>
        </w:tc>
        <w:tc>
          <w:tcPr>
            <w:tcW w:w="62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3"/>
                <w:szCs w:val="13"/>
                <w:color w:val="auto"/>
              </w:rPr>
              <w:t>25.1</w:t>
            </w:r>
          </w:p>
        </w:tc>
        <w:tc>
          <w:tcPr>
            <w:tcW w:w="2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38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3"/>
                <w:szCs w:val="13"/>
                <w:color w:val="auto"/>
                <w:w w:val="85"/>
              </w:rPr>
              <w:t>15,537</w:t>
            </w:r>
          </w:p>
        </w:tc>
        <w:tc>
          <w:tcPr>
            <w:tcW w:w="18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32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3"/>
                <w:szCs w:val="13"/>
                <w:color w:val="auto"/>
              </w:rPr>
              <w:t>23.3</w:t>
            </w: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4"/>
        </w:trPr>
        <w:tc>
          <w:tcPr>
            <w:tcW w:w="1780" w:type="dxa"/>
            <w:vAlign w:val="bottom"/>
            <w:shd w:val="clear" w:color="auto" w:fill="CFF0FC"/>
          </w:tcPr>
          <w:p>
            <w:pPr>
              <w:spacing w:after="0" w:line="134" w:lineRule="exact"/>
              <w:rPr>
                <w:sz w:val="20"/>
                <w:szCs w:val="20"/>
                <w:color w:val="auto"/>
              </w:rPr>
            </w:pPr>
            <w:r>
              <w:rPr>
                <w:rFonts w:ascii="Arial" w:cs="Arial" w:eastAsia="Arial" w:hAnsi="Arial"/>
                <w:sz w:val="13"/>
                <w:szCs w:val="13"/>
                <w:color w:val="auto"/>
              </w:rPr>
              <w:t>General and administrative</w:t>
            </w:r>
          </w:p>
        </w:tc>
        <w:tc>
          <w:tcPr>
            <w:tcW w:w="8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46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62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46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620" w:type="dxa"/>
            <w:vAlign w:val="bottom"/>
            <w:shd w:val="clear" w:color="auto" w:fill="CFF0FC"/>
          </w:tcPr>
          <w:p>
            <w:pPr>
              <w:spacing w:after="0"/>
              <w:rPr>
                <w:sz w:val="11"/>
                <w:szCs w:val="11"/>
                <w:color w:val="auto"/>
              </w:rPr>
            </w:pPr>
          </w:p>
        </w:tc>
        <w:tc>
          <w:tcPr>
            <w:tcW w:w="26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38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32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4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44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620" w:type="dxa"/>
            <w:vAlign w:val="bottom"/>
            <w:shd w:val="clear" w:color="auto" w:fill="CFF0FC"/>
          </w:tcPr>
          <w:p>
            <w:pPr>
              <w:spacing w:after="0"/>
              <w:rPr>
                <w:sz w:val="11"/>
                <w:szCs w:val="11"/>
                <w:color w:val="auto"/>
              </w:rPr>
            </w:pPr>
          </w:p>
        </w:tc>
        <w:tc>
          <w:tcPr>
            <w:tcW w:w="3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44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620" w:type="dxa"/>
            <w:vAlign w:val="bottom"/>
            <w:shd w:val="clear" w:color="auto" w:fill="CFF0FC"/>
          </w:tcPr>
          <w:p>
            <w:pPr>
              <w:spacing w:after="0"/>
              <w:rPr>
                <w:sz w:val="11"/>
                <w:szCs w:val="11"/>
                <w:color w:val="auto"/>
              </w:rPr>
            </w:pPr>
          </w:p>
        </w:tc>
        <w:tc>
          <w:tcPr>
            <w:tcW w:w="260" w:type="dxa"/>
            <w:vAlign w:val="bottom"/>
            <w:shd w:val="clear" w:color="auto" w:fill="CFF0FC"/>
          </w:tcPr>
          <w:p>
            <w:pPr>
              <w:spacing w:after="0"/>
              <w:rPr>
                <w:sz w:val="11"/>
                <w:szCs w:val="11"/>
                <w:color w:val="auto"/>
              </w:rPr>
            </w:pPr>
          </w:p>
        </w:tc>
        <w:tc>
          <w:tcPr>
            <w:tcW w:w="4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38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32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1780" w:type="dxa"/>
            <w:vAlign w:val="bottom"/>
            <w:shd w:val="clear" w:color="auto" w:fill="CFF0FC"/>
          </w:tcPr>
          <w:p>
            <w:pPr>
              <w:ind w:left="100"/>
              <w:spacing w:after="0"/>
              <w:rPr>
                <w:sz w:val="20"/>
                <w:szCs w:val="20"/>
                <w:color w:val="auto"/>
              </w:rPr>
            </w:pPr>
            <w:r>
              <w:rPr>
                <w:rFonts w:ascii="Arial" w:cs="Arial" w:eastAsia="Arial" w:hAnsi="Arial"/>
                <w:sz w:val="13"/>
                <w:szCs w:val="13"/>
                <w:color w:val="auto"/>
              </w:rPr>
              <w:t>expenses</w:t>
            </w:r>
          </w:p>
        </w:tc>
        <w:tc>
          <w:tcPr>
            <w:tcW w:w="8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4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14,603</w:t>
            </w:r>
          </w:p>
        </w:tc>
        <w:tc>
          <w:tcPr>
            <w:tcW w:w="800" w:type="dxa"/>
            <w:vAlign w:val="bottom"/>
            <w:gridSpan w:val="2"/>
            <w:shd w:val="clear" w:color="auto" w:fill="CFF0FC"/>
          </w:tcPr>
          <w:p>
            <w:pPr>
              <w:jc w:val="right"/>
              <w:spacing w:after="0"/>
              <w:rPr>
                <w:sz w:val="20"/>
                <w:szCs w:val="20"/>
                <w:color w:val="auto"/>
              </w:rPr>
            </w:pPr>
            <w:r>
              <w:rPr>
                <w:rFonts w:ascii="Arial" w:cs="Arial" w:eastAsia="Arial" w:hAnsi="Arial"/>
                <w:sz w:val="13"/>
                <w:szCs w:val="13"/>
                <w:color w:val="auto"/>
              </w:rPr>
              <w:t>9.3</w:t>
            </w:r>
          </w:p>
        </w:tc>
        <w:tc>
          <w:tcPr>
            <w:tcW w:w="24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4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12,777</w:t>
            </w:r>
          </w:p>
        </w:tc>
        <w:tc>
          <w:tcPr>
            <w:tcW w:w="800" w:type="dxa"/>
            <w:vAlign w:val="bottom"/>
            <w:gridSpan w:val="2"/>
            <w:shd w:val="clear" w:color="auto" w:fill="CFF0FC"/>
          </w:tcPr>
          <w:p>
            <w:pPr>
              <w:jc w:val="right"/>
              <w:spacing w:after="0"/>
              <w:rPr>
                <w:sz w:val="20"/>
                <w:szCs w:val="20"/>
                <w:color w:val="auto"/>
              </w:rPr>
            </w:pPr>
            <w:r>
              <w:rPr>
                <w:rFonts w:ascii="Arial" w:cs="Arial" w:eastAsia="Arial" w:hAnsi="Arial"/>
                <w:sz w:val="13"/>
                <w:szCs w:val="13"/>
                <w:color w:val="auto"/>
              </w:rPr>
              <w:t>9.3</w:t>
            </w:r>
          </w:p>
        </w:tc>
        <w:tc>
          <w:tcPr>
            <w:tcW w:w="26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3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1,826</w:t>
            </w:r>
          </w:p>
        </w:tc>
        <w:tc>
          <w:tcPr>
            <w:tcW w:w="18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3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14.3</w:t>
            </w:r>
          </w:p>
        </w:tc>
        <w:tc>
          <w:tcPr>
            <w:tcW w:w="6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4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30,205</w:t>
            </w:r>
          </w:p>
        </w:tc>
        <w:tc>
          <w:tcPr>
            <w:tcW w:w="820" w:type="dxa"/>
            <w:vAlign w:val="bottom"/>
            <w:gridSpan w:val="2"/>
            <w:shd w:val="clear" w:color="auto" w:fill="CFF0FC"/>
          </w:tcPr>
          <w:p>
            <w:pPr>
              <w:jc w:val="right"/>
              <w:spacing w:after="0"/>
              <w:rPr>
                <w:sz w:val="20"/>
                <w:szCs w:val="20"/>
                <w:color w:val="auto"/>
              </w:rPr>
            </w:pPr>
            <w:r>
              <w:rPr>
                <w:rFonts w:ascii="Arial" w:cs="Arial" w:eastAsia="Arial" w:hAnsi="Arial"/>
                <w:sz w:val="13"/>
                <w:szCs w:val="13"/>
                <w:color w:val="auto"/>
              </w:rPr>
              <w:t>9.5</w:t>
            </w:r>
          </w:p>
        </w:tc>
        <w:tc>
          <w:tcPr>
            <w:tcW w:w="3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4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25,316</w:t>
            </w:r>
          </w:p>
        </w:tc>
        <w:tc>
          <w:tcPr>
            <w:tcW w:w="820" w:type="dxa"/>
            <w:vAlign w:val="bottom"/>
            <w:gridSpan w:val="2"/>
            <w:shd w:val="clear" w:color="auto" w:fill="CFF0FC"/>
          </w:tcPr>
          <w:p>
            <w:pPr>
              <w:jc w:val="right"/>
              <w:spacing w:after="0"/>
              <w:rPr>
                <w:sz w:val="20"/>
                <w:szCs w:val="20"/>
                <w:color w:val="auto"/>
              </w:rPr>
            </w:pPr>
            <w:r>
              <w:rPr>
                <w:rFonts w:ascii="Arial" w:cs="Arial" w:eastAsia="Arial" w:hAnsi="Arial"/>
                <w:sz w:val="13"/>
                <w:szCs w:val="13"/>
                <w:color w:val="auto"/>
              </w:rPr>
              <w:t>9.5</w:t>
            </w:r>
          </w:p>
        </w:tc>
        <w:tc>
          <w:tcPr>
            <w:tcW w:w="260" w:type="dxa"/>
            <w:vAlign w:val="bottom"/>
            <w:shd w:val="clear" w:color="auto" w:fill="CFF0FC"/>
          </w:tcPr>
          <w:p>
            <w:pPr>
              <w:spacing w:after="0"/>
              <w:rPr>
                <w:sz w:val="12"/>
                <w:szCs w:val="12"/>
                <w:color w:val="auto"/>
              </w:rPr>
            </w:pPr>
          </w:p>
        </w:tc>
        <w:tc>
          <w:tcPr>
            <w:tcW w:w="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3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4,889</w:t>
            </w:r>
          </w:p>
        </w:tc>
        <w:tc>
          <w:tcPr>
            <w:tcW w:w="18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3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19.3</w:t>
            </w:r>
          </w:p>
        </w:tc>
        <w:tc>
          <w:tcPr>
            <w:tcW w:w="8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1780" w:type="dxa"/>
            <w:vAlign w:val="bottom"/>
            <w:tcBorders>
              <w:bottom w:val="single" w:sz="8" w:color="CFF0FC"/>
            </w:tcBorders>
          </w:tcPr>
          <w:p>
            <w:pPr>
              <w:spacing w:after="0" w:line="142" w:lineRule="exact"/>
              <w:rPr>
                <w:sz w:val="20"/>
                <w:szCs w:val="20"/>
                <w:color w:val="auto"/>
              </w:rPr>
            </w:pPr>
            <w:r>
              <w:rPr>
                <w:rFonts w:ascii="Arial" w:cs="Arial" w:eastAsia="Arial" w:hAnsi="Arial"/>
                <w:sz w:val="13"/>
                <w:szCs w:val="13"/>
                <w:color w:val="auto"/>
              </w:rPr>
              <w:t>Segment operating income</w:t>
            </w:r>
          </w:p>
        </w:tc>
        <w:tc>
          <w:tcPr>
            <w:tcW w:w="80" w:type="dxa"/>
            <w:vAlign w:val="bottom"/>
            <w:tcBorders>
              <w:bottom w:val="single" w:sz="8" w:color="CFF0FC"/>
            </w:tcBorders>
          </w:tcPr>
          <w:p>
            <w:pPr>
              <w:spacing w:after="0"/>
              <w:rPr>
                <w:sz w:val="15"/>
                <w:szCs w:val="15"/>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46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3"/>
                <w:szCs w:val="13"/>
                <w:color w:val="auto"/>
              </w:rPr>
              <w:t>25,843</w:t>
            </w:r>
          </w:p>
        </w:tc>
        <w:tc>
          <w:tcPr>
            <w:tcW w:w="180" w:type="dxa"/>
            <w:vAlign w:val="bottom"/>
            <w:tcBorders>
              <w:bottom w:val="single" w:sz="8" w:color="CFF0FC"/>
            </w:tcBorders>
          </w:tcPr>
          <w:p>
            <w:pPr>
              <w:spacing w:after="0"/>
              <w:rPr>
                <w:sz w:val="15"/>
                <w:szCs w:val="15"/>
                <w:color w:val="auto"/>
              </w:rPr>
            </w:pPr>
          </w:p>
        </w:tc>
        <w:tc>
          <w:tcPr>
            <w:tcW w:w="62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3"/>
                <w:szCs w:val="13"/>
                <w:color w:val="auto"/>
              </w:rPr>
              <w:t>16.6</w:t>
            </w:r>
          </w:p>
        </w:tc>
        <w:tc>
          <w:tcPr>
            <w:tcW w:w="240" w:type="dxa"/>
            <w:vAlign w:val="bottom"/>
            <w:tcBorders>
              <w:bottom w:val="single" w:sz="8" w:color="CFF0FC"/>
            </w:tcBorders>
          </w:tcPr>
          <w:p>
            <w:pPr>
              <w:jc w:val="right"/>
              <w:spacing w:after="0" w:line="142" w:lineRule="exact"/>
              <w:rPr>
                <w:sz w:val="20"/>
                <w:szCs w:val="20"/>
                <w:color w:val="auto"/>
              </w:rPr>
            </w:pPr>
            <w:r>
              <w:rPr>
                <w:rFonts w:ascii="Arial" w:cs="Arial" w:eastAsia="Arial" w:hAnsi="Arial"/>
                <w:sz w:val="13"/>
                <w:szCs w:val="13"/>
                <w:color w:val="auto"/>
              </w:rPr>
              <w:t>%</w:t>
            </w:r>
          </w:p>
        </w:tc>
        <w:tc>
          <w:tcPr>
            <w:tcW w:w="80" w:type="dxa"/>
            <w:vAlign w:val="bottom"/>
            <w:tcBorders>
              <w:bottom w:val="single" w:sz="8" w:color="CFF0FC"/>
            </w:tcBorders>
          </w:tcPr>
          <w:p>
            <w:pPr>
              <w:spacing w:after="0"/>
              <w:rPr>
                <w:sz w:val="15"/>
                <w:szCs w:val="15"/>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46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3"/>
                <w:szCs w:val="13"/>
                <w:color w:val="auto"/>
              </w:rPr>
              <w:t>21,871</w:t>
            </w:r>
          </w:p>
        </w:tc>
        <w:tc>
          <w:tcPr>
            <w:tcW w:w="180" w:type="dxa"/>
            <w:vAlign w:val="bottom"/>
            <w:tcBorders>
              <w:bottom w:val="single" w:sz="8" w:color="CFF0FC"/>
            </w:tcBorders>
          </w:tcPr>
          <w:p>
            <w:pPr>
              <w:spacing w:after="0"/>
              <w:rPr>
                <w:sz w:val="15"/>
                <w:szCs w:val="15"/>
                <w:color w:val="auto"/>
              </w:rPr>
            </w:pPr>
          </w:p>
        </w:tc>
        <w:tc>
          <w:tcPr>
            <w:tcW w:w="62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3"/>
                <w:szCs w:val="13"/>
                <w:color w:val="auto"/>
              </w:rPr>
              <w:t>15.9</w:t>
            </w:r>
          </w:p>
        </w:tc>
        <w:tc>
          <w:tcPr>
            <w:tcW w:w="260" w:type="dxa"/>
            <w:vAlign w:val="bottom"/>
            <w:tcBorders>
              <w:bottom w:val="single" w:sz="8" w:color="CFF0FC"/>
            </w:tcBorders>
          </w:tcPr>
          <w:p>
            <w:pPr>
              <w:jc w:val="right"/>
              <w:spacing w:after="0" w:line="142" w:lineRule="exact"/>
              <w:rPr>
                <w:sz w:val="20"/>
                <w:szCs w:val="20"/>
                <w:color w:val="auto"/>
              </w:rPr>
            </w:pPr>
            <w:r>
              <w:rPr>
                <w:rFonts w:ascii="Arial" w:cs="Arial" w:eastAsia="Arial" w:hAnsi="Arial"/>
                <w:sz w:val="13"/>
                <w:szCs w:val="13"/>
                <w:color w:val="auto"/>
              </w:rPr>
              <w:t>%</w:t>
            </w:r>
          </w:p>
        </w:tc>
        <w:tc>
          <w:tcPr>
            <w:tcW w:w="60" w:type="dxa"/>
            <w:vAlign w:val="bottom"/>
            <w:tcBorders>
              <w:bottom w:val="single" w:sz="8" w:color="CFF0FC"/>
            </w:tcBorders>
          </w:tcPr>
          <w:p>
            <w:pPr>
              <w:spacing w:after="0"/>
              <w:rPr>
                <w:sz w:val="15"/>
                <w:szCs w:val="15"/>
                <w:color w:val="auto"/>
              </w:rPr>
            </w:pPr>
          </w:p>
        </w:tc>
        <w:tc>
          <w:tcPr>
            <w:tcW w:w="100" w:type="dxa"/>
            <w:vAlign w:val="bottom"/>
            <w:tcBorders>
              <w:top w:val="single" w:sz="8" w:color="auto"/>
              <w:bottom w:val="single" w:sz="8" w:color="auto"/>
            </w:tcBorders>
          </w:tcPr>
          <w:p>
            <w:pPr>
              <w:spacing w:after="0" w:line="142" w:lineRule="exact"/>
              <w:rPr>
                <w:sz w:val="20"/>
                <w:szCs w:val="20"/>
                <w:color w:val="auto"/>
              </w:rPr>
            </w:pPr>
            <w:r>
              <w:rPr>
                <w:rFonts w:ascii="Arial" w:cs="Arial" w:eastAsia="Arial" w:hAnsi="Arial"/>
                <w:sz w:val="13"/>
                <w:szCs w:val="13"/>
                <w:color w:val="auto"/>
              </w:rPr>
              <w:t>$</w:t>
            </w:r>
          </w:p>
        </w:tc>
        <w:tc>
          <w:tcPr>
            <w:tcW w:w="38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3"/>
                <w:szCs w:val="13"/>
                <w:color w:val="auto"/>
              </w:rPr>
              <w:t>3,972</w:t>
            </w:r>
          </w:p>
        </w:tc>
        <w:tc>
          <w:tcPr>
            <w:tcW w:w="180" w:type="dxa"/>
            <w:vAlign w:val="bottom"/>
            <w:tcBorders>
              <w:bottom w:val="single" w:sz="8" w:color="CFF0FC"/>
            </w:tcBorders>
          </w:tcPr>
          <w:p>
            <w:pPr>
              <w:spacing w:after="0"/>
              <w:rPr>
                <w:sz w:val="15"/>
                <w:szCs w:val="15"/>
                <w:color w:val="auto"/>
              </w:rPr>
            </w:pPr>
          </w:p>
        </w:tc>
        <w:tc>
          <w:tcPr>
            <w:tcW w:w="120" w:type="dxa"/>
            <w:vAlign w:val="bottom"/>
            <w:tcBorders>
              <w:top w:val="single" w:sz="8" w:color="auto"/>
              <w:bottom w:val="single" w:sz="8" w:color="auto"/>
            </w:tcBorders>
          </w:tcPr>
          <w:p>
            <w:pPr>
              <w:spacing w:after="0"/>
              <w:rPr>
                <w:sz w:val="15"/>
                <w:szCs w:val="15"/>
                <w:color w:val="auto"/>
              </w:rPr>
            </w:pPr>
          </w:p>
        </w:tc>
        <w:tc>
          <w:tcPr>
            <w:tcW w:w="32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3"/>
                <w:szCs w:val="13"/>
                <w:color w:val="auto"/>
              </w:rPr>
              <w:t>18.2</w:t>
            </w:r>
          </w:p>
        </w:tc>
        <w:tc>
          <w:tcPr>
            <w:tcW w:w="60" w:type="dxa"/>
            <w:vAlign w:val="bottom"/>
            <w:tcBorders>
              <w:bottom w:val="single" w:sz="8" w:color="CFF0FC"/>
            </w:tcBorders>
          </w:tcPr>
          <w:p>
            <w:pPr>
              <w:spacing w:after="0"/>
              <w:rPr>
                <w:sz w:val="15"/>
                <w:szCs w:val="15"/>
                <w:color w:val="auto"/>
              </w:rPr>
            </w:pPr>
          </w:p>
        </w:tc>
        <w:tc>
          <w:tcPr>
            <w:tcW w:w="200" w:type="dxa"/>
            <w:vAlign w:val="bottom"/>
            <w:tcBorders>
              <w:bottom w:val="single" w:sz="8" w:color="CFF0FC"/>
            </w:tcBorders>
          </w:tcPr>
          <w:p>
            <w:pPr>
              <w:jc w:val="right"/>
              <w:spacing w:after="0" w:line="142" w:lineRule="exact"/>
              <w:rPr>
                <w:sz w:val="20"/>
                <w:szCs w:val="20"/>
                <w:color w:val="auto"/>
              </w:rPr>
            </w:pPr>
            <w:r>
              <w:rPr>
                <w:rFonts w:ascii="Arial" w:cs="Arial" w:eastAsia="Arial" w:hAnsi="Arial"/>
                <w:sz w:val="13"/>
                <w:szCs w:val="13"/>
                <w:color w:val="auto"/>
              </w:rPr>
              <w:t>%</w:t>
            </w:r>
          </w:p>
        </w:tc>
        <w:tc>
          <w:tcPr>
            <w:tcW w:w="40" w:type="dxa"/>
            <w:vAlign w:val="bottom"/>
            <w:tcBorders>
              <w:bottom w:val="single" w:sz="8" w:color="CFF0FC"/>
            </w:tcBorders>
          </w:tcPr>
          <w:p>
            <w:pPr>
              <w:spacing w:after="0"/>
              <w:rPr>
                <w:sz w:val="15"/>
                <w:szCs w:val="15"/>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44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3"/>
                <w:szCs w:val="13"/>
                <w:color w:val="auto"/>
              </w:rPr>
              <w:t>51,878</w:t>
            </w:r>
          </w:p>
        </w:tc>
        <w:tc>
          <w:tcPr>
            <w:tcW w:w="200" w:type="dxa"/>
            <w:vAlign w:val="bottom"/>
            <w:tcBorders>
              <w:bottom w:val="single" w:sz="8" w:color="CFF0FC"/>
            </w:tcBorders>
          </w:tcPr>
          <w:p>
            <w:pPr>
              <w:spacing w:after="0"/>
              <w:rPr>
                <w:sz w:val="15"/>
                <w:szCs w:val="15"/>
                <w:color w:val="auto"/>
              </w:rPr>
            </w:pPr>
          </w:p>
        </w:tc>
        <w:tc>
          <w:tcPr>
            <w:tcW w:w="62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3"/>
                <w:szCs w:val="13"/>
                <w:color w:val="auto"/>
              </w:rPr>
              <w:t>16.4</w:t>
            </w:r>
          </w:p>
        </w:tc>
        <w:tc>
          <w:tcPr>
            <w:tcW w:w="300" w:type="dxa"/>
            <w:vAlign w:val="bottom"/>
            <w:tcBorders>
              <w:bottom w:val="single" w:sz="8" w:color="CFF0FC"/>
            </w:tcBorders>
          </w:tcPr>
          <w:p>
            <w:pPr>
              <w:jc w:val="right"/>
              <w:ind w:right="37"/>
              <w:spacing w:after="0" w:line="142" w:lineRule="exact"/>
              <w:rPr>
                <w:sz w:val="20"/>
                <w:szCs w:val="20"/>
                <w:color w:val="auto"/>
              </w:rPr>
            </w:pPr>
            <w:r>
              <w:rPr>
                <w:rFonts w:ascii="Arial" w:cs="Arial" w:eastAsia="Arial" w:hAnsi="Arial"/>
                <w:sz w:val="13"/>
                <w:szCs w:val="13"/>
                <w:color w:val="auto"/>
              </w:rPr>
              <w:t>%</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44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3"/>
                <w:szCs w:val="13"/>
                <w:color w:val="auto"/>
              </w:rPr>
              <w:t>41,230</w:t>
            </w:r>
          </w:p>
        </w:tc>
        <w:tc>
          <w:tcPr>
            <w:tcW w:w="200" w:type="dxa"/>
            <w:vAlign w:val="bottom"/>
            <w:tcBorders>
              <w:bottom w:val="single" w:sz="8" w:color="CFF0FC"/>
            </w:tcBorders>
          </w:tcPr>
          <w:p>
            <w:pPr>
              <w:spacing w:after="0"/>
              <w:rPr>
                <w:sz w:val="15"/>
                <w:szCs w:val="15"/>
                <w:color w:val="auto"/>
              </w:rPr>
            </w:pPr>
          </w:p>
        </w:tc>
        <w:tc>
          <w:tcPr>
            <w:tcW w:w="62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3"/>
                <w:szCs w:val="13"/>
                <w:color w:val="auto"/>
              </w:rPr>
              <w:t>15.6</w:t>
            </w:r>
          </w:p>
        </w:tc>
        <w:tc>
          <w:tcPr>
            <w:tcW w:w="260" w:type="dxa"/>
            <w:vAlign w:val="bottom"/>
            <w:tcBorders>
              <w:bottom w:val="single" w:sz="8" w:color="CFF0FC"/>
            </w:tcBorders>
          </w:tcPr>
          <w:p>
            <w:pPr>
              <w:jc w:val="right"/>
              <w:spacing w:after="0" w:line="142" w:lineRule="exact"/>
              <w:rPr>
                <w:sz w:val="20"/>
                <w:szCs w:val="20"/>
                <w:color w:val="auto"/>
              </w:rPr>
            </w:pPr>
            <w:r>
              <w:rPr>
                <w:rFonts w:ascii="Arial" w:cs="Arial" w:eastAsia="Arial" w:hAnsi="Arial"/>
                <w:sz w:val="13"/>
                <w:szCs w:val="13"/>
                <w:color w:val="auto"/>
              </w:rPr>
              <w:t>%</w:t>
            </w:r>
          </w:p>
        </w:tc>
        <w:tc>
          <w:tcPr>
            <w:tcW w:w="40" w:type="dxa"/>
            <w:vAlign w:val="bottom"/>
            <w:tcBorders>
              <w:bottom w:val="single" w:sz="8" w:color="CFF0FC"/>
            </w:tcBorders>
          </w:tcPr>
          <w:p>
            <w:pPr>
              <w:spacing w:after="0"/>
              <w:rPr>
                <w:sz w:val="15"/>
                <w:szCs w:val="15"/>
                <w:color w:val="auto"/>
              </w:rPr>
            </w:pPr>
          </w:p>
        </w:tc>
        <w:tc>
          <w:tcPr>
            <w:tcW w:w="100" w:type="dxa"/>
            <w:vAlign w:val="bottom"/>
            <w:tcBorders>
              <w:top w:val="single" w:sz="8" w:color="auto"/>
              <w:bottom w:val="single" w:sz="8" w:color="auto"/>
            </w:tcBorders>
          </w:tcPr>
          <w:p>
            <w:pPr>
              <w:spacing w:after="0" w:line="142" w:lineRule="exact"/>
              <w:rPr>
                <w:sz w:val="20"/>
                <w:szCs w:val="20"/>
                <w:color w:val="auto"/>
              </w:rPr>
            </w:pPr>
            <w:r>
              <w:rPr>
                <w:rFonts w:ascii="Arial" w:cs="Arial" w:eastAsia="Arial" w:hAnsi="Arial"/>
                <w:sz w:val="13"/>
                <w:szCs w:val="13"/>
                <w:color w:val="auto"/>
              </w:rPr>
              <w:t>$</w:t>
            </w:r>
          </w:p>
        </w:tc>
        <w:tc>
          <w:tcPr>
            <w:tcW w:w="38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3"/>
                <w:szCs w:val="13"/>
                <w:color w:val="auto"/>
                <w:w w:val="85"/>
              </w:rPr>
              <w:t>10,648</w:t>
            </w:r>
          </w:p>
        </w:tc>
        <w:tc>
          <w:tcPr>
            <w:tcW w:w="180" w:type="dxa"/>
            <w:vAlign w:val="bottom"/>
            <w:tcBorders>
              <w:bottom w:val="single" w:sz="8" w:color="CFF0FC"/>
            </w:tcBorders>
          </w:tcPr>
          <w:p>
            <w:pPr>
              <w:spacing w:after="0"/>
              <w:rPr>
                <w:sz w:val="15"/>
                <w:szCs w:val="15"/>
                <w:color w:val="auto"/>
              </w:rPr>
            </w:pPr>
          </w:p>
        </w:tc>
        <w:tc>
          <w:tcPr>
            <w:tcW w:w="120" w:type="dxa"/>
            <w:vAlign w:val="bottom"/>
            <w:tcBorders>
              <w:top w:val="single" w:sz="8" w:color="auto"/>
              <w:bottom w:val="single" w:sz="8" w:color="auto"/>
            </w:tcBorders>
          </w:tcPr>
          <w:p>
            <w:pPr>
              <w:spacing w:after="0"/>
              <w:rPr>
                <w:sz w:val="15"/>
                <w:szCs w:val="15"/>
                <w:color w:val="auto"/>
              </w:rPr>
            </w:pPr>
          </w:p>
        </w:tc>
        <w:tc>
          <w:tcPr>
            <w:tcW w:w="32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3"/>
                <w:szCs w:val="13"/>
                <w:color w:val="auto"/>
              </w:rPr>
              <w:t>25.8</w:t>
            </w:r>
          </w:p>
        </w:tc>
        <w:tc>
          <w:tcPr>
            <w:tcW w:w="80" w:type="dxa"/>
            <w:vAlign w:val="bottom"/>
            <w:tcBorders>
              <w:bottom w:val="single" w:sz="8" w:color="CFF0FC"/>
            </w:tcBorders>
          </w:tcPr>
          <w:p>
            <w:pPr>
              <w:spacing w:after="0"/>
              <w:rPr>
                <w:sz w:val="15"/>
                <w:szCs w:val="15"/>
                <w:color w:val="auto"/>
              </w:rPr>
            </w:pPr>
          </w:p>
        </w:tc>
        <w:tc>
          <w:tcPr>
            <w:tcW w:w="160" w:type="dxa"/>
            <w:vAlign w:val="bottom"/>
            <w:tcBorders>
              <w:bottom w:val="single" w:sz="8" w:color="CFF0FC"/>
            </w:tcBorders>
          </w:tcPr>
          <w:p>
            <w:pPr>
              <w:jc w:val="right"/>
              <w:spacing w:after="0" w:line="142"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11"/>
        </w:trPr>
        <w:tc>
          <w:tcPr>
            <w:tcW w:w="1780" w:type="dxa"/>
            <w:vAlign w:val="bottom"/>
            <w:shd w:val="clear" w:color="auto" w:fill="CFF0FC"/>
          </w:tcPr>
          <w:p>
            <w:pPr>
              <w:spacing w:after="0" w:line="111" w:lineRule="exact"/>
              <w:rPr>
                <w:sz w:val="20"/>
                <w:szCs w:val="20"/>
                <w:color w:val="auto"/>
              </w:rPr>
            </w:pPr>
            <w:r>
              <w:rPr>
                <w:rFonts w:ascii="Arial" w:cs="Arial" w:eastAsia="Arial" w:hAnsi="Arial"/>
                <w:sz w:val="12"/>
                <w:szCs w:val="12"/>
                <w:b w:val="1"/>
                <w:bCs w:val="1"/>
                <w:color w:val="auto"/>
              </w:rPr>
              <w:t>Business Metrics (Actual</w:t>
            </w:r>
          </w:p>
        </w:tc>
        <w:tc>
          <w:tcPr>
            <w:tcW w:w="80" w:type="dxa"/>
            <w:vAlign w:val="bottom"/>
            <w:shd w:val="clear" w:color="auto" w:fill="CFF0FC"/>
          </w:tcPr>
          <w:p>
            <w:pPr>
              <w:spacing w:after="0"/>
              <w:rPr>
                <w:sz w:val="9"/>
                <w:szCs w:val="9"/>
                <w:color w:val="auto"/>
              </w:rPr>
            </w:pPr>
          </w:p>
        </w:tc>
        <w:tc>
          <w:tcPr>
            <w:tcW w:w="80" w:type="dxa"/>
            <w:vAlign w:val="bottom"/>
            <w:shd w:val="clear" w:color="auto" w:fill="CFF0FC"/>
          </w:tcPr>
          <w:p>
            <w:pPr>
              <w:spacing w:after="0"/>
              <w:rPr>
                <w:sz w:val="9"/>
                <w:szCs w:val="9"/>
                <w:color w:val="auto"/>
              </w:rPr>
            </w:pPr>
          </w:p>
        </w:tc>
        <w:tc>
          <w:tcPr>
            <w:tcW w:w="460" w:type="dxa"/>
            <w:vAlign w:val="bottom"/>
            <w:shd w:val="clear" w:color="auto" w:fill="CFF0FC"/>
          </w:tcPr>
          <w:p>
            <w:pPr>
              <w:spacing w:after="0"/>
              <w:rPr>
                <w:sz w:val="9"/>
                <w:szCs w:val="9"/>
                <w:color w:val="auto"/>
              </w:rPr>
            </w:pPr>
          </w:p>
        </w:tc>
        <w:tc>
          <w:tcPr>
            <w:tcW w:w="180" w:type="dxa"/>
            <w:vAlign w:val="bottom"/>
            <w:shd w:val="clear" w:color="auto" w:fill="CFF0FC"/>
          </w:tcPr>
          <w:p>
            <w:pPr>
              <w:spacing w:after="0"/>
              <w:rPr>
                <w:sz w:val="9"/>
                <w:szCs w:val="9"/>
                <w:color w:val="auto"/>
              </w:rPr>
            </w:pPr>
          </w:p>
        </w:tc>
        <w:tc>
          <w:tcPr>
            <w:tcW w:w="620" w:type="dxa"/>
            <w:vAlign w:val="bottom"/>
            <w:shd w:val="clear" w:color="auto" w:fill="CFF0FC"/>
          </w:tcPr>
          <w:p>
            <w:pPr>
              <w:spacing w:after="0"/>
              <w:rPr>
                <w:sz w:val="9"/>
                <w:szCs w:val="9"/>
                <w:color w:val="auto"/>
              </w:rPr>
            </w:pPr>
          </w:p>
        </w:tc>
        <w:tc>
          <w:tcPr>
            <w:tcW w:w="240" w:type="dxa"/>
            <w:vAlign w:val="bottom"/>
            <w:shd w:val="clear" w:color="auto" w:fill="CFF0FC"/>
          </w:tcPr>
          <w:p>
            <w:pPr>
              <w:spacing w:after="0"/>
              <w:rPr>
                <w:sz w:val="9"/>
                <w:szCs w:val="9"/>
                <w:color w:val="auto"/>
              </w:rPr>
            </w:pPr>
          </w:p>
        </w:tc>
        <w:tc>
          <w:tcPr>
            <w:tcW w:w="80" w:type="dxa"/>
            <w:vAlign w:val="bottom"/>
            <w:shd w:val="clear" w:color="auto" w:fill="CFF0FC"/>
          </w:tcPr>
          <w:p>
            <w:pPr>
              <w:spacing w:after="0"/>
              <w:rPr>
                <w:sz w:val="9"/>
                <w:szCs w:val="9"/>
                <w:color w:val="auto"/>
              </w:rPr>
            </w:pPr>
          </w:p>
        </w:tc>
        <w:tc>
          <w:tcPr>
            <w:tcW w:w="80" w:type="dxa"/>
            <w:vAlign w:val="bottom"/>
            <w:shd w:val="clear" w:color="auto" w:fill="CFF0FC"/>
          </w:tcPr>
          <w:p>
            <w:pPr>
              <w:spacing w:after="0"/>
              <w:rPr>
                <w:sz w:val="9"/>
                <w:szCs w:val="9"/>
                <w:color w:val="auto"/>
              </w:rPr>
            </w:pPr>
          </w:p>
        </w:tc>
        <w:tc>
          <w:tcPr>
            <w:tcW w:w="460" w:type="dxa"/>
            <w:vAlign w:val="bottom"/>
            <w:shd w:val="clear" w:color="auto" w:fill="CFF0FC"/>
          </w:tcPr>
          <w:p>
            <w:pPr>
              <w:spacing w:after="0"/>
              <w:rPr>
                <w:sz w:val="9"/>
                <w:szCs w:val="9"/>
                <w:color w:val="auto"/>
              </w:rPr>
            </w:pPr>
          </w:p>
        </w:tc>
        <w:tc>
          <w:tcPr>
            <w:tcW w:w="180" w:type="dxa"/>
            <w:vAlign w:val="bottom"/>
            <w:shd w:val="clear" w:color="auto" w:fill="CFF0FC"/>
          </w:tcPr>
          <w:p>
            <w:pPr>
              <w:spacing w:after="0"/>
              <w:rPr>
                <w:sz w:val="9"/>
                <w:szCs w:val="9"/>
                <w:color w:val="auto"/>
              </w:rPr>
            </w:pPr>
          </w:p>
        </w:tc>
        <w:tc>
          <w:tcPr>
            <w:tcW w:w="620" w:type="dxa"/>
            <w:vAlign w:val="bottom"/>
            <w:shd w:val="clear" w:color="auto" w:fill="CFF0FC"/>
          </w:tcPr>
          <w:p>
            <w:pPr>
              <w:spacing w:after="0"/>
              <w:rPr>
                <w:sz w:val="9"/>
                <w:szCs w:val="9"/>
                <w:color w:val="auto"/>
              </w:rPr>
            </w:pPr>
          </w:p>
        </w:tc>
        <w:tc>
          <w:tcPr>
            <w:tcW w:w="260" w:type="dxa"/>
            <w:vAlign w:val="bottom"/>
            <w:shd w:val="clear" w:color="auto" w:fill="CFF0FC"/>
          </w:tcPr>
          <w:p>
            <w:pPr>
              <w:spacing w:after="0"/>
              <w:rPr>
                <w:sz w:val="9"/>
                <w:szCs w:val="9"/>
                <w:color w:val="auto"/>
              </w:rPr>
            </w:pPr>
          </w:p>
        </w:tc>
        <w:tc>
          <w:tcPr>
            <w:tcW w:w="6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380" w:type="dxa"/>
            <w:vAlign w:val="bottom"/>
            <w:shd w:val="clear" w:color="auto" w:fill="CFF0FC"/>
          </w:tcPr>
          <w:p>
            <w:pPr>
              <w:spacing w:after="0"/>
              <w:rPr>
                <w:sz w:val="9"/>
                <w:szCs w:val="9"/>
                <w:color w:val="auto"/>
              </w:rPr>
            </w:pPr>
          </w:p>
        </w:tc>
        <w:tc>
          <w:tcPr>
            <w:tcW w:w="18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320" w:type="dxa"/>
            <w:vAlign w:val="bottom"/>
            <w:shd w:val="clear" w:color="auto" w:fill="CFF0FC"/>
          </w:tcPr>
          <w:p>
            <w:pPr>
              <w:spacing w:after="0"/>
              <w:rPr>
                <w:sz w:val="9"/>
                <w:szCs w:val="9"/>
                <w:color w:val="auto"/>
              </w:rPr>
            </w:pPr>
          </w:p>
        </w:tc>
        <w:tc>
          <w:tcPr>
            <w:tcW w:w="60" w:type="dxa"/>
            <w:vAlign w:val="bottom"/>
            <w:shd w:val="clear" w:color="auto" w:fill="CFF0FC"/>
          </w:tcPr>
          <w:p>
            <w:pPr>
              <w:spacing w:after="0"/>
              <w:rPr>
                <w:sz w:val="9"/>
                <w:szCs w:val="9"/>
                <w:color w:val="auto"/>
              </w:rPr>
            </w:pPr>
          </w:p>
        </w:tc>
        <w:tc>
          <w:tcPr>
            <w:tcW w:w="200" w:type="dxa"/>
            <w:vAlign w:val="bottom"/>
            <w:shd w:val="clear" w:color="auto" w:fill="CFF0FC"/>
          </w:tcPr>
          <w:p>
            <w:pPr>
              <w:spacing w:after="0"/>
              <w:rPr>
                <w:sz w:val="9"/>
                <w:szCs w:val="9"/>
                <w:color w:val="auto"/>
              </w:rPr>
            </w:pPr>
          </w:p>
        </w:tc>
        <w:tc>
          <w:tcPr>
            <w:tcW w:w="4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440" w:type="dxa"/>
            <w:vAlign w:val="bottom"/>
            <w:shd w:val="clear" w:color="auto" w:fill="CFF0FC"/>
          </w:tcPr>
          <w:p>
            <w:pPr>
              <w:spacing w:after="0"/>
              <w:rPr>
                <w:sz w:val="9"/>
                <w:szCs w:val="9"/>
                <w:color w:val="auto"/>
              </w:rPr>
            </w:pPr>
          </w:p>
        </w:tc>
        <w:tc>
          <w:tcPr>
            <w:tcW w:w="200" w:type="dxa"/>
            <w:vAlign w:val="bottom"/>
            <w:shd w:val="clear" w:color="auto" w:fill="CFF0FC"/>
          </w:tcPr>
          <w:p>
            <w:pPr>
              <w:spacing w:after="0"/>
              <w:rPr>
                <w:sz w:val="9"/>
                <w:szCs w:val="9"/>
                <w:color w:val="auto"/>
              </w:rPr>
            </w:pPr>
          </w:p>
        </w:tc>
        <w:tc>
          <w:tcPr>
            <w:tcW w:w="620" w:type="dxa"/>
            <w:vAlign w:val="bottom"/>
            <w:shd w:val="clear" w:color="auto" w:fill="CFF0FC"/>
          </w:tcPr>
          <w:p>
            <w:pPr>
              <w:spacing w:after="0"/>
              <w:rPr>
                <w:sz w:val="9"/>
                <w:szCs w:val="9"/>
                <w:color w:val="auto"/>
              </w:rPr>
            </w:pPr>
          </w:p>
        </w:tc>
        <w:tc>
          <w:tcPr>
            <w:tcW w:w="30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440" w:type="dxa"/>
            <w:vAlign w:val="bottom"/>
            <w:shd w:val="clear" w:color="auto" w:fill="CFF0FC"/>
          </w:tcPr>
          <w:p>
            <w:pPr>
              <w:spacing w:after="0"/>
              <w:rPr>
                <w:sz w:val="9"/>
                <w:szCs w:val="9"/>
                <w:color w:val="auto"/>
              </w:rPr>
            </w:pPr>
          </w:p>
        </w:tc>
        <w:tc>
          <w:tcPr>
            <w:tcW w:w="200" w:type="dxa"/>
            <w:vAlign w:val="bottom"/>
            <w:shd w:val="clear" w:color="auto" w:fill="CFF0FC"/>
          </w:tcPr>
          <w:p>
            <w:pPr>
              <w:spacing w:after="0"/>
              <w:rPr>
                <w:sz w:val="9"/>
                <w:szCs w:val="9"/>
                <w:color w:val="auto"/>
              </w:rPr>
            </w:pPr>
          </w:p>
        </w:tc>
        <w:tc>
          <w:tcPr>
            <w:tcW w:w="620" w:type="dxa"/>
            <w:vAlign w:val="bottom"/>
            <w:shd w:val="clear" w:color="auto" w:fill="CFF0FC"/>
          </w:tcPr>
          <w:p>
            <w:pPr>
              <w:spacing w:after="0"/>
              <w:rPr>
                <w:sz w:val="9"/>
                <w:szCs w:val="9"/>
                <w:color w:val="auto"/>
              </w:rPr>
            </w:pPr>
          </w:p>
        </w:tc>
        <w:tc>
          <w:tcPr>
            <w:tcW w:w="260" w:type="dxa"/>
            <w:vAlign w:val="bottom"/>
            <w:shd w:val="clear" w:color="auto" w:fill="CFF0FC"/>
          </w:tcPr>
          <w:p>
            <w:pPr>
              <w:spacing w:after="0"/>
              <w:rPr>
                <w:sz w:val="9"/>
                <w:szCs w:val="9"/>
                <w:color w:val="auto"/>
              </w:rPr>
            </w:pPr>
          </w:p>
        </w:tc>
        <w:tc>
          <w:tcPr>
            <w:tcW w:w="4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380" w:type="dxa"/>
            <w:vAlign w:val="bottom"/>
            <w:shd w:val="clear" w:color="auto" w:fill="CFF0FC"/>
          </w:tcPr>
          <w:p>
            <w:pPr>
              <w:spacing w:after="0"/>
              <w:rPr>
                <w:sz w:val="9"/>
                <w:szCs w:val="9"/>
                <w:color w:val="auto"/>
              </w:rPr>
            </w:pPr>
          </w:p>
        </w:tc>
        <w:tc>
          <w:tcPr>
            <w:tcW w:w="18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320" w:type="dxa"/>
            <w:vAlign w:val="bottom"/>
            <w:shd w:val="clear" w:color="auto" w:fill="CFF0FC"/>
          </w:tcPr>
          <w:p>
            <w:pPr>
              <w:spacing w:after="0"/>
              <w:rPr>
                <w:sz w:val="9"/>
                <w:szCs w:val="9"/>
                <w:color w:val="auto"/>
              </w:rPr>
            </w:pPr>
          </w:p>
        </w:tc>
        <w:tc>
          <w:tcPr>
            <w:tcW w:w="80" w:type="dxa"/>
            <w:vAlign w:val="bottom"/>
            <w:shd w:val="clear" w:color="auto" w:fill="CFF0FC"/>
          </w:tcPr>
          <w:p>
            <w:pPr>
              <w:spacing w:after="0"/>
              <w:rPr>
                <w:sz w:val="9"/>
                <w:szCs w:val="9"/>
                <w:color w:val="auto"/>
              </w:rPr>
            </w:pPr>
          </w:p>
        </w:tc>
        <w:tc>
          <w:tcPr>
            <w:tcW w:w="160" w:type="dxa"/>
            <w:vAlign w:val="bottom"/>
            <w:shd w:val="clear" w:color="auto" w:fill="CFF0FC"/>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1780" w:type="dxa"/>
            <w:vAlign w:val="bottom"/>
            <w:shd w:val="clear" w:color="auto" w:fill="CFF0FC"/>
          </w:tcPr>
          <w:p>
            <w:pPr>
              <w:ind w:left="100"/>
              <w:spacing w:after="0" w:line="135" w:lineRule="exact"/>
              <w:rPr>
                <w:sz w:val="20"/>
                <w:szCs w:val="20"/>
                <w:color w:val="auto"/>
              </w:rPr>
            </w:pPr>
            <w:r>
              <w:rPr>
                <w:rFonts w:ascii="Arial" w:cs="Arial" w:eastAsia="Arial" w:hAnsi="Arial"/>
                <w:sz w:val="13"/>
                <w:szCs w:val="13"/>
                <w:b w:val="1"/>
                <w:bCs w:val="1"/>
                <w:color w:val="auto"/>
              </w:rPr>
              <w:t>Numbers, Except Billable</w:t>
            </w:r>
          </w:p>
        </w:tc>
        <w:tc>
          <w:tcPr>
            <w:tcW w:w="8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46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62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46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620" w:type="dxa"/>
            <w:vAlign w:val="bottom"/>
            <w:shd w:val="clear" w:color="auto" w:fill="CFF0FC"/>
          </w:tcPr>
          <w:p>
            <w:pPr>
              <w:spacing w:after="0"/>
              <w:rPr>
                <w:sz w:val="11"/>
                <w:szCs w:val="11"/>
                <w:color w:val="auto"/>
              </w:rPr>
            </w:pPr>
          </w:p>
        </w:tc>
        <w:tc>
          <w:tcPr>
            <w:tcW w:w="26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38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32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4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44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620" w:type="dxa"/>
            <w:vAlign w:val="bottom"/>
            <w:shd w:val="clear" w:color="auto" w:fill="CFF0FC"/>
          </w:tcPr>
          <w:p>
            <w:pPr>
              <w:spacing w:after="0"/>
              <w:rPr>
                <w:sz w:val="11"/>
                <w:szCs w:val="11"/>
                <w:color w:val="auto"/>
              </w:rPr>
            </w:pPr>
          </w:p>
        </w:tc>
        <w:tc>
          <w:tcPr>
            <w:tcW w:w="3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44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620" w:type="dxa"/>
            <w:vAlign w:val="bottom"/>
            <w:shd w:val="clear" w:color="auto" w:fill="CFF0FC"/>
          </w:tcPr>
          <w:p>
            <w:pPr>
              <w:spacing w:after="0"/>
              <w:rPr>
                <w:sz w:val="11"/>
                <w:szCs w:val="11"/>
                <w:color w:val="auto"/>
              </w:rPr>
            </w:pPr>
          </w:p>
        </w:tc>
        <w:tc>
          <w:tcPr>
            <w:tcW w:w="260" w:type="dxa"/>
            <w:vAlign w:val="bottom"/>
            <w:shd w:val="clear" w:color="auto" w:fill="CFF0FC"/>
          </w:tcPr>
          <w:p>
            <w:pPr>
              <w:spacing w:after="0"/>
              <w:rPr>
                <w:sz w:val="11"/>
                <w:szCs w:val="11"/>
                <w:color w:val="auto"/>
              </w:rPr>
            </w:pPr>
          </w:p>
        </w:tc>
        <w:tc>
          <w:tcPr>
            <w:tcW w:w="4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38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32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1780" w:type="dxa"/>
            <w:vAlign w:val="bottom"/>
            <w:shd w:val="clear" w:color="auto" w:fill="CFF0FC"/>
          </w:tcPr>
          <w:p>
            <w:pPr>
              <w:ind w:left="100"/>
              <w:spacing w:after="0"/>
              <w:rPr>
                <w:sz w:val="20"/>
                <w:szCs w:val="20"/>
                <w:color w:val="auto"/>
              </w:rPr>
            </w:pPr>
            <w:r>
              <w:rPr>
                <w:rFonts w:ascii="Arial" w:cs="Arial" w:eastAsia="Arial" w:hAnsi="Arial"/>
                <w:sz w:val="13"/>
                <w:szCs w:val="13"/>
                <w:b w:val="1"/>
                <w:bCs w:val="1"/>
                <w:color w:val="auto"/>
              </w:rPr>
              <w:t>Hours in Thousands)</w:t>
            </w:r>
          </w:p>
        </w:tc>
        <w:tc>
          <w:tcPr>
            <w:tcW w:w="8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46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620" w:type="dxa"/>
            <w:vAlign w:val="bottom"/>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46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620" w:type="dxa"/>
            <w:vAlign w:val="bottom"/>
            <w:shd w:val="clear" w:color="auto" w:fill="CFF0FC"/>
          </w:tcPr>
          <w:p>
            <w:pPr>
              <w:spacing w:after="0"/>
              <w:rPr>
                <w:sz w:val="13"/>
                <w:szCs w:val="13"/>
                <w:color w:val="auto"/>
              </w:rPr>
            </w:pPr>
          </w:p>
        </w:tc>
        <w:tc>
          <w:tcPr>
            <w:tcW w:w="260" w:type="dxa"/>
            <w:vAlign w:val="bottom"/>
            <w:shd w:val="clear" w:color="auto" w:fill="CFF0FC"/>
          </w:tcPr>
          <w:p>
            <w:pPr>
              <w:spacing w:after="0"/>
              <w:rPr>
                <w:sz w:val="13"/>
                <w:szCs w:val="13"/>
                <w:color w:val="auto"/>
              </w:rPr>
            </w:pPr>
          </w:p>
        </w:tc>
        <w:tc>
          <w:tcPr>
            <w:tcW w:w="6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38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320" w:type="dxa"/>
            <w:vAlign w:val="bottom"/>
            <w:shd w:val="clear" w:color="auto" w:fill="CFF0FC"/>
          </w:tcPr>
          <w:p>
            <w:pPr>
              <w:spacing w:after="0"/>
              <w:rPr>
                <w:sz w:val="13"/>
                <w:szCs w:val="13"/>
                <w:color w:val="auto"/>
              </w:rPr>
            </w:pPr>
          </w:p>
        </w:tc>
        <w:tc>
          <w:tcPr>
            <w:tcW w:w="6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4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44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620" w:type="dxa"/>
            <w:vAlign w:val="bottom"/>
            <w:shd w:val="clear" w:color="auto" w:fill="CFF0FC"/>
          </w:tcPr>
          <w:p>
            <w:pPr>
              <w:spacing w:after="0"/>
              <w:rPr>
                <w:sz w:val="13"/>
                <w:szCs w:val="13"/>
                <w:color w:val="auto"/>
              </w:rPr>
            </w:pPr>
          </w:p>
        </w:tc>
        <w:tc>
          <w:tcPr>
            <w:tcW w:w="30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44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620" w:type="dxa"/>
            <w:vAlign w:val="bottom"/>
            <w:shd w:val="clear" w:color="auto" w:fill="CFF0FC"/>
          </w:tcPr>
          <w:p>
            <w:pPr>
              <w:spacing w:after="0"/>
              <w:rPr>
                <w:sz w:val="13"/>
                <w:szCs w:val="13"/>
                <w:color w:val="auto"/>
              </w:rPr>
            </w:pPr>
          </w:p>
        </w:tc>
        <w:tc>
          <w:tcPr>
            <w:tcW w:w="260" w:type="dxa"/>
            <w:vAlign w:val="bottom"/>
            <w:shd w:val="clear" w:color="auto" w:fill="CFF0FC"/>
          </w:tcPr>
          <w:p>
            <w:pPr>
              <w:spacing w:after="0"/>
              <w:rPr>
                <w:sz w:val="13"/>
                <w:szCs w:val="13"/>
                <w:color w:val="auto"/>
              </w:rPr>
            </w:pPr>
          </w:p>
        </w:tc>
        <w:tc>
          <w:tcPr>
            <w:tcW w:w="4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38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32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1780" w:type="dxa"/>
            <w:vAlign w:val="bottom"/>
          </w:tcPr>
          <w:p>
            <w:pPr>
              <w:spacing w:after="0"/>
              <w:rPr>
                <w:sz w:val="20"/>
                <w:szCs w:val="20"/>
                <w:color w:val="auto"/>
              </w:rPr>
            </w:pPr>
            <w:r>
              <w:rPr>
                <w:rFonts w:ascii="Arial" w:cs="Arial" w:eastAsia="Arial" w:hAnsi="Arial"/>
                <w:sz w:val="13"/>
                <w:szCs w:val="13"/>
                <w:color w:val="auto"/>
              </w:rPr>
              <w:t>Location at period end</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40" w:type="dxa"/>
            <w:vAlign w:val="bottom"/>
          </w:tcPr>
          <w:p>
            <w:pPr>
              <w:jc w:val="right"/>
              <w:spacing w:after="0"/>
              <w:rPr>
                <w:sz w:val="20"/>
                <w:szCs w:val="20"/>
                <w:color w:val="auto"/>
              </w:rPr>
            </w:pPr>
            <w:r>
              <w:rPr>
                <w:rFonts w:ascii="Arial" w:cs="Arial" w:eastAsia="Arial" w:hAnsi="Arial"/>
                <w:sz w:val="13"/>
                <w:szCs w:val="13"/>
                <w:color w:val="auto"/>
              </w:rPr>
              <w:t>150</w:t>
            </w:r>
          </w:p>
        </w:tc>
        <w:tc>
          <w:tcPr>
            <w:tcW w:w="2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40" w:type="dxa"/>
            <w:vAlign w:val="bottom"/>
          </w:tcPr>
          <w:p>
            <w:pPr>
              <w:jc w:val="right"/>
              <w:spacing w:after="0"/>
              <w:rPr>
                <w:sz w:val="20"/>
                <w:szCs w:val="20"/>
                <w:color w:val="auto"/>
              </w:rPr>
            </w:pPr>
            <w:r>
              <w:rPr>
                <w:rFonts w:ascii="Arial" w:cs="Arial" w:eastAsia="Arial" w:hAnsi="Arial"/>
                <w:sz w:val="13"/>
                <w:szCs w:val="13"/>
                <w:color w:val="auto"/>
              </w:rPr>
              <w:t>154</w:t>
            </w:r>
          </w:p>
        </w:tc>
        <w:tc>
          <w:tcPr>
            <w:tcW w:w="2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780" w:type="dxa"/>
            <w:vAlign w:val="bottom"/>
            <w:shd w:val="clear" w:color="auto" w:fill="CFF0FC"/>
          </w:tcPr>
          <w:p>
            <w:pPr>
              <w:spacing w:after="0"/>
              <w:rPr>
                <w:sz w:val="20"/>
                <w:szCs w:val="20"/>
                <w:color w:val="auto"/>
              </w:rPr>
            </w:pPr>
            <w:r>
              <w:rPr>
                <w:rFonts w:ascii="Arial" w:cs="Arial" w:eastAsia="Arial" w:hAnsi="Arial"/>
                <w:sz w:val="13"/>
                <w:szCs w:val="13"/>
                <w:color w:val="auto"/>
              </w:rPr>
              <w:t xml:space="preserve">Average billable census * </w:t>
            </w:r>
            <w:r>
              <w:rPr>
                <w:rFonts w:ascii="Arial" w:cs="Arial" w:eastAsia="Arial" w:hAnsi="Arial"/>
                <w:sz w:val="10"/>
                <w:szCs w:val="10"/>
                <w:color w:val="auto"/>
              </w:rPr>
              <w:t>(1)</w:t>
            </w:r>
          </w:p>
        </w:tc>
        <w:tc>
          <w:tcPr>
            <w:tcW w:w="8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4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36,197</w:t>
            </w:r>
          </w:p>
        </w:tc>
        <w:tc>
          <w:tcPr>
            <w:tcW w:w="180" w:type="dxa"/>
            <w:vAlign w:val="bottom"/>
            <w:shd w:val="clear" w:color="auto" w:fill="CFF0FC"/>
          </w:tcPr>
          <w:p>
            <w:pPr>
              <w:spacing w:after="0"/>
              <w:rPr>
                <w:sz w:val="12"/>
                <w:szCs w:val="12"/>
                <w:color w:val="auto"/>
              </w:rPr>
            </w:pPr>
          </w:p>
        </w:tc>
        <w:tc>
          <w:tcPr>
            <w:tcW w:w="62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4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39,026</w:t>
            </w:r>
          </w:p>
        </w:tc>
        <w:tc>
          <w:tcPr>
            <w:tcW w:w="180" w:type="dxa"/>
            <w:vAlign w:val="bottom"/>
            <w:shd w:val="clear" w:color="auto" w:fill="CFF0FC"/>
          </w:tcPr>
          <w:p>
            <w:pPr>
              <w:spacing w:after="0"/>
              <w:rPr>
                <w:sz w:val="12"/>
                <w:szCs w:val="12"/>
                <w:color w:val="auto"/>
              </w:rPr>
            </w:pPr>
          </w:p>
        </w:tc>
        <w:tc>
          <w:tcPr>
            <w:tcW w:w="62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560" w:type="dxa"/>
            <w:vAlign w:val="bottom"/>
            <w:gridSpan w:val="2"/>
            <w:shd w:val="clear" w:color="auto" w:fill="CFF0FC"/>
          </w:tcPr>
          <w:p>
            <w:pPr>
              <w:jc w:val="right"/>
              <w:ind w:right="140"/>
              <w:spacing w:after="0"/>
              <w:rPr>
                <w:sz w:val="20"/>
                <w:szCs w:val="20"/>
                <w:color w:val="auto"/>
              </w:rPr>
            </w:pPr>
            <w:r>
              <w:rPr>
                <w:rFonts w:ascii="Arial" w:cs="Arial" w:eastAsia="Arial" w:hAnsi="Arial"/>
                <w:sz w:val="13"/>
                <w:szCs w:val="13"/>
                <w:color w:val="auto"/>
                <w:w w:val="97"/>
              </w:rPr>
              <w:t>(2,829)</w:t>
            </w:r>
          </w:p>
        </w:tc>
        <w:tc>
          <w:tcPr>
            <w:tcW w:w="120" w:type="dxa"/>
            <w:vAlign w:val="bottom"/>
            <w:shd w:val="clear" w:color="auto" w:fill="CFF0FC"/>
          </w:tcPr>
          <w:p>
            <w:pPr>
              <w:spacing w:after="0"/>
              <w:rPr>
                <w:sz w:val="12"/>
                <w:szCs w:val="12"/>
                <w:color w:val="auto"/>
              </w:rPr>
            </w:pPr>
          </w:p>
        </w:tc>
        <w:tc>
          <w:tcPr>
            <w:tcW w:w="380" w:type="dxa"/>
            <w:vAlign w:val="bottom"/>
            <w:gridSpan w:val="2"/>
            <w:shd w:val="clear" w:color="auto" w:fill="CFF0FC"/>
          </w:tcPr>
          <w:p>
            <w:pPr>
              <w:jc w:val="right"/>
              <w:ind w:right="20"/>
              <w:spacing w:after="0"/>
              <w:rPr>
                <w:sz w:val="20"/>
                <w:szCs w:val="20"/>
                <w:color w:val="auto"/>
              </w:rPr>
            </w:pPr>
            <w:r>
              <w:rPr>
                <w:rFonts w:ascii="Arial" w:cs="Arial" w:eastAsia="Arial" w:hAnsi="Arial"/>
                <w:sz w:val="13"/>
                <w:szCs w:val="13"/>
                <w:color w:val="auto"/>
              </w:rPr>
              <w:t>(7.2)</w:t>
            </w:r>
          </w:p>
        </w:tc>
        <w:tc>
          <w:tcPr>
            <w:tcW w:w="2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4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37,560</w:t>
            </w:r>
          </w:p>
        </w:tc>
        <w:tc>
          <w:tcPr>
            <w:tcW w:w="200" w:type="dxa"/>
            <w:vAlign w:val="bottom"/>
            <w:shd w:val="clear" w:color="auto" w:fill="CFF0FC"/>
          </w:tcPr>
          <w:p>
            <w:pPr>
              <w:spacing w:after="0"/>
              <w:rPr>
                <w:sz w:val="12"/>
                <w:szCs w:val="12"/>
                <w:color w:val="auto"/>
              </w:rPr>
            </w:pPr>
          </w:p>
        </w:tc>
        <w:tc>
          <w:tcPr>
            <w:tcW w:w="620" w:type="dxa"/>
            <w:vAlign w:val="bottom"/>
            <w:shd w:val="clear" w:color="auto" w:fill="CFF0FC"/>
          </w:tcPr>
          <w:p>
            <w:pPr>
              <w:spacing w:after="0"/>
              <w:rPr>
                <w:sz w:val="12"/>
                <w:szCs w:val="12"/>
                <w:color w:val="auto"/>
              </w:rPr>
            </w:pPr>
          </w:p>
        </w:tc>
        <w:tc>
          <w:tcPr>
            <w:tcW w:w="3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4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38,761</w:t>
            </w:r>
          </w:p>
        </w:tc>
        <w:tc>
          <w:tcPr>
            <w:tcW w:w="200" w:type="dxa"/>
            <w:vAlign w:val="bottom"/>
            <w:shd w:val="clear" w:color="auto" w:fill="CFF0FC"/>
          </w:tcPr>
          <w:p>
            <w:pPr>
              <w:spacing w:after="0"/>
              <w:rPr>
                <w:sz w:val="12"/>
                <w:szCs w:val="12"/>
                <w:color w:val="auto"/>
              </w:rPr>
            </w:pPr>
          </w:p>
        </w:tc>
        <w:tc>
          <w:tcPr>
            <w:tcW w:w="62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560" w:type="dxa"/>
            <w:vAlign w:val="bottom"/>
            <w:gridSpan w:val="2"/>
            <w:shd w:val="clear" w:color="auto" w:fill="CFF0FC"/>
          </w:tcPr>
          <w:p>
            <w:pPr>
              <w:jc w:val="right"/>
              <w:ind w:right="140"/>
              <w:spacing w:after="0"/>
              <w:rPr>
                <w:sz w:val="20"/>
                <w:szCs w:val="20"/>
                <w:color w:val="auto"/>
              </w:rPr>
            </w:pPr>
            <w:r>
              <w:rPr>
                <w:rFonts w:ascii="Arial" w:cs="Arial" w:eastAsia="Arial" w:hAnsi="Arial"/>
                <w:sz w:val="13"/>
                <w:szCs w:val="13"/>
                <w:color w:val="auto"/>
                <w:w w:val="97"/>
              </w:rPr>
              <w:t>(1,201)</w:t>
            </w:r>
          </w:p>
        </w:tc>
        <w:tc>
          <w:tcPr>
            <w:tcW w:w="120" w:type="dxa"/>
            <w:vAlign w:val="bottom"/>
            <w:shd w:val="clear" w:color="auto" w:fill="CFF0FC"/>
          </w:tcPr>
          <w:p>
            <w:pPr>
              <w:spacing w:after="0"/>
              <w:rPr>
                <w:sz w:val="12"/>
                <w:szCs w:val="12"/>
                <w:color w:val="auto"/>
              </w:rPr>
            </w:pPr>
          </w:p>
        </w:tc>
        <w:tc>
          <w:tcPr>
            <w:tcW w:w="400" w:type="dxa"/>
            <w:vAlign w:val="bottom"/>
            <w:gridSpan w:val="2"/>
            <w:shd w:val="clear" w:color="auto" w:fill="CFF0FC"/>
          </w:tcPr>
          <w:p>
            <w:pPr>
              <w:jc w:val="right"/>
              <w:ind w:right="40"/>
              <w:spacing w:after="0"/>
              <w:rPr>
                <w:sz w:val="20"/>
                <w:szCs w:val="20"/>
                <w:color w:val="auto"/>
              </w:rPr>
            </w:pPr>
            <w:r>
              <w:rPr>
                <w:rFonts w:ascii="Arial" w:cs="Arial" w:eastAsia="Arial" w:hAnsi="Arial"/>
                <w:sz w:val="13"/>
                <w:szCs w:val="13"/>
                <w:color w:val="auto"/>
              </w:rPr>
              <w:t>(3.1)</w:t>
            </w:r>
          </w:p>
        </w:tc>
        <w:tc>
          <w:tcPr>
            <w:tcW w:w="1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49"/>
        </w:trPr>
        <w:tc>
          <w:tcPr>
            <w:tcW w:w="1780" w:type="dxa"/>
            <w:vAlign w:val="bottom"/>
          </w:tcPr>
          <w:p>
            <w:pPr>
              <w:spacing w:after="0"/>
              <w:rPr>
                <w:sz w:val="20"/>
                <w:szCs w:val="20"/>
                <w:color w:val="auto"/>
              </w:rPr>
            </w:pPr>
            <w:r>
              <w:rPr>
                <w:rFonts w:ascii="Arial" w:cs="Arial" w:eastAsia="Arial" w:hAnsi="Arial"/>
                <w:sz w:val="13"/>
                <w:szCs w:val="13"/>
                <w:color w:val="auto"/>
              </w:rPr>
              <w:t xml:space="preserve">Billable hours * </w:t>
            </w:r>
            <w:r>
              <w:rPr>
                <w:rFonts w:ascii="Arial" w:cs="Arial" w:eastAsia="Arial" w:hAnsi="Arial"/>
                <w:sz w:val="10"/>
                <w:szCs w:val="10"/>
                <w:color w:val="auto"/>
              </w:rPr>
              <w:t>(2)</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jc w:val="right"/>
              <w:spacing w:after="0"/>
              <w:rPr>
                <w:sz w:val="20"/>
                <w:szCs w:val="20"/>
                <w:color w:val="auto"/>
              </w:rPr>
            </w:pPr>
            <w:r>
              <w:rPr>
                <w:rFonts w:ascii="Arial" w:cs="Arial" w:eastAsia="Arial" w:hAnsi="Arial"/>
                <w:sz w:val="13"/>
                <w:szCs w:val="13"/>
                <w:color w:val="auto"/>
              </w:rPr>
              <w:t>7,374</w:t>
            </w:r>
          </w:p>
        </w:tc>
        <w:tc>
          <w:tcPr>
            <w:tcW w:w="1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jc w:val="right"/>
              <w:spacing w:after="0"/>
              <w:rPr>
                <w:sz w:val="20"/>
                <w:szCs w:val="20"/>
                <w:color w:val="auto"/>
              </w:rPr>
            </w:pPr>
            <w:r>
              <w:rPr>
                <w:rFonts w:ascii="Arial" w:cs="Arial" w:eastAsia="Arial" w:hAnsi="Arial"/>
                <w:sz w:val="13"/>
                <w:szCs w:val="13"/>
                <w:color w:val="auto"/>
              </w:rPr>
              <w:t>7,269</w:t>
            </w:r>
          </w:p>
        </w:tc>
        <w:tc>
          <w:tcPr>
            <w:tcW w:w="1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80" w:type="dxa"/>
            <w:vAlign w:val="bottom"/>
          </w:tcPr>
          <w:p>
            <w:pPr>
              <w:jc w:val="right"/>
              <w:spacing w:after="0"/>
              <w:rPr>
                <w:sz w:val="20"/>
                <w:szCs w:val="20"/>
                <w:color w:val="auto"/>
              </w:rPr>
            </w:pPr>
            <w:r>
              <w:rPr>
                <w:rFonts w:ascii="Arial" w:cs="Arial" w:eastAsia="Arial" w:hAnsi="Arial"/>
                <w:sz w:val="13"/>
                <w:szCs w:val="13"/>
                <w:color w:val="auto"/>
              </w:rPr>
              <w:t>105</w:t>
            </w: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20" w:type="dxa"/>
            <w:vAlign w:val="bottom"/>
          </w:tcPr>
          <w:p>
            <w:pPr>
              <w:jc w:val="right"/>
              <w:spacing w:after="0"/>
              <w:rPr>
                <w:sz w:val="20"/>
                <w:szCs w:val="20"/>
                <w:color w:val="auto"/>
              </w:rPr>
            </w:pPr>
            <w:r>
              <w:rPr>
                <w:rFonts w:ascii="Arial" w:cs="Arial" w:eastAsia="Arial" w:hAnsi="Arial"/>
                <w:sz w:val="13"/>
                <w:szCs w:val="13"/>
                <w:color w:val="auto"/>
              </w:rPr>
              <w:t>1.4</w:t>
            </w:r>
          </w:p>
        </w:tc>
        <w:tc>
          <w:tcPr>
            <w:tcW w:w="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40" w:type="dxa"/>
            <w:vAlign w:val="bottom"/>
          </w:tcPr>
          <w:p>
            <w:pPr>
              <w:jc w:val="right"/>
              <w:spacing w:after="0"/>
              <w:rPr>
                <w:sz w:val="20"/>
                <w:szCs w:val="20"/>
                <w:color w:val="auto"/>
              </w:rPr>
            </w:pPr>
            <w:r>
              <w:rPr>
                <w:rFonts w:ascii="Arial" w:cs="Arial" w:eastAsia="Arial" w:hAnsi="Arial"/>
                <w:sz w:val="13"/>
                <w:szCs w:val="13"/>
                <w:color w:val="auto"/>
              </w:rPr>
              <w:t>15,048</w:t>
            </w:r>
          </w:p>
        </w:tc>
        <w:tc>
          <w:tcPr>
            <w:tcW w:w="2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40" w:type="dxa"/>
            <w:vAlign w:val="bottom"/>
          </w:tcPr>
          <w:p>
            <w:pPr>
              <w:jc w:val="right"/>
              <w:spacing w:after="0"/>
              <w:rPr>
                <w:sz w:val="20"/>
                <w:szCs w:val="20"/>
                <w:color w:val="auto"/>
              </w:rPr>
            </w:pPr>
            <w:r>
              <w:rPr>
                <w:rFonts w:ascii="Arial" w:cs="Arial" w:eastAsia="Arial" w:hAnsi="Arial"/>
                <w:sz w:val="13"/>
                <w:szCs w:val="13"/>
                <w:color w:val="auto"/>
              </w:rPr>
              <w:t>14,133</w:t>
            </w:r>
          </w:p>
        </w:tc>
        <w:tc>
          <w:tcPr>
            <w:tcW w:w="2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80" w:type="dxa"/>
            <w:vAlign w:val="bottom"/>
          </w:tcPr>
          <w:p>
            <w:pPr>
              <w:jc w:val="right"/>
              <w:spacing w:after="0"/>
              <w:rPr>
                <w:sz w:val="20"/>
                <w:szCs w:val="20"/>
                <w:color w:val="auto"/>
              </w:rPr>
            </w:pPr>
            <w:r>
              <w:rPr>
                <w:rFonts w:ascii="Arial" w:cs="Arial" w:eastAsia="Arial" w:hAnsi="Arial"/>
                <w:sz w:val="13"/>
                <w:szCs w:val="13"/>
                <w:color w:val="auto"/>
              </w:rPr>
              <w:t>915</w:t>
            </w: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20" w:type="dxa"/>
            <w:vAlign w:val="bottom"/>
          </w:tcPr>
          <w:p>
            <w:pPr>
              <w:jc w:val="right"/>
              <w:spacing w:after="0"/>
              <w:rPr>
                <w:sz w:val="20"/>
                <w:szCs w:val="20"/>
                <w:color w:val="auto"/>
              </w:rPr>
            </w:pPr>
            <w:r>
              <w:rPr>
                <w:rFonts w:ascii="Arial" w:cs="Arial" w:eastAsia="Arial" w:hAnsi="Arial"/>
                <w:sz w:val="13"/>
                <w:szCs w:val="13"/>
                <w:color w:val="auto"/>
              </w:rPr>
              <w:t>6.5</w:t>
            </w: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4"/>
        </w:trPr>
        <w:tc>
          <w:tcPr>
            <w:tcW w:w="1780" w:type="dxa"/>
            <w:vAlign w:val="bottom"/>
            <w:shd w:val="clear" w:color="auto" w:fill="CFF0FC"/>
          </w:tcPr>
          <w:p>
            <w:pPr>
              <w:spacing w:after="0" w:line="134" w:lineRule="exact"/>
              <w:rPr>
                <w:sz w:val="20"/>
                <w:szCs w:val="20"/>
                <w:color w:val="auto"/>
              </w:rPr>
            </w:pPr>
            <w:r>
              <w:rPr>
                <w:rFonts w:ascii="Arial" w:cs="Arial" w:eastAsia="Arial" w:hAnsi="Arial"/>
                <w:sz w:val="13"/>
                <w:szCs w:val="13"/>
                <w:color w:val="auto"/>
                <w:w w:val="89"/>
              </w:rPr>
              <w:t>Average billable hours per census</w:t>
            </w:r>
          </w:p>
        </w:tc>
        <w:tc>
          <w:tcPr>
            <w:tcW w:w="8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46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62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46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620" w:type="dxa"/>
            <w:vAlign w:val="bottom"/>
            <w:shd w:val="clear" w:color="auto" w:fill="CFF0FC"/>
          </w:tcPr>
          <w:p>
            <w:pPr>
              <w:spacing w:after="0"/>
              <w:rPr>
                <w:sz w:val="11"/>
                <w:szCs w:val="11"/>
                <w:color w:val="auto"/>
              </w:rPr>
            </w:pPr>
          </w:p>
        </w:tc>
        <w:tc>
          <w:tcPr>
            <w:tcW w:w="26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38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32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4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44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620" w:type="dxa"/>
            <w:vAlign w:val="bottom"/>
            <w:shd w:val="clear" w:color="auto" w:fill="CFF0FC"/>
          </w:tcPr>
          <w:p>
            <w:pPr>
              <w:spacing w:after="0"/>
              <w:rPr>
                <w:sz w:val="11"/>
                <w:szCs w:val="11"/>
                <w:color w:val="auto"/>
              </w:rPr>
            </w:pPr>
          </w:p>
        </w:tc>
        <w:tc>
          <w:tcPr>
            <w:tcW w:w="3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44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620" w:type="dxa"/>
            <w:vAlign w:val="bottom"/>
            <w:shd w:val="clear" w:color="auto" w:fill="CFF0FC"/>
          </w:tcPr>
          <w:p>
            <w:pPr>
              <w:spacing w:after="0"/>
              <w:rPr>
                <w:sz w:val="11"/>
                <w:szCs w:val="11"/>
                <w:color w:val="auto"/>
              </w:rPr>
            </w:pPr>
          </w:p>
        </w:tc>
        <w:tc>
          <w:tcPr>
            <w:tcW w:w="260" w:type="dxa"/>
            <w:vAlign w:val="bottom"/>
            <w:shd w:val="clear" w:color="auto" w:fill="CFF0FC"/>
          </w:tcPr>
          <w:p>
            <w:pPr>
              <w:spacing w:after="0"/>
              <w:rPr>
                <w:sz w:val="11"/>
                <w:szCs w:val="11"/>
                <w:color w:val="auto"/>
              </w:rPr>
            </w:pPr>
          </w:p>
        </w:tc>
        <w:tc>
          <w:tcPr>
            <w:tcW w:w="4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38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32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1780" w:type="dxa"/>
            <w:vAlign w:val="bottom"/>
            <w:shd w:val="clear" w:color="auto" w:fill="CFF0FC"/>
          </w:tcPr>
          <w:p>
            <w:pPr>
              <w:ind w:left="100"/>
              <w:spacing w:after="0"/>
              <w:rPr>
                <w:sz w:val="20"/>
                <w:szCs w:val="20"/>
                <w:color w:val="auto"/>
              </w:rPr>
            </w:pPr>
            <w:r>
              <w:rPr>
                <w:rFonts w:ascii="Arial" w:cs="Arial" w:eastAsia="Arial" w:hAnsi="Arial"/>
                <w:sz w:val="13"/>
                <w:szCs w:val="13"/>
                <w:color w:val="auto"/>
              </w:rPr>
              <w:t xml:space="preserve">per month * </w:t>
            </w:r>
            <w:r>
              <w:rPr>
                <w:rFonts w:ascii="Arial" w:cs="Arial" w:eastAsia="Arial" w:hAnsi="Arial"/>
                <w:sz w:val="10"/>
                <w:szCs w:val="10"/>
                <w:color w:val="auto"/>
              </w:rPr>
              <w:t>(2)</w:t>
            </w:r>
          </w:p>
        </w:tc>
        <w:tc>
          <w:tcPr>
            <w:tcW w:w="8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4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67.5</w:t>
            </w:r>
          </w:p>
        </w:tc>
        <w:tc>
          <w:tcPr>
            <w:tcW w:w="180" w:type="dxa"/>
            <w:vAlign w:val="bottom"/>
            <w:shd w:val="clear" w:color="auto" w:fill="CFF0FC"/>
          </w:tcPr>
          <w:p>
            <w:pPr>
              <w:spacing w:after="0"/>
              <w:rPr>
                <w:sz w:val="12"/>
                <w:szCs w:val="12"/>
                <w:color w:val="auto"/>
              </w:rPr>
            </w:pPr>
          </w:p>
        </w:tc>
        <w:tc>
          <w:tcPr>
            <w:tcW w:w="62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4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61.6</w:t>
            </w:r>
          </w:p>
        </w:tc>
        <w:tc>
          <w:tcPr>
            <w:tcW w:w="180" w:type="dxa"/>
            <w:vAlign w:val="bottom"/>
            <w:shd w:val="clear" w:color="auto" w:fill="CFF0FC"/>
          </w:tcPr>
          <w:p>
            <w:pPr>
              <w:spacing w:after="0"/>
              <w:rPr>
                <w:sz w:val="12"/>
                <w:szCs w:val="12"/>
                <w:color w:val="auto"/>
              </w:rPr>
            </w:pPr>
          </w:p>
        </w:tc>
        <w:tc>
          <w:tcPr>
            <w:tcW w:w="62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3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5.9</w:t>
            </w:r>
          </w:p>
        </w:tc>
        <w:tc>
          <w:tcPr>
            <w:tcW w:w="18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3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9.6</w:t>
            </w:r>
          </w:p>
        </w:tc>
        <w:tc>
          <w:tcPr>
            <w:tcW w:w="6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4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66.3</w:t>
            </w:r>
          </w:p>
        </w:tc>
        <w:tc>
          <w:tcPr>
            <w:tcW w:w="200" w:type="dxa"/>
            <w:vAlign w:val="bottom"/>
            <w:shd w:val="clear" w:color="auto" w:fill="CFF0FC"/>
          </w:tcPr>
          <w:p>
            <w:pPr>
              <w:spacing w:after="0"/>
              <w:rPr>
                <w:sz w:val="12"/>
                <w:szCs w:val="12"/>
                <w:color w:val="auto"/>
              </w:rPr>
            </w:pPr>
          </w:p>
        </w:tc>
        <w:tc>
          <w:tcPr>
            <w:tcW w:w="620" w:type="dxa"/>
            <w:vAlign w:val="bottom"/>
            <w:shd w:val="clear" w:color="auto" w:fill="CFF0FC"/>
          </w:tcPr>
          <w:p>
            <w:pPr>
              <w:spacing w:after="0"/>
              <w:rPr>
                <w:sz w:val="12"/>
                <w:szCs w:val="12"/>
                <w:color w:val="auto"/>
              </w:rPr>
            </w:pPr>
          </w:p>
        </w:tc>
        <w:tc>
          <w:tcPr>
            <w:tcW w:w="3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4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60.3</w:t>
            </w:r>
          </w:p>
        </w:tc>
        <w:tc>
          <w:tcPr>
            <w:tcW w:w="200" w:type="dxa"/>
            <w:vAlign w:val="bottom"/>
            <w:shd w:val="clear" w:color="auto" w:fill="CFF0FC"/>
          </w:tcPr>
          <w:p>
            <w:pPr>
              <w:spacing w:after="0"/>
              <w:rPr>
                <w:sz w:val="12"/>
                <w:szCs w:val="12"/>
                <w:color w:val="auto"/>
              </w:rPr>
            </w:pPr>
          </w:p>
        </w:tc>
        <w:tc>
          <w:tcPr>
            <w:tcW w:w="62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3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6.0</w:t>
            </w:r>
          </w:p>
        </w:tc>
        <w:tc>
          <w:tcPr>
            <w:tcW w:w="18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3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10.0</w:t>
            </w:r>
          </w:p>
        </w:tc>
        <w:tc>
          <w:tcPr>
            <w:tcW w:w="8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1780" w:type="dxa"/>
            <w:vAlign w:val="bottom"/>
          </w:tcPr>
          <w:p>
            <w:pPr>
              <w:spacing w:after="0" w:line="140" w:lineRule="exact"/>
              <w:rPr>
                <w:sz w:val="20"/>
                <w:szCs w:val="20"/>
                <w:color w:val="auto"/>
              </w:rPr>
            </w:pPr>
            <w:r>
              <w:rPr>
                <w:rFonts w:ascii="Arial" w:cs="Arial" w:eastAsia="Arial" w:hAnsi="Arial"/>
                <w:sz w:val="13"/>
                <w:szCs w:val="13"/>
                <w:color w:val="auto"/>
                <w:w w:val="93"/>
              </w:rPr>
              <w:t>Billable hours per business day *</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vMerge w:val="restart"/>
          </w:tcPr>
          <w:p>
            <w:pPr>
              <w:jc w:val="right"/>
              <w:spacing w:after="0"/>
              <w:rPr>
                <w:sz w:val="20"/>
                <w:szCs w:val="20"/>
                <w:color w:val="auto"/>
              </w:rPr>
            </w:pPr>
            <w:r>
              <w:rPr>
                <w:rFonts w:ascii="Arial" w:cs="Arial" w:eastAsia="Arial" w:hAnsi="Arial"/>
                <w:sz w:val="13"/>
                <w:szCs w:val="13"/>
                <w:color w:val="auto"/>
                <w:w w:val="89"/>
              </w:rPr>
              <w:t>113,447</w:t>
            </w:r>
          </w:p>
        </w:tc>
        <w:tc>
          <w:tcPr>
            <w:tcW w:w="1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vMerge w:val="restart"/>
          </w:tcPr>
          <w:p>
            <w:pPr>
              <w:jc w:val="right"/>
              <w:spacing w:after="0"/>
              <w:rPr>
                <w:sz w:val="20"/>
                <w:szCs w:val="20"/>
                <w:color w:val="auto"/>
              </w:rPr>
            </w:pPr>
            <w:r>
              <w:rPr>
                <w:rFonts w:ascii="Arial" w:cs="Arial" w:eastAsia="Arial" w:hAnsi="Arial"/>
                <w:sz w:val="13"/>
                <w:szCs w:val="13"/>
                <w:color w:val="auto"/>
                <w:w w:val="89"/>
              </w:rPr>
              <w:t>111,829</w:t>
            </w:r>
          </w:p>
        </w:tc>
        <w:tc>
          <w:tcPr>
            <w:tcW w:w="1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80" w:type="dxa"/>
            <w:vAlign w:val="bottom"/>
            <w:vMerge w:val="restart"/>
          </w:tcPr>
          <w:p>
            <w:pPr>
              <w:jc w:val="right"/>
              <w:spacing w:after="0"/>
              <w:rPr>
                <w:sz w:val="20"/>
                <w:szCs w:val="20"/>
                <w:color w:val="auto"/>
              </w:rPr>
            </w:pPr>
            <w:r>
              <w:rPr>
                <w:rFonts w:ascii="Arial" w:cs="Arial" w:eastAsia="Arial" w:hAnsi="Arial"/>
                <w:sz w:val="13"/>
                <w:szCs w:val="13"/>
                <w:color w:val="auto"/>
              </w:rPr>
              <w:t>1,618</w:t>
            </w: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20" w:type="dxa"/>
            <w:vAlign w:val="bottom"/>
            <w:vMerge w:val="restart"/>
          </w:tcPr>
          <w:p>
            <w:pPr>
              <w:jc w:val="right"/>
              <w:spacing w:after="0"/>
              <w:rPr>
                <w:sz w:val="20"/>
                <w:szCs w:val="20"/>
                <w:color w:val="auto"/>
              </w:rPr>
            </w:pPr>
            <w:r>
              <w:rPr>
                <w:rFonts w:ascii="Arial" w:cs="Arial" w:eastAsia="Arial" w:hAnsi="Arial"/>
                <w:sz w:val="13"/>
                <w:szCs w:val="13"/>
                <w:color w:val="auto"/>
              </w:rPr>
              <w:t>1.4</w:t>
            </w:r>
          </w:p>
        </w:tc>
        <w:tc>
          <w:tcPr>
            <w:tcW w:w="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40" w:type="dxa"/>
            <w:vAlign w:val="bottom"/>
            <w:vMerge w:val="restart"/>
          </w:tcPr>
          <w:p>
            <w:pPr>
              <w:jc w:val="right"/>
              <w:spacing w:after="0"/>
              <w:rPr>
                <w:sz w:val="20"/>
                <w:szCs w:val="20"/>
                <w:color w:val="auto"/>
              </w:rPr>
            </w:pPr>
            <w:r>
              <w:rPr>
                <w:rFonts w:ascii="Arial" w:cs="Arial" w:eastAsia="Arial" w:hAnsi="Arial"/>
                <w:sz w:val="13"/>
                <w:szCs w:val="13"/>
                <w:color w:val="auto"/>
                <w:w w:val="85"/>
              </w:rPr>
              <w:t>115,750</w:t>
            </w:r>
          </w:p>
        </w:tc>
        <w:tc>
          <w:tcPr>
            <w:tcW w:w="2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40" w:type="dxa"/>
            <w:vAlign w:val="bottom"/>
            <w:vMerge w:val="restart"/>
          </w:tcPr>
          <w:p>
            <w:pPr>
              <w:jc w:val="right"/>
              <w:spacing w:after="0"/>
              <w:rPr>
                <w:sz w:val="20"/>
                <w:szCs w:val="20"/>
                <w:color w:val="auto"/>
              </w:rPr>
            </w:pPr>
            <w:r>
              <w:rPr>
                <w:rFonts w:ascii="Arial" w:cs="Arial" w:eastAsia="Arial" w:hAnsi="Arial"/>
                <w:sz w:val="13"/>
                <w:szCs w:val="13"/>
                <w:color w:val="auto"/>
                <w:w w:val="85"/>
              </w:rPr>
              <w:t>109,557</w:t>
            </w:r>
          </w:p>
        </w:tc>
        <w:tc>
          <w:tcPr>
            <w:tcW w:w="2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80" w:type="dxa"/>
            <w:vAlign w:val="bottom"/>
            <w:vMerge w:val="restart"/>
          </w:tcPr>
          <w:p>
            <w:pPr>
              <w:jc w:val="right"/>
              <w:spacing w:after="0"/>
              <w:rPr>
                <w:sz w:val="20"/>
                <w:szCs w:val="20"/>
                <w:color w:val="auto"/>
              </w:rPr>
            </w:pPr>
            <w:r>
              <w:rPr>
                <w:rFonts w:ascii="Arial" w:cs="Arial" w:eastAsia="Arial" w:hAnsi="Arial"/>
                <w:sz w:val="13"/>
                <w:szCs w:val="13"/>
                <w:color w:val="auto"/>
              </w:rPr>
              <w:t>6,193</w:t>
            </w: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20" w:type="dxa"/>
            <w:vAlign w:val="bottom"/>
            <w:vMerge w:val="restart"/>
          </w:tcPr>
          <w:p>
            <w:pPr>
              <w:jc w:val="right"/>
              <w:spacing w:after="0"/>
              <w:rPr>
                <w:sz w:val="20"/>
                <w:szCs w:val="20"/>
                <w:color w:val="auto"/>
              </w:rPr>
            </w:pPr>
            <w:r>
              <w:rPr>
                <w:rFonts w:ascii="Arial" w:cs="Arial" w:eastAsia="Arial" w:hAnsi="Arial"/>
                <w:sz w:val="13"/>
                <w:szCs w:val="13"/>
                <w:color w:val="auto"/>
              </w:rPr>
              <w:t>5.7</w:t>
            </w: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1780" w:type="dxa"/>
            <w:vAlign w:val="bottom"/>
          </w:tcPr>
          <w:p>
            <w:pPr>
              <w:spacing w:after="0"/>
              <w:rPr>
                <w:sz w:val="20"/>
                <w:szCs w:val="20"/>
                <w:color w:val="auto"/>
              </w:rPr>
            </w:pPr>
            <w:r>
              <w:rPr>
                <w:rFonts w:ascii="Arial" w:cs="Arial" w:eastAsia="Arial" w:hAnsi="Arial"/>
                <w:sz w:val="11"/>
                <w:szCs w:val="11"/>
                <w:color w:val="auto"/>
              </w:rPr>
              <w:t>(2)</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vMerge w:val="continue"/>
          </w:tcPr>
          <w:p>
            <w:pPr>
              <w:spacing w:after="0"/>
              <w:rPr>
                <w:sz w:val="11"/>
                <w:szCs w:val="11"/>
                <w:color w:val="auto"/>
              </w:rPr>
            </w:pPr>
          </w:p>
        </w:tc>
        <w:tc>
          <w:tcPr>
            <w:tcW w:w="1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vMerge w:val="continue"/>
          </w:tcPr>
          <w:p>
            <w:pPr>
              <w:spacing w:after="0"/>
              <w:rPr>
                <w:sz w:val="11"/>
                <w:szCs w:val="11"/>
                <w:color w:val="auto"/>
              </w:rPr>
            </w:pPr>
          </w:p>
        </w:tc>
        <w:tc>
          <w:tcPr>
            <w:tcW w:w="1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80" w:type="dxa"/>
            <w:vAlign w:val="bottom"/>
            <w:vMerge w:val="continue"/>
          </w:tcPr>
          <w:p>
            <w:pPr>
              <w:spacing w:after="0"/>
              <w:rPr>
                <w:sz w:val="11"/>
                <w:szCs w:val="11"/>
                <w:color w:val="auto"/>
              </w:rPr>
            </w:pPr>
          </w:p>
        </w:tc>
        <w:tc>
          <w:tcPr>
            <w:tcW w:w="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20" w:type="dxa"/>
            <w:vAlign w:val="bottom"/>
            <w:vMerge w:val="continue"/>
          </w:tcPr>
          <w:p>
            <w:pPr>
              <w:spacing w:after="0"/>
              <w:rPr>
                <w:sz w:val="11"/>
                <w:szCs w:val="11"/>
                <w:color w:val="auto"/>
              </w:rPr>
            </w:pPr>
          </w:p>
        </w:tc>
        <w:tc>
          <w:tcPr>
            <w:tcW w:w="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40" w:type="dxa"/>
            <w:vAlign w:val="bottom"/>
            <w:vMerge w:val="continue"/>
          </w:tcPr>
          <w:p>
            <w:pPr>
              <w:spacing w:after="0"/>
              <w:rPr>
                <w:sz w:val="11"/>
                <w:szCs w:val="11"/>
                <w:color w:val="auto"/>
              </w:rPr>
            </w:pPr>
          </w:p>
        </w:tc>
        <w:tc>
          <w:tcPr>
            <w:tcW w:w="2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40" w:type="dxa"/>
            <w:vAlign w:val="bottom"/>
            <w:vMerge w:val="continue"/>
          </w:tcPr>
          <w:p>
            <w:pPr>
              <w:spacing w:after="0"/>
              <w:rPr>
                <w:sz w:val="11"/>
                <w:szCs w:val="11"/>
                <w:color w:val="auto"/>
              </w:rPr>
            </w:pPr>
          </w:p>
        </w:tc>
        <w:tc>
          <w:tcPr>
            <w:tcW w:w="2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80" w:type="dxa"/>
            <w:vAlign w:val="bottom"/>
            <w:vMerge w:val="continue"/>
          </w:tcPr>
          <w:p>
            <w:pPr>
              <w:spacing w:after="0"/>
              <w:rPr>
                <w:sz w:val="11"/>
                <w:szCs w:val="11"/>
                <w:color w:val="auto"/>
              </w:rPr>
            </w:pPr>
          </w:p>
        </w:tc>
        <w:tc>
          <w:tcPr>
            <w:tcW w:w="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20" w:type="dxa"/>
            <w:vAlign w:val="bottom"/>
            <w:vMerge w:val="continue"/>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1780" w:type="dxa"/>
            <w:vAlign w:val="bottom"/>
            <w:shd w:val="clear" w:color="auto" w:fill="CFF0FC"/>
          </w:tcPr>
          <w:p>
            <w:pPr>
              <w:spacing w:after="0"/>
              <w:rPr>
                <w:sz w:val="20"/>
                <w:szCs w:val="20"/>
                <w:color w:val="auto"/>
              </w:rPr>
            </w:pPr>
            <w:r>
              <w:rPr>
                <w:rFonts w:ascii="Arial" w:cs="Arial" w:eastAsia="Arial" w:hAnsi="Arial"/>
                <w:sz w:val="13"/>
                <w:szCs w:val="13"/>
                <w:color w:val="auto"/>
                <w:w w:val="98"/>
              </w:rPr>
              <w:t xml:space="preserve">Revenues per billable hour * </w:t>
            </w:r>
            <w:r>
              <w:rPr>
                <w:rFonts w:ascii="Arial" w:cs="Arial" w:eastAsia="Arial" w:hAnsi="Arial"/>
                <w:sz w:val="10"/>
                <w:szCs w:val="10"/>
                <w:color w:val="auto"/>
                <w:w w:val="98"/>
              </w:rPr>
              <w:t>(2)</w:t>
            </w:r>
          </w:p>
        </w:tc>
        <w:tc>
          <w:tcPr>
            <w:tcW w:w="160" w:type="dxa"/>
            <w:vAlign w:val="bottom"/>
            <w:gridSpan w:val="2"/>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4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21.14</w:t>
            </w:r>
          </w:p>
        </w:tc>
        <w:tc>
          <w:tcPr>
            <w:tcW w:w="180" w:type="dxa"/>
            <w:vAlign w:val="bottom"/>
            <w:shd w:val="clear" w:color="auto" w:fill="CFF0FC"/>
          </w:tcPr>
          <w:p>
            <w:pPr>
              <w:spacing w:after="0"/>
              <w:rPr>
                <w:sz w:val="12"/>
                <w:szCs w:val="12"/>
                <w:color w:val="auto"/>
              </w:rPr>
            </w:pPr>
          </w:p>
        </w:tc>
        <w:tc>
          <w:tcPr>
            <w:tcW w:w="62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160" w:type="dxa"/>
            <w:vAlign w:val="bottom"/>
            <w:gridSpan w:val="2"/>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4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18.91</w:t>
            </w:r>
          </w:p>
        </w:tc>
        <w:tc>
          <w:tcPr>
            <w:tcW w:w="180" w:type="dxa"/>
            <w:vAlign w:val="bottom"/>
            <w:shd w:val="clear" w:color="auto" w:fill="CFF0FC"/>
          </w:tcPr>
          <w:p>
            <w:pPr>
              <w:spacing w:after="0"/>
              <w:rPr>
                <w:sz w:val="12"/>
                <w:szCs w:val="12"/>
                <w:color w:val="auto"/>
              </w:rPr>
            </w:pPr>
          </w:p>
        </w:tc>
        <w:tc>
          <w:tcPr>
            <w:tcW w:w="62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160" w:type="dxa"/>
            <w:vAlign w:val="bottom"/>
            <w:gridSpan w:val="2"/>
            <w:shd w:val="clear" w:color="auto" w:fill="CFF0FC"/>
          </w:tcPr>
          <w:p>
            <w:pPr>
              <w:ind w:left="60"/>
              <w:spacing w:after="0"/>
              <w:rPr>
                <w:sz w:val="20"/>
                <w:szCs w:val="20"/>
                <w:color w:val="auto"/>
              </w:rPr>
            </w:pPr>
            <w:r>
              <w:rPr>
                <w:rFonts w:ascii="Arial" w:cs="Arial" w:eastAsia="Arial" w:hAnsi="Arial"/>
                <w:sz w:val="13"/>
                <w:szCs w:val="13"/>
                <w:color w:val="auto"/>
              </w:rPr>
              <w:t>$</w:t>
            </w:r>
          </w:p>
        </w:tc>
        <w:tc>
          <w:tcPr>
            <w:tcW w:w="3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2.23</w:t>
            </w:r>
          </w:p>
        </w:tc>
        <w:tc>
          <w:tcPr>
            <w:tcW w:w="18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3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11.8</w:t>
            </w:r>
          </w:p>
        </w:tc>
        <w:tc>
          <w:tcPr>
            <w:tcW w:w="60" w:type="dxa"/>
            <w:vAlign w:val="bottom"/>
            <w:shd w:val="clear" w:color="auto" w:fill="CFF0FC"/>
          </w:tcPr>
          <w:p>
            <w:pPr>
              <w:spacing w:after="0"/>
              <w:rPr>
                <w:sz w:val="12"/>
                <w:szCs w:val="12"/>
                <w:color w:val="auto"/>
              </w:rPr>
            </w:pPr>
          </w:p>
        </w:tc>
        <w:tc>
          <w:tcPr>
            <w:tcW w:w="2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140" w:type="dxa"/>
            <w:vAlign w:val="bottom"/>
            <w:gridSpan w:val="2"/>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4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21.01</w:t>
            </w:r>
          </w:p>
        </w:tc>
        <w:tc>
          <w:tcPr>
            <w:tcW w:w="200" w:type="dxa"/>
            <w:vAlign w:val="bottom"/>
            <w:shd w:val="clear" w:color="auto" w:fill="CFF0FC"/>
          </w:tcPr>
          <w:p>
            <w:pPr>
              <w:spacing w:after="0"/>
              <w:rPr>
                <w:sz w:val="12"/>
                <w:szCs w:val="12"/>
                <w:color w:val="auto"/>
              </w:rPr>
            </w:pPr>
          </w:p>
        </w:tc>
        <w:tc>
          <w:tcPr>
            <w:tcW w:w="620" w:type="dxa"/>
            <w:vAlign w:val="bottom"/>
            <w:shd w:val="clear" w:color="auto" w:fill="CFF0FC"/>
          </w:tcPr>
          <w:p>
            <w:pPr>
              <w:spacing w:after="0"/>
              <w:rPr>
                <w:sz w:val="12"/>
                <w:szCs w:val="12"/>
                <w:color w:val="auto"/>
              </w:rPr>
            </w:pPr>
          </w:p>
        </w:tc>
        <w:tc>
          <w:tcPr>
            <w:tcW w:w="300" w:type="dxa"/>
            <w:vAlign w:val="bottom"/>
            <w:shd w:val="clear" w:color="auto" w:fill="CFF0FC"/>
          </w:tcPr>
          <w:p>
            <w:pPr>
              <w:spacing w:after="0"/>
              <w:rPr>
                <w:sz w:val="12"/>
                <w:szCs w:val="12"/>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0"/>
                <w:szCs w:val="10"/>
                <w:color w:val="auto"/>
                <w:w w:val="71"/>
              </w:rPr>
              <w:t>$</w:t>
            </w:r>
          </w:p>
        </w:tc>
        <w:tc>
          <w:tcPr>
            <w:tcW w:w="4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18.78</w:t>
            </w:r>
          </w:p>
        </w:tc>
        <w:tc>
          <w:tcPr>
            <w:tcW w:w="200" w:type="dxa"/>
            <w:vAlign w:val="bottom"/>
            <w:shd w:val="clear" w:color="auto" w:fill="CFF0FC"/>
          </w:tcPr>
          <w:p>
            <w:pPr>
              <w:spacing w:after="0"/>
              <w:rPr>
                <w:sz w:val="12"/>
                <w:szCs w:val="12"/>
                <w:color w:val="auto"/>
              </w:rPr>
            </w:pPr>
          </w:p>
        </w:tc>
        <w:tc>
          <w:tcPr>
            <w:tcW w:w="62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140" w:type="dxa"/>
            <w:vAlign w:val="bottom"/>
            <w:gridSpan w:val="2"/>
            <w:shd w:val="clear" w:color="auto" w:fill="CFF0FC"/>
          </w:tcPr>
          <w:p>
            <w:pPr>
              <w:ind w:left="40"/>
              <w:spacing w:after="0"/>
              <w:rPr>
                <w:sz w:val="20"/>
                <w:szCs w:val="20"/>
                <w:color w:val="auto"/>
              </w:rPr>
            </w:pPr>
            <w:r>
              <w:rPr>
                <w:rFonts w:ascii="Arial" w:cs="Arial" w:eastAsia="Arial" w:hAnsi="Arial"/>
                <w:sz w:val="13"/>
                <w:szCs w:val="13"/>
                <w:color w:val="auto"/>
              </w:rPr>
              <w:t>$</w:t>
            </w:r>
          </w:p>
        </w:tc>
        <w:tc>
          <w:tcPr>
            <w:tcW w:w="3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2.23</w:t>
            </w:r>
          </w:p>
        </w:tc>
        <w:tc>
          <w:tcPr>
            <w:tcW w:w="18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3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11.9</w:t>
            </w:r>
          </w:p>
        </w:tc>
        <w:tc>
          <w:tcPr>
            <w:tcW w:w="80" w:type="dxa"/>
            <w:vAlign w:val="bottom"/>
            <w:shd w:val="clear" w:color="auto" w:fill="CFF0FC"/>
          </w:tcPr>
          <w:p>
            <w:pPr>
              <w:spacing w:after="0"/>
              <w:rPr>
                <w:sz w:val="12"/>
                <w:szCs w:val="12"/>
                <w:color w:val="auto"/>
              </w:rPr>
            </w:pPr>
          </w:p>
        </w:tc>
        <w:tc>
          <w:tcPr>
            <w:tcW w:w="1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40"/>
        </w:trPr>
        <w:tc>
          <w:tcPr>
            <w:tcW w:w="1780" w:type="dxa"/>
            <w:vAlign w:val="bottom"/>
          </w:tcPr>
          <w:p>
            <w:pPr>
              <w:spacing w:after="0" w:line="140" w:lineRule="exact"/>
              <w:rPr>
                <w:sz w:val="20"/>
                <w:szCs w:val="20"/>
                <w:color w:val="auto"/>
              </w:rPr>
            </w:pPr>
            <w:r>
              <w:rPr>
                <w:rFonts w:ascii="Arial" w:cs="Arial" w:eastAsia="Arial" w:hAnsi="Arial"/>
                <w:sz w:val="13"/>
                <w:szCs w:val="13"/>
                <w:color w:val="auto"/>
                <w:w w:val="95"/>
              </w:rPr>
              <w:t>Same store growth revenue % *</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vMerge w:val="restart"/>
          </w:tcPr>
          <w:p>
            <w:pPr>
              <w:jc w:val="right"/>
              <w:spacing w:after="0"/>
              <w:rPr>
                <w:sz w:val="20"/>
                <w:szCs w:val="20"/>
                <w:color w:val="auto"/>
              </w:rPr>
            </w:pPr>
            <w:r>
              <w:rPr>
                <w:rFonts w:ascii="Arial" w:cs="Arial" w:eastAsia="Arial" w:hAnsi="Arial"/>
                <w:sz w:val="13"/>
                <w:szCs w:val="13"/>
                <w:color w:val="auto"/>
              </w:rPr>
              <w:t>9.7</w:t>
            </w:r>
          </w:p>
        </w:tc>
        <w:tc>
          <w:tcPr>
            <w:tcW w:w="1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vMerge w:val="restart"/>
          </w:tcPr>
          <w:p>
            <w:pPr>
              <w:jc w:val="right"/>
              <w:spacing w:after="0"/>
              <w:rPr>
                <w:sz w:val="20"/>
                <w:szCs w:val="20"/>
                <w:color w:val="auto"/>
              </w:rPr>
            </w:pPr>
            <w:r>
              <w:rPr>
                <w:rFonts w:ascii="Arial" w:cs="Arial" w:eastAsia="Arial" w:hAnsi="Arial"/>
                <w:sz w:val="13"/>
                <w:szCs w:val="13"/>
                <w:color w:val="auto"/>
              </w:rPr>
              <w:t>5.8</w:t>
            </w:r>
          </w:p>
        </w:tc>
        <w:tc>
          <w:tcPr>
            <w:tcW w:w="1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40" w:type="dxa"/>
            <w:vAlign w:val="bottom"/>
            <w:vMerge w:val="restart"/>
          </w:tcPr>
          <w:p>
            <w:pPr>
              <w:jc w:val="right"/>
              <w:spacing w:after="0"/>
              <w:rPr>
                <w:sz w:val="20"/>
                <w:szCs w:val="20"/>
                <w:color w:val="auto"/>
              </w:rPr>
            </w:pPr>
            <w:r>
              <w:rPr>
                <w:rFonts w:ascii="Arial" w:cs="Arial" w:eastAsia="Arial" w:hAnsi="Arial"/>
                <w:sz w:val="13"/>
                <w:szCs w:val="13"/>
                <w:color w:val="auto"/>
              </w:rPr>
              <w:t>11.8</w:t>
            </w:r>
          </w:p>
        </w:tc>
        <w:tc>
          <w:tcPr>
            <w:tcW w:w="2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40" w:type="dxa"/>
            <w:vAlign w:val="bottom"/>
            <w:vMerge w:val="restart"/>
          </w:tcPr>
          <w:p>
            <w:pPr>
              <w:jc w:val="right"/>
              <w:spacing w:after="0"/>
              <w:rPr>
                <w:sz w:val="20"/>
                <w:szCs w:val="20"/>
                <w:color w:val="auto"/>
              </w:rPr>
            </w:pPr>
            <w:r>
              <w:rPr>
                <w:rFonts w:ascii="Arial" w:cs="Arial" w:eastAsia="Arial" w:hAnsi="Arial"/>
                <w:sz w:val="13"/>
                <w:szCs w:val="13"/>
                <w:color w:val="auto"/>
              </w:rPr>
              <w:t>5.7</w:t>
            </w:r>
          </w:p>
        </w:tc>
        <w:tc>
          <w:tcPr>
            <w:tcW w:w="2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1"/>
        </w:trPr>
        <w:tc>
          <w:tcPr>
            <w:tcW w:w="1780" w:type="dxa"/>
            <w:vAlign w:val="bottom"/>
          </w:tcPr>
          <w:p>
            <w:pPr>
              <w:spacing w:after="0"/>
              <w:rPr>
                <w:sz w:val="20"/>
                <w:szCs w:val="20"/>
                <w:color w:val="auto"/>
              </w:rPr>
            </w:pPr>
            <w:r>
              <w:rPr>
                <w:rFonts w:ascii="Arial" w:cs="Arial" w:eastAsia="Arial" w:hAnsi="Arial"/>
                <w:sz w:val="11"/>
                <w:szCs w:val="11"/>
                <w:color w:val="auto"/>
              </w:rPr>
              <w:t>(3)</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vMerge w:val="continue"/>
          </w:tcPr>
          <w:p>
            <w:pPr>
              <w:spacing w:after="0"/>
              <w:rPr>
                <w:sz w:val="12"/>
                <w:szCs w:val="12"/>
                <w:color w:val="auto"/>
              </w:rPr>
            </w:pPr>
          </w:p>
        </w:tc>
        <w:tc>
          <w:tcPr>
            <w:tcW w:w="1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vMerge w:val="continue"/>
          </w:tcPr>
          <w:p>
            <w:pPr>
              <w:spacing w:after="0"/>
              <w:rPr>
                <w:sz w:val="12"/>
                <w:szCs w:val="12"/>
                <w:color w:val="auto"/>
              </w:rPr>
            </w:pPr>
          </w:p>
        </w:tc>
        <w:tc>
          <w:tcPr>
            <w:tcW w:w="1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40" w:type="dxa"/>
            <w:vAlign w:val="bottom"/>
            <w:vMerge w:val="continue"/>
          </w:tcPr>
          <w:p>
            <w:pPr>
              <w:spacing w:after="0"/>
              <w:rPr>
                <w:sz w:val="12"/>
                <w:szCs w:val="12"/>
                <w:color w:val="auto"/>
              </w:rPr>
            </w:pPr>
          </w:p>
        </w:tc>
        <w:tc>
          <w:tcPr>
            <w:tcW w:w="2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40" w:type="dxa"/>
            <w:vAlign w:val="bottom"/>
            <w:vMerge w:val="continue"/>
          </w:tcPr>
          <w:p>
            <w:pPr>
              <w:spacing w:after="0"/>
              <w:rPr>
                <w:sz w:val="12"/>
                <w:szCs w:val="12"/>
                <w:color w:val="auto"/>
              </w:rPr>
            </w:pPr>
          </w:p>
        </w:tc>
        <w:tc>
          <w:tcPr>
            <w:tcW w:w="2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bl>
    <w:p>
      <w:pPr>
        <w:spacing w:after="0" w:line="182" w:lineRule="exact"/>
        <w:rPr>
          <w:sz w:val="20"/>
          <w:szCs w:val="20"/>
          <w:color w:val="auto"/>
        </w:rPr>
      </w:pPr>
    </w:p>
    <w:p>
      <w:pPr>
        <w:ind w:left="480" w:right="140" w:hanging="472"/>
        <w:spacing w:after="0" w:line="293" w:lineRule="auto"/>
        <w:tabs>
          <w:tab w:leader="none" w:pos="480" w:val="left"/>
        </w:tabs>
        <w:numPr>
          <w:ilvl w:val="0"/>
          <w:numId w:val="7"/>
        </w:numPr>
        <w:rPr>
          <w:rFonts w:ascii="Arial" w:cs="Arial" w:eastAsia="Arial" w:hAnsi="Arial"/>
          <w:sz w:val="16"/>
          <w:szCs w:val="16"/>
          <w:color w:val="auto"/>
        </w:rPr>
      </w:pPr>
      <w:r>
        <w:rPr>
          <w:rFonts w:ascii="Arial" w:cs="Arial" w:eastAsia="Arial" w:hAnsi="Arial"/>
          <w:sz w:val="16"/>
          <w:szCs w:val="16"/>
          <w:color w:val="auto"/>
        </w:rPr>
        <w:t>Average billable census is the number of unique clients receiving a billable service during the year and is the total census divided by months in operation during the period.</w:t>
      </w:r>
    </w:p>
    <w:p>
      <w:pPr>
        <w:spacing w:after="0" w:line="23" w:lineRule="exact"/>
        <w:rPr>
          <w:rFonts w:ascii="Arial" w:cs="Arial" w:eastAsia="Arial" w:hAnsi="Arial"/>
          <w:sz w:val="16"/>
          <w:szCs w:val="16"/>
          <w:color w:val="auto"/>
        </w:rPr>
      </w:pPr>
    </w:p>
    <w:p>
      <w:pPr>
        <w:ind w:left="480" w:right="60" w:hanging="472"/>
        <w:spacing w:after="0" w:line="278" w:lineRule="auto"/>
        <w:tabs>
          <w:tab w:leader="none" w:pos="480" w:val="left"/>
        </w:tabs>
        <w:numPr>
          <w:ilvl w:val="0"/>
          <w:numId w:val="7"/>
        </w:numPr>
        <w:rPr>
          <w:rFonts w:ascii="Arial" w:cs="Arial" w:eastAsia="Arial" w:hAnsi="Arial"/>
          <w:sz w:val="16"/>
          <w:szCs w:val="16"/>
          <w:color w:val="auto"/>
        </w:rPr>
      </w:pPr>
      <w:r>
        <w:rPr>
          <w:rFonts w:ascii="Arial" w:cs="Arial" w:eastAsia="Arial" w:hAnsi="Arial"/>
          <w:sz w:val="16"/>
          <w:szCs w:val="16"/>
          <w:color w:val="auto"/>
        </w:rPr>
        <w:t>Billable hours is the total number of hours served to clients during the period. Average billable hours per census per month is billable hours divided by average billable census. Billable hours per day is total billable hours divided by the number of business days in the period. Revenues per billable hour is revenue attributed to billable hours divided by billable hours.</w:t>
      </w:r>
    </w:p>
    <w:p>
      <w:pPr>
        <w:spacing w:after="0" w:line="35" w:lineRule="exact"/>
        <w:rPr>
          <w:rFonts w:ascii="Arial" w:cs="Arial" w:eastAsia="Arial" w:hAnsi="Arial"/>
          <w:sz w:val="16"/>
          <w:szCs w:val="16"/>
          <w:color w:val="auto"/>
        </w:rPr>
      </w:pPr>
    </w:p>
    <w:p>
      <w:pPr>
        <w:ind w:left="480" w:right="460" w:hanging="472"/>
        <w:spacing w:after="0" w:line="352" w:lineRule="auto"/>
        <w:tabs>
          <w:tab w:leader="none" w:pos="480" w:val="left"/>
        </w:tabs>
        <w:numPr>
          <w:ilvl w:val="0"/>
          <w:numId w:val="7"/>
        </w:numPr>
        <w:rPr>
          <w:rFonts w:ascii="Arial" w:cs="Arial" w:eastAsia="Arial" w:hAnsi="Arial"/>
          <w:sz w:val="14"/>
          <w:szCs w:val="14"/>
          <w:color w:val="auto"/>
        </w:rPr>
      </w:pPr>
      <w:r>
        <w:rPr>
          <w:rFonts w:ascii="Arial" w:cs="Arial" w:eastAsia="Arial" w:hAnsi="Arial"/>
          <w:sz w:val="14"/>
          <w:szCs w:val="14"/>
          <w:color w:val="auto"/>
        </w:rPr>
        <w:t>Same store growth reflects the change in year-over-year revenue for the same store base. We define the same store base to include those stores open for at least 52 full weeks. This measure highlights the performance of existing stores, while excluding the impact of acquisitions, new store openings and closures.</w:t>
      </w:r>
    </w:p>
    <w:p>
      <w:pPr>
        <w:ind w:left="480" w:right="40" w:hanging="472"/>
        <w:spacing w:after="0" w:line="268" w:lineRule="auto"/>
        <w:tabs>
          <w:tab w:leader="none" w:pos="480" w:val="left"/>
        </w:tabs>
        <w:numPr>
          <w:ilvl w:val="0"/>
          <w:numId w:val="8"/>
        </w:numPr>
        <w:rPr>
          <w:rFonts w:ascii="Arial" w:cs="Arial" w:eastAsia="Arial" w:hAnsi="Arial"/>
          <w:sz w:val="16"/>
          <w:szCs w:val="16"/>
          <w:color w:val="auto"/>
        </w:rPr>
      </w:pPr>
      <w:r>
        <w:rPr>
          <w:rFonts w:ascii="Arial" w:cs="Arial" w:eastAsia="Arial" w:hAnsi="Arial"/>
          <w:sz w:val="16"/>
          <w:szCs w:val="16"/>
          <w:color w:val="auto"/>
        </w:rPr>
        <w:t>Management deems these metrics to be key performance indicators. Management uses these metrics to monitor our performance, both in our existing operations and acquisitions. Many of these metrics serve as the basis of reported revenues and assessment of these, provide direct correlation to the results of operations from period to period and facilitate comparison with the results of our peers. Historical trends established in these metrics can be used to evaluate current operating results, identify trends affecting our business, determine the allocation of resources and assess the quality and potential variability of our cash flows and earnings. We believe they are useful to investors in evaluating and understanding our business but should not be used solely in assessing the Company’s performance. These key performance indicators should not be considered superior to, as a substitute for or as an alternative to, and should be considered in conjunction with, the GAAP financial measures presented herein to fully evaluate and understand the business as a whole. These measures may not be comparable to similarly-titled performance indicators used by other companies.</w:t>
      </w:r>
    </w:p>
    <w:p>
      <w:pPr>
        <w:spacing w:after="0" w:line="134" w:lineRule="exact"/>
        <w:rPr>
          <w:sz w:val="20"/>
          <w:szCs w:val="20"/>
          <w:color w:val="auto"/>
        </w:rPr>
      </w:pPr>
    </w:p>
    <w:p>
      <w:pPr>
        <w:ind w:right="20" w:firstLine="476"/>
        <w:spacing w:after="0" w:line="272" w:lineRule="auto"/>
        <w:rPr>
          <w:sz w:val="20"/>
          <w:szCs w:val="20"/>
          <w:color w:val="auto"/>
        </w:rPr>
      </w:pPr>
      <w:r>
        <w:rPr>
          <w:rFonts w:ascii="Arial" w:cs="Arial" w:eastAsia="Arial" w:hAnsi="Arial"/>
          <w:sz w:val="17"/>
          <w:szCs w:val="17"/>
          <w:color w:val="auto"/>
        </w:rPr>
        <w:t>Net service revenues from state, local and other governmental programs accounted for 50.0% and 54.2% of net service revenues for the three months ended June 30, 2020 and 2019, respectively, and 49.7% and 55.1% of net service revenues for the six months ended June 30, 2020 and 2019, respectively. Managed care organizations accounted for 44.3% and 39.2% of net service revenues for the three months ended June 30, 2020 and 2019, and 44.6% and 38.3% of net service revenues for the six months ended June 30, 2020 and 2019, respectively, with commercial insurance, private pay and other payors accounting for the remainder of net service revenues. One payor client, the Illinois Department on Aging, accounted for 23.2% and 27.6% of net service revenues for the three months ended June 30, 2020 and 2019, respectively, and accounted for 23.2% and 28.3% of net service revenues for the six months ended June 30, 2020 and 2019, respectively.</w:t>
      </w:r>
    </w:p>
    <w:p>
      <w:pPr>
        <w:spacing w:after="0" w:line="123" w:lineRule="exact"/>
        <w:rPr>
          <w:sz w:val="20"/>
          <w:szCs w:val="20"/>
          <w:color w:val="auto"/>
        </w:rPr>
      </w:pPr>
    </w:p>
    <w:p>
      <w:pPr>
        <w:ind w:firstLine="476"/>
        <w:spacing w:after="0" w:line="271" w:lineRule="auto"/>
        <w:rPr>
          <w:sz w:val="20"/>
          <w:szCs w:val="20"/>
          <w:color w:val="auto"/>
        </w:rPr>
      </w:pPr>
      <w:r>
        <w:rPr>
          <w:rFonts w:ascii="Arial" w:cs="Arial" w:eastAsia="Arial" w:hAnsi="Arial"/>
          <w:sz w:val="17"/>
          <w:szCs w:val="17"/>
          <w:color w:val="auto"/>
        </w:rPr>
        <w:t>Net service revenues increased by 13.7% for the three months ended June 30, 2020 compared to the three months ended June 30, 2019. Net service revenues increased primarily as a result of an increase in same store growth of 9.7% and an increase in revenues per billable hour of 11.8%, partially offset by a decrease in average billable census of 7.2% for the three months ended June 30, 2020 as compared to the three months ended June 30, 2019. Net service revenues increased by 19.4% for the six months ended June 30, 2020 compared to the six months ended June 30, 2019. Net service revenues increased primarily due to a result of an increase in same store growth of 11.8%, an increase in billable hours of 6.5% and an 11.9% increase in revenues per billable hour, partially offset by a decrease in average billable census of 3.1% for the six months ended June 30, 2020 compared to the six months ended June 30, 2019. Revenue per billable hours increased for the three and six months ended June 30, 2020 compared to June 30, 2019, mainly attributed to rate increases discussed above.</w:t>
      </w:r>
    </w:p>
    <w:p>
      <w:pPr>
        <w:spacing w:after="0" w:line="18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223520</wp:posOffset>
            </wp:positionV>
            <wp:extent cx="7132320"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0" w:name="page31"/>
    <w:bookmarkEnd w:id="30"/>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91" w:lineRule="exact"/>
        <w:rPr>
          <w:sz w:val="20"/>
          <w:szCs w:val="20"/>
          <w:color w:val="auto"/>
        </w:rPr>
      </w:pPr>
    </w:p>
    <w:p>
      <w:pPr>
        <w:ind w:right="80" w:firstLine="476"/>
        <w:spacing w:after="0" w:line="296" w:lineRule="auto"/>
        <w:rPr>
          <w:sz w:val="20"/>
          <w:szCs w:val="20"/>
          <w:color w:val="auto"/>
        </w:rPr>
      </w:pPr>
      <w:r>
        <w:rPr>
          <w:rFonts w:ascii="Arial" w:cs="Arial" w:eastAsia="Arial" w:hAnsi="Arial"/>
          <w:sz w:val="16"/>
          <w:szCs w:val="16"/>
          <w:color w:val="auto"/>
        </w:rPr>
        <w:t>Gross profit, expressed as a percentage of net service revenues, increased to 25.9% for the three months ended June 30, 2020 from 25.2% for the three months ended June 30, 2019 and from 25.9% for the six months ended June 30, 2020 to 25.1% for the six months ended June 30, 2019. This increase was primarily due to a decrease in direct payroll as a percentage of net service revenues of 1.0% for the three months ended June 30, 2020 as compared to the three months ended June 30, 2019. For the six months ended June 30, 2020, the increase was due to a decrease of direct service costs associated with salaries of 1.4% as a percentage of net service revenues compared to the six months ended June 30, 2019.</w:t>
      </w:r>
    </w:p>
    <w:p>
      <w:pPr>
        <w:spacing w:after="0" w:line="107" w:lineRule="exact"/>
        <w:rPr>
          <w:sz w:val="20"/>
          <w:szCs w:val="20"/>
          <w:color w:val="auto"/>
        </w:rPr>
      </w:pPr>
    </w:p>
    <w:p>
      <w:pPr>
        <w:ind w:right="20" w:firstLine="476"/>
        <w:spacing w:after="0" w:line="259" w:lineRule="auto"/>
        <w:rPr>
          <w:sz w:val="20"/>
          <w:szCs w:val="20"/>
          <w:color w:val="auto"/>
        </w:rPr>
      </w:pPr>
      <w:r>
        <w:rPr>
          <w:rFonts w:ascii="Arial" w:cs="Arial" w:eastAsia="Arial" w:hAnsi="Arial"/>
          <w:sz w:val="18"/>
          <w:szCs w:val="18"/>
          <w:color w:val="auto"/>
        </w:rPr>
        <w:t>General and administrative expenses increased by approximately $1.8 million and $4.9 million for the three and six months ended June 30, 2020, respectively. The increase in general and administrative expenses was primarily due to acquisitions that resulted in a $1.8 million and $4.0 million increase in administrative employee wages, taxes and benefit costs and a $0.2 million and $0.4 million increase in rent expenses for the three months ended June 30, 2020, respectively.</w:t>
      </w:r>
    </w:p>
    <w:p>
      <w:pPr>
        <w:spacing w:after="0" w:line="20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Hospice Segment</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53"/>
        </w:trPr>
        <w:tc>
          <w:tcPr>
            <w:tcW w:w="18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44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2480" w:type="dxa"/>
            <w:vAlign w:val="bottom"/>
            <w:tcBorders>
              <w:bottom w:val="single" w:sz="8" w:color="auto"/>
            </w:tcBorders>
            <w:gridSpan w:val="8"/>
          </w:tcPr>
          <w:p>
            <w:pPr>
              <w:jc w:val="center"/>
              <w:ind w:left="377"/>
              <w:spacing w:after="0"/>
              <w:rPr>
                <w:sz w:val="20"/>
                <w:szCs w:val="20"/>
                <w:color w:val="auto"/>
              </w:rPr>
            </w:pPr>
            <w:r>
              <w:rPr>
                <w:rFonts w:ascii="Arial" w:cs="Arial" w:eastAsia="Arial" w:hAnsi="Arial"/>
                <w:sz w:val="13"/>
                <w:szCs w:val="13"/>
                <w:b w:val="1"/>
                <w:bCs w:val="1"/>
                <w:color w:val="auto"/>
                <w:w w:val="87"/>
              </w:rPr>
              <w:t>For the Three Months Ended June 30,</w:t>
            </w:r>
          </w:p>
        </w:tc>
        <w:tc>
          <w:tcPr>
            <w:tcW w:w="2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46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44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2560" w:type="dxa"/>
            <w:vAlign w:val="bottom"/>
            <w:tcBorders>
              <w:bottom w:val="single" w:sz="8" w:color="auto"/>
            </w:tcBorders>
            <w:gridSpan w:val="8"/>
          </w:tcPr>
          <w:p>
            <w:pPr>
              <w:jc w:val="center"/>
              <w:ind w:left="357"/>
              <w:spacing w:after="0"/>
              <w:rPr>
                <w:sz w:val="20"/>
                <w:szCs w:val="20"/>
                <w:color w:val="auto"/>
              </w:rPr>
            </w:pPr>
            <w:r>
              <w:rPr>
                <w:rFonts w:ascii="Arial" w:cs="Arial" w:eastAsia="Arial" w:hAnsi="Arial"/>
                <w:sz w:val="13"/>
                <w:szCs w:val="13"/>
                <w:b w:val="1"/>
                <w:bCs w:val="1"/>
                <w:color w:val="auto"/>
                <w:w w:val="87"/>
              </w:rPr>
              <w:t>For the Six Months Ended June 30,</w:t>
            </w:r>
          </w:p>
        </w:tc>
        <w:tc>
          <w:tcPr>
            <w:tcW w:w="100" w:type="dxa"/>
            <w:vAlign w:val="bottom"/>
            <w:tcBorders>
              <w:bottom w:val="single" w:sz="8" w:color="auto"/>
            </w:tcBorders>
          </w:tcPr>
          <w:p>
            <w:pPr>
              <w:spacing w:after="0"/>
              <w:rPr>
                <w:sz w:val="13"/>
                <w:szCs w:val="13"/>
                <w:color w:val="auto"/>
              </w:rPr>
            </w:pPr>
          </w:p>
        </w:tc>
        <w:tc>
          <w:tcPr>
            <w:tcW w:w="44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60" w:type="dxa"/>
            <w:vAlign w:val="bottom"/>
          </w:tcPr>
          <w:p>
            <w:pPr>
              <w:spacing w:after="0"/>
              <w:rPr>
                <w:sz w:val="13"/>
                <w:szCs w:val="13"/>
                <w:color w:val="auto"/>
              </w:rPr>
            </w:pPr>
          </w:p>
        </w:tc>
        <w:tc>
          <w:tcPr>
            <w:tcW w:w="160" w:type="dxa"/>
            <w:vAlign w:val="bottom"/>
          </w:tcPr>
          <w:p>
            <w:pPr>
              <w:spacing w:after="0"/>
              <w:rPr>
                <w:sz w:val="13"/>
                <w:szCs w:val="13"/>
                <w:color w:val="auto"/>
              </w:rPr>
            </w:pPr>
          </w:p>
        </w:tc>
      </w:tr>
      <w:tr>
        <w:trPr>
          <w:trHeight w:val="142"/>
        </w:trPr>
        <w:tc>
          <w:tcPr>
            <w:tcW w:w="18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44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gridSpan w:val="3"/>
          </w:tcPr>
          <w:p>
            <w:pPr>
              <w:jc w:val="right"/>
              <w:ind w:right="477"/>
              <w:spacing w:after="0" w:line="142" w:lineRule="exact"/>
              <w:rPr>
                <w:sz w:val="20"/>
                <w:szCs w:val="20"/>
                <w:color w:val="auto"/>
              </w:rPr>
            </w:pPr>
            <w:r>
              <w:rPr>
                <w:rFonts w:ascii="Arial" w:cs="Arial" w:eastAsia="Arial" w:hAnsi="Arial"/>
                <w:sz w:val="13"/>
                <w:szCs w:val="13"/>
                <w:b w:val="1"/>
                <w:bCs w:val="1"/>
                <w:color w:val="auto"/>
                <w:w w:val="82"/>
              </w:rPr>
              <w:t>2020</w:t>
            </w:r>
          </w:p>
        </w:tc>
        <w:tc>
          <w:tcPr>
            <w:tcW w:w="2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38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gridSpan w:val="2"/>
          </w:tcPr>
          <w:p>
            <w:pPr>
              <w:jc w:val="right"/>
              <w:ind w:right="457"/>
              <w:spacing w:after="0" w:line="142" w:lineRule="exact"/>
              <w:rPr>
                <w:sz w:val="20"/>
                <w:szCs w:val="20"/>
                <w:color w:val="auto"/>
              </w:rPr>
            </w:pPr>
            <w:r>
              <w:rPr>
                <w:rFonts w:ascii="Arial" w:cs="Arial" w:eastAsia="Arial" w:hAnsi="Arial"/>
                <w:sz w:val="13"/>
                <w:szCs w:val="13"/>
                <w:b w:val="1"/>
                <w:bCs w:val="1"/>
                <w:color w:val="auto"/>
                <w:w w:val="89"/>
              </w:rPr>
              <w:t>2019</w:t>
            </w:r>
          </w:p>
        </w:tc>
        <w:tc>
          <w:tcPr>
            <w:tcW w:w="2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gridSpan w:val="3"/>
          </w:tcPr>
          <w:p>
            <w:pPr>
              <w:ind w:left="280"/>
              <w:spacing w:after="0" w:line="142" w:lineRule="exact"/>
              <w:rPr>
                <w:sz w:val="20"/>
                <w:szCs w:val="20"/>
                <w:color w:val="auto"/>
              </w:rPr>
            </w:pPr>
            <w:r>
              <w:rPr>
                <w:rFonts w:ascii="Arial" w:cs="Arial" w:eastAsia="Arial" w:hAnsi="Arial"/>
                <w:sz w:val="13"/>
                <w:szCs w:val="13"/>
                <w:b w:val="1"/>
                <w:bCs w:val="1"/>
                <w:color w:val="auto"/>
                <w:w w:val="88"/>
              </w:rPr>
              <w:t>Change</w:t>
            </w:r>
          </w:p>
        </w:tc>
        <w:tc>
          <w:tcPr>
            <w:tcW w:w="340" w:type="dxa"/>
            <w:vAlign w:val="bottom"/>
            <w:tcBorders>
              <w:bottom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44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gridSpan w:val="3"/>
          </w:tcPr>
          <w:p>
            <w:pPr>
              <w:jc w:val="right"/>
              <w:ind w:right="477"/>
              <w:spacing w:after="0" w:line="142" w:lineRule="exact"/>
              <w:rPr>
                <w:sz w:val="20"/>
                <w:szCs w:val="20"/>
                <w:color w:val="auto"/>
              </w:rPr>
            </w:pPr>
            <w:r>
              <w:rPr>
                <w:rFonts w:ascii="Arial" w:cs="Arial" w:eastAsia="Arial" w:hAnsi="Arial"/>
                <w:sz w:val="13"/>
                <w:szCs w:val="13"/>
                <w:b w:val="1"/>
                <w:bCs w:val="1"/>
                <w:color w:val="auto"/>
                <w:w w:val="82"/>
              </w:rPr>
              <w:t>2020</w:t>
            </w:r>
          </w:p>
        </w:tc>
        <w:tc>
          <w:tcPr>
            <w:tcW w:w="2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4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gridSpan w:val="2"/>
          </w:tcPr>
          <w:p>
            <w:pPr>
              <w:jc w:val="right"/>
              <w:ind w:right="497"/>
              <w:spacing w:after="0" w:line="142" w:lineRule="exact"/>
              <w:rPr>
                <w:sz w:val="20"/>
                <w:szCs w:val="20"/>
                <w:color w:val="auto"/>
              </w:rPr>
            </w:pPr>
            <w:r>
              <w:rPr>
                <w:rFonts w:ascii="Arial" w:cs="Arial" w:eastAsia="Arial" w:hAnsi="Arial"/>
                <w:sz w:val="13"/>
                <w:szCs w:val="13"/>
                <w:b w:val="1"/>
                <w:bCs w:val="1"/>
                <w:color w:val="auto"/>
                <w:w w:val="82"/>
              </w:rPr>
              <w:t>2019</w:t>
            </w:r>
          </w:p>
        </w:tc>
        <w:tc>
          <w:tcPr>
            <w:tcW w:w="28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gridSpan w:val="3"/>
          </w:tcPr>
          <w:p>
            <w:pPr>
              <w:ind w:left="260"/>
              <w:spacing w:after="0" w:line="142" w:lineRule="exact"/>
              <w:rPr>
                <w:sz w:val="20"/>
                <w:szCs w:val="20"/>
                <w:color w:val="auto"/>
              </w:rPr>
            </w:pPr>
            <w:r>
              <w:rPr>
                <w:rFonts w:ascii="Arial" w:cs="Arial" w:eastAsia="Arial" w:hAnsi="Arial"/>
                <w:sz w:val="13"/>
                <w:szCs w:val="13"/>
                <w:b w:val="1"/>
                <w:bCs w:val="1"/>
                <w:color w:val="auto"/>
                <w:w w:val="92"/>
              </w:rPr>
              <w:t>Change</w:t>
            </w:r>
          </w:p>
        </w:tc>
        <w:tc>
          <w:tcPr>
            <w:tcW w:w="340" w:type="dxa"/>
            <w:vAlign w:val="bottom"/>
            <w:tcBorders>
              <w:bottom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r>
      <w:tr>
        <w:trPr>
          <w:trHeight w:val="124"/>
        </w:trPr>
        <w:tc>
          <w:tcPr>
            <w:tcW w:w="18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20" w:type="dxa"/>
            <w:vAlign w:val="bottom"/>
          </w:tcPr>
          <w:p>
            <w:pPr>
              <w:jc w:val="center"/>
              <w:spacing w:after="0" w:line="124" w:lineRule="exact"/>
              <w:rPr>
                <w:sz w:val="20"/>
                <w:szCs w:val="20"/>
                <w:color w:val="auto"/>
              </w:rPr>
            </w:pPr>
            <w:r>
              <w:rPr>
                <w:rFonts w:ascii="Arial" w:cs="Arial" w:eastAsia="Arial" w:hAnsi="Arial"/>
                <w:sz w:val="13"/>
                <w:szCs w:val="13"/>
                <w:b w:val="1"/>
                <w:bCs w:val="1"/>
                <w:color w:val="auto"/>
                <w:w w:val="94"/>
              </w:rPr>
              <w:t>% of</w:t>
            </w:r>
          </w:p>
        </w:tc>
        <w:tc>
          <w:tcPr>
            <w:tcW w:w="2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20" w:type="dxa"/>
            <w:vAlign w:val="bottom"/>
          </w:tcPr>
          <w:p>
            <w:pPr>
              <w:jc w:val="center"/>
              <w:spacing w:after="0" w:line="124" w:lineRule="exact"/>
              <w:rPr>
                <w:sz w:val="20"/>
                <w:szCs w:val="20"/>
                <w:color w:val="auto"/>
              </w:rPr>
            </w:pPr>
            <w:r>
              <w:rPr>
                <w:rFonts w:ascii="Arial" w:cs="Arial" w:eastAsia="Arial" w:hAnsi="Arial"/>
                <w:sz w:val="13"/>
                <w:szCs w:val="13"/>
                <w:b w:val="1"/>
                <w:bCs w:val="1"/>
                <w:color w:val="auto"/>
                <w:w w:val="94"/>
              </w:rPr>
              <w:t>% of</w:t>
            </w:r>
          </w:p>
        </w:tc>
        <w:tc>
          <w:tcPr>
            <w:tcW w:w="2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20" w:type="dxa"/>
            <w:vAlign w:val="bottom"/>
          </w:tcPr>
          <w:p>
            <w:pPr>
              <w:jc w:val="center"/>
              <w:spacing w:after="0" w:line="124" w:lineRule="exact"/>
              <w:rPr>
                <w:sz w:val="20"/>
                <w:szCs w:val="20"/>
                <w:color w:val="auto"/>
              </w:rPr>
            </w:pPr>
            <w:r>
              <w:rPr>
                <w:rFonts w:ascii="Arial" w:cs="Arial" w:eastAsia="Arial" w:hAnsi="Arial"/>
                <w:sz w:val="13"/>
                <w:szCs w:val="13"/>
                <w:b w:val="1"/>
                <w:bCs w:val="1"/>
                <w:color w:val="auto"/>
                <w:w w:val="94"/>
              </w:rPr>
              <w:t>% of</w:t>
            </w:r>
          </w:p>
        </w:tc>
        <w:tc>
          <w:tcPr>
            <w:tcW w:w="2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20" w:type="dxa"/>
            <w:vAlign w:val="bottom"/>
          </w:tcPr>
          <w:p>
            <w:pPr>
              <w:jc w:val="center"/>
              <w:spacing w:after="0" w:line="124" w:lineRule="exact"/>
              <w:rPr>
                <w:sz w:val="20"/>
                <w:szCs w:val="20"/>
                <w:color w:val="auto"/>
              </w:rPr>
            </w:pPr>
            <w:r>
              <w:rPr>
                <w:rFonts w:ascii="Arial" w:cs="Arial" w:eastAsia="Arial" w:hAnsi="Arial"/>
                <w:sz w:val="13"/>
                <w:szCs w:val="13"/>
                <w:b w:val="1"/>
                <w:bCs w:val="1"/>
                <w:color w:val="auto"/>
                <w:w w:val="94"/>
              </w:rPr>
              <w:t>% of</w:t>
            </w:r>
          </w:p>
        </w:tc>
        <w:tc>
          <w:tcPr>
            <w:tcW w:w="2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60" w:type="dxa"/>
            <w:vAlign w:val="bottom"/>
          </w:tcPr>
          <w:p>
            <w:pPr>
              <w:spacing w:after="0"/>
              <w:rPr>
                <w:sz w:val="10"/>
                <w:szCs w:val="10"/>
                <w:color w:val="auto"/>
              </w:rPr>
            </w:pPr>
          </w:p>
        </w:tc>
      </w:tr>
      <w:tr>
        <w:trPr>
          <w:trHeight w:val="135"/>
        </w:trPr>
        <w:tc>
          <w:tcPr>
            <w:tcW w:w="18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83"/>
              </w:rPr>
              <w:t>Segment</w:t>
            </w:r>
          </w:p>
        </w:tc>
        <w:tc>
          <w:tcPr>
            <w:tcW w:w="2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2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83"/>
              </w:rPr>
              <w:t>Segment</w:t>
            </w:r>
          </w:p>
        </w:tc>
        <w:tc>
          <w:tcPr>
            <w:tcW w:w="2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83"/>
              </w:rPr>
              <w:t>Segment</w:t>
            </w:r>
          </w:p>
        </w:tc>
        <w:tc>
          <w:tcPr>
            <w:tcW w:w="2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2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83"/>
              </w:rPr>
              <w:t>Segment</w:t>
            </w:r>
          </w:p>
        </w:tc>
        <w:tc>
          <w:tcPr>
            <w:tcW w:w="2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r>
      <w:tr>
        <w:trPr>
          <w:trHeight w:val="135"/>
        </w:trPr>
        <w:tc>
          <w:tcPr>
            <w:tcW w:w="18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84"/>
              </w:rPr>
              <w:t>Net Service</w:t>
            </w:r>
          </w:p>
        </w:tc>
        <w:tc>
          <w:tcPr>
            <w:tcW w:w="2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2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87"/>
              </w:rPr>
              <w:t>Net Service</w:t>
            </w:r>
          </w:p>
        </w:tc>
        <w:tc>
          <w:tcPr>
            <w:tcW w:w="2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84"/>
              </w:rPr>
              <w:t>Net Service</w:t>
            </w:r>
          </w:p>
        </w:tc>
        <w:tc>
          <w:tcPr>
            <w:tcW w:w="2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20" w:type="dxa"/>
            <w:vAlign w:val="bottom"/>
            <w:gridSpan w:val="2"/>
          </w:tcPr>
          <w:p>
            <w:pPr>
              <w:jc w:val="center"/>
              <w:ind w:left="137"/>
              <w:spacing w:after="0" w:line="135" w:lineRule="exact"/>
              <w:rPr>
                <w:sz w:val="20"/>
                <w:szCs w:val="20"/>
                <w:color w:val="auto"/>
              </w:rPr>
            </w:pPr>
            <w:r>
              <w:rPr>
                <w:rFonts w:ascii="Arial" w:cs="Arial" w:eastAsia="Arial" w:hAnsi="Arial"/>
                <w:sz w:val="13"/>
                <w:szCs w:val="13"/>
                <w:b w:val="1"/>
                <w:bCs w:val="1"/>
                <w:color w:val="auto"/>
                <w:w w:val="87"/>
              </w:rPr>
              <w:t>Net Service</w:t>
            </w:r>
          </w:p>
        </w:tc>
        <w:tc>
          <w:tcPr>
            <w:tcW w:w="2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r>
      <w:tr>
        <w:trPr>
          <w:trHeight w:val="153"/>
        </w:trPr>
        <w:tc>
          <w:tcPr>
            <w:tcW w:w="1960" w:type="dxa"/>
            <w:vAlign w:val="bottom"/>
            <w:gridSpan w:val="2"/>
          </w:tcPr>
          <w:p>
            <w:pPr>
              <w:spacing w:after="0"/>
              <w:rPr>
                <w:sz w:val="20"/>
                <w:szCs w:val="20"/>
                <w:color w:val="auto"/>
              </w:rPr>
            </w:pPr>
            <w:r>
              <w:rPr>
                <w:rFonts w:ascii="Arial" w:cs="Arial" w:eastAsia="Arial" w:hAnsi="Arial"/>
                <w:sz w:val="13"/>
                <w:szCs w:val="13"/>
                <w:b w:val="1"/>
                <w:bCs w:val="1"/>
                <w:color w:val="auto"/>
              </w:rPr>
              <w:t>Hospice Segment</w:t>
            </w:r>
          </w:p>
        </w:tc>
        <w:tc>
          <w:tcPr>
            <w:tcW w:w="520" w:type="dxa"/>
            <w:vAlign w:val="bottom"/>
            <w:gridSpan w:val="2"/>
          </w:tcPr>
          <w:p>
            <w:pPr>
              <w:jc w:val="right"/>
              <w:spacing w:after="0"/>
              <w:rPr>
                <w:sz w:val="20"/>
                <w:szCs w:val="20"/>
                <w:color w:val="auto"/>
              </w:rPr>
            </w:pPr>
            <w:r>
              <w:rPr>
                <w:rFonts w:ascii="Arial" w:cs="Arial" w:eastAsia="Arial" w:hAnsi="Arial"/>
                <w:sz w:val="13"/>
                <w:szCs w:val="13"/>
                <w:b w:val="1"/>
                <w:bCs w:val="1"/>
                <w:color w:val="auto"/>
                <w:w w:val="93"/>
              </w:rPr>
              <w:t>Amount</w:t>
            </w: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20" w:type="dxa"/>
            <w:vAlign w:val="bottom"/>
          </w:tcPr>
          <w:p>
            <w:pPr>
              <w:jc w:val="center"/>
              <w:spacing w:after="0"/>
              <w:rPr>
                <w:sz w:val="20"/>
                <w:szCs w:val="20"/>
                <w:color w:val="auto"/>
              </w:rPr>
            </w:pPr>
            <w:r>
              <w:rPr>
                <w:rFonts w:ascii="Arial" w:cs="Arial" w:eastAsia="Arial" w:hAnsi="Arial"/>
                <w:sz w:val="13"/>
                <w:szCs w:val="13"/>
                <w:b w:val="1"/>
                <w:bCs w:val="1"/>
                <w:color w:val="auto"/>
                <w:w w:val="84"/>
              </w:rPr>
              <w:t>Revenues</w:t>
            </w:r>
          </w:p>
        </w:tc>
        <w:tc>
          <w:tcPr>
            <w:tcW w:w="2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80" w:type="dxa"/>
            <w:vAlign w:val="bottom"/>
            <w:gridSpan w:val="2"/>
          </w:tcPr>
          <w:p>
            <w:pPr>
              <w:ind w:left="20"/>
              <w:spacing w:after="0"/>
              <w:rPr>
                <w:sz w:val="20"/>
                <w:szCs w:val="20"/>
                <w:color w:val="auto"/>
              </w:rPr>
            </w:pPr>
            <w:r>
              <w:rPr>
                <w:rFonts w:ascii="Arial" w:cs="Arial" w:eastAsia="Arial" w:hAnsi="Arial"/>
                <w:sz w:val="13"/>
                <w:szCs w:val="13"/>
                <w:b w:val="1"/>
                <w:bCs w:val="1"/>
                <w:color w:val="auto"/>
                <w:w w:val="89"/>
              </w:rPr>
              <w:t>Amount</w:t>
            </w:r>
          </w:p>
        </w:tc>
        <w:tc>
          <w:tcPr>
            <w:tcW w:w="180" w:type="dxa"/>
            <w:vAlign w:val="bottom"/>
          </w:tcPr>
          <w:p>
            <w:pPr>
              <w:spacing w:after="0"/>
              <w:rPr>
                <w:sz w:val="13"/>
                <w:szCs w:val="13"/>
                <w:color w:val="auto"/>
              </w:rPr>
            </w:pPr>
          </w:p>
        </w:tc>
        <w:tc>
          <w:tcPr>
            <w:tcW w:w="620" w:type="dxa"/>
            <w:vAlign w:val="bottom"/>
          </w:tcPr>
          <w:p>
            <w:pPr>
              <w:jc w:val="center"/>
              <w:spacing w:after="0"/>
              <w:rPr>
                <w:sz w:val="20"/>
                <w:szCs w:val="20"/>
                <w:color w:val="auto"/>
              </w:rPr>
            </w:pPr>
            <w:r>
              <w:rPr>
                <w:rFonts w:ascii="Arial" w:cs="Arial" w:eastAsia="Arial" w:hAnsi="Arial"/>
                <w:sz w:val="13"/>
                <w:szCs w:val="13"/>
                <w:b w:val="1"/>
                <w:bCs w:val="1"/>
                <w:color w:val="auto"/>
                <w:w w:val="81"/>
              </w:rPr>
              <w:t>Revenues</w:t>
            </w:r>
          </w:p>
        </w:tc>
        <w:tc>
          <w:tcPr>
            <w:tcW w:w="2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0" w:type="dxa"/>
            <w:vAlign w:val="bottom"/>
            <w:gridSpan w:val="4"/>
          </w:tcPr>
          <w:p>
            <w:pPr>
              <w:ind w:left="40"/>
              <w:spacing w:after="0"/>
              <w:rPr>
                <w:sz w:val="20"/>
                <w:szCs w:val="20"/>
                <w:color w:val="auto"/>
              </w:rPr>
            </w:pPr>
            <w:r>
              <w:rPr>
                <w:rFonts w:ascii="Arial" w:cs="Arial" w:eastAsia="Arial" w:hAnsi="Arial"/>
                <w:sz w:val="13"/>
                <w:szCs w:val="13"/>
                <w:b w:val="1"/>
                <w:bCs w:val="1"/>
                <w:color w:val="auto"/>
              </w:rPr>
              <w:t>Amount</w:t>
            </w:r>
          </w:p>
        </w:tc>
        <w:tc>
          <w:tcPr>
            <w:tcW w:w="340" w:type="dxa"/>
            <w:vAlign w:val="bottom"/>
          </w:tcPr>
          <w:p>
            <w:pPr>
              <w:jc w:val="right"/>
              <w:ind w:right="97"/>
              <w:spacing w:after="0"/>
              <w:rPr>
                <w:sz w:val="20"/>
                <w:szCs w:val="20"/>
                <w:color w:val="auto"/>
              </w:rPr>
            </w:pPr>
            <w:r>
              <w:rPr>
                <w:rFonts w:ascii="Arial" w:cs="Arial" w:eastAsia="Arial" w:hAnsi="Arial"/>
                <w:sz w:val="13"/>
                <w:szCs w:val="13"/>
                <w:b w:val="1"/>
                <w:bCs w:val="1"/>
                <w:color w:val="auto"/>
              </w:rPr>
              <w:t>%</w:t>
            </w: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20" w:type="dxa"/>
            <w:vAlign w:val="bottom"/>
            <w:gridSpan w:val="2"/>
          </w:tcPr>
          <w:p>
            <w:pPr>
              <w:jc w:val="right"/>
              <w:spacing w:after="0"/>
              <w:rPr>
                <w:sz w:val="20"/>
                <w:szCs w:val="20"/>
                <w:color w:val="auto"/>
              </w:rPr>
            </w:pPr>
            <w:r>
              <w:rPr>
                <w:rFonts w:ascii="Arial" w:cs="Arial" w:eastAsia="Arial" w:hAnsi="Arial"/>
                <w:sz w:val="13"/>
                <w:szCs w:val="13"/>
                <w:b w:val="1"/>
                <w:bCs w:val="1"/>
                <w:color w:val="auto"/>
                <w:w w:val="93"/>
              </w:rPr>
              <w:t>Amount</w:t>
            </w: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20" w:type="dxa"/>
            <w:vAlign w:val="bottom"/>
          </w:tcPr>
          <w:p>
            <w:pPr>
              <w:jc w:val="center"/>
              <w:spacing w:after="0"/>
              <w:rPr>
                <w:sz w:val="20"/>
                <w:szCs w:val="20"/>
                <w:color w:val="auto"/>
              </w:rPr>
            </w:pPr>
            <w:r>
              <w:rPr>
                <w:rFonts w:ascii="Arial" w:cs="Arial" w:eastAsia="Arial" w:hAnsi="Arial"/>
                <w:sz w:val="13"/>
                <w:szCs w:val="13"/>
                <w:b w:val="1"/>
                <w:bCs w:val="1"/>
                <w:color w:val="auto"/>
                <w:w w:val="84"/>
              </w:rPr>
              <w:t>Revenues</w:t>
            </w:r>
          </w:p>
        </w:tc>
        <w:tc>
          <w:tcPr>
            <w:tcW w:w="2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540" w:type="dxa"/>
            <w:vAlign w:val="bottom"/>
            <w:gridSpan w:val="2"/>
          </w:tcPr>
          <w:p>
            <w:pPr>
              <w:jc w:val="right"/>
              <w:spacing w:after="0"/>
              <w:rPr>
                <w:sz w:val="20"/>
                <w:szCs w:val="20"/>
                <w:color w:val="auto"/>
              </w:rPr>
            </w:pPr>
            <w:r>
              <w:rPr>
                <w:rFonts w:ascii="Arial" w:cs="Arial" w:eastAsia="Arial" w:hAnsi="Arial"/>
                <w:sz w:val="13"/>
                <w:szCs w:val="13"/>
                <w:b w:val="1"/>
                <w:bCs w:val="1"/>
                <w:color w:val="auto"/>
                <w:w w:val="97"/>
              </w:rPr>
              <w:t>Amount</w:t>
            </w:r>
          </w:p>
        </w:tc>
        <w:tc>
          <w:tcPr>
            <w:tcW w:w="200" w:type="dxa"/>
            <w:vAlign w:val="bottom"/>
          </w:tcPr>
          <w:p>
            <w:pPr>
              <w:spacing w:after="0"/>
              <w:rPr>
                <w:sz w:val="13"/>
                <w:szCs w:val="13"/>
                <w:color w:val="auto"/>
              </w:rPr>
            </w:pPr>
          </w:p>
        </w:tc>
        <w:tc>
          <w:tcPr>
            <w:tcW w:w="620" w:type="dxa"/>
            <w:vAlign w:val="bottom"/>
          </w:tcPr>
          <w:p>
            <w:pPr>
              <w:jc w:val="center"/>
              <w:spacing w:after="0"/>
              <w:rPr>
                <w:sz w:val="20"/>
                <w:szCs w:val="20"/>
                <w:color w:val="auto"/>
              </w:rPr>
            </w:pPr>
            <w:r>
              <w:rPr>
                <w:rFonts w:ascii="Arial" w:cs="Arial" w:eastAsia="Arial" w:hAnsi="Arial"/>
                <w:sz w:val="13"/>
                <w:szCs w:val="13"/>
                <w:b w:val="1"/>
                <w:bCs w:val="1"/>
                <w:color w:val="auto"/>
                <w:w w:val="84"/>
              </w:rPr>
              <w:t>Revenues</w:t>
            </w:r>
          </w:p>
        </w:tc>
        <w:tc>
          <w:tcPr>
            <w:tcW w:w="280" w:type="dxa"/>
            <w:vAlign w:val="bottom"/>
          </w:tcPr>
          <w:p>
            <w:pPr>
              <w:spacing w:after="0"/>
              <w:rPr>
                <w:sz w:val="13"/>
                <w:szCs w:val="13"/>
                <w:color w:val="auto"/>
              </w:rPr>
            </w:pPr>
          </w:p>
        </w:tc>
        <w:tc>
          <w:tcPr>
            <w:tcW w:w="820" w:type="dxa"/>
            <w:vAlign w:val="bottom"/>
            <w:gridSpan w:val="4"/>
          </w:tcPr>
          <w:p>
            <w:pPr>
              <w:ind w:left="40"/>
              <w:spacing w:after="0"/>
              <w:rPr>
                <w:sz w:val="20"/>
                <w:szCs w:val="20"/>
                <w:color w:val="auto"/>
              </w:rPr>
            </w:pPr>
            <w:r>
              <w:rPr>
                <w:rFonts w:ascii="Arial" w:cs="Arial" w:eastAsia="Arial" w:hAnsi="Arial"/>
                <w:sz w:val="13"/>
                <w:szCs w:val="13"/>
                <w:b w:val="1"/>
                <w:bCs w:val="1"/>
                <w:color w:val="auto"/>
              </w:rPr>
              <w:t>Amount</w:t>
            </w:r>
          </w:p>
        </w:tc>
        <w:tc>
          <w:tcPr>
            <w:tcW w:w="340" w:type="dxa"/>
            <w:vAlign w:val="bottom"/>
          </w:tcPr>
          <w:p>
            <w:pPr>
              <w:jc w:val="right"/>
              <w:ind w:right="97"/>
              <w:spacing w:after="0"/>
              <w:rPr>
                <w:sz w:val="20"/>
                <w:szCs w:val="20"/>
                <w:color w:val="auto"/>
              </w:rPr>
            </w:pPr>
            <w:r>
              <w:rPr>
                <w:rFonts w:ascii="Arial" w:cs="Arial" w:eastAsia="Arial" w:hAnsi="Arial"/>
                <w:sz w:val="13"/>
                <w:szCs w:val="13"/>
                <w:b w:val="1"/>
                <w:bCs w:val="1"/>
                <w:color w:val="auto"/>
              </w:rPr>
              <w:t>%</w:t>
            </w:r>
          </w:p>
        </w:tc>
        <w:tc>
          <w:tcPr>
            <w:tcW w:w="60" w:type="dxa"/>
            <w:vAlign w:val="bottom"/>
          </w:tcPr>
          <w:p>
            <w:pPr>
              <w:spacing w:after="0"/>
              <w:rPr>
                <w:sz w:val="13"/>
                <w:szCs w:val="13"/>
                <w:color w:val="auto"/>
              </w:rPr>
            </w:pPr>
          </w:p>
        </w:tc>
        <w:tc>
          <w:tcPr>
            <w:tcW w:w="160" w:type="dxa"/>
            <w:vAlign w:val="bottom"/>
          </w:tcPr>
          <w:p>
            <w:pPr>
              <w:spacing w:after="0"/>
              <w:rPr>
                <w:sz w:val="13"/>
                <w:szCs w:val="13"/>
                <w:color w:val="auto"/>
              </w:rPr>
            </w:pPr>
          </w:p>
        </w:tc>
      </w:tr>
      <w:tr>
        <w:trPr>
          <w:trHeight w:val="142"/>
        </w:trPr>
        <w:tc>
          <w:tcPr>
            <w:tcW w:w="1880" w:type="dxa"/>
            <w:vAlign w:val="bottom"/>
            <w:tcBorders>
              <w:top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440" w:type="dxa"/>
            <w:vAlign w:val="bottom"/>
            <w:tcBorders>
              <w:top w:val="single" w:sz="8" w:color="auto"/>
            </w:tcBorders>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3300" w:type="dxa"/>
            <w:vAlign w:val="bottom"/>
            <w:tcBorders>
              <w:top w:val="single" w:sz="8" w:color="auto"/>
            </w:tcBorders>
            <w:gridSpan w:val="13"/>
          </w:tcPr>
          <w:p>
            <w:pPr>
              <w:jc w:val="center"/>
              <w:ind w:right="380"/>
              <w:spacing w:after="0" w:line="142" w:lineRule="exact"/>
              <w:rPr>
                <w:sz w:val="20"/>
                <w:szCs w:val="20"/>
                <w:color w:val="auto"/>
              </w:rPr>
            </w:pPr>
            <w:r>
              <w:rPr>
                <w:rFonts w:ascii="Arial" w:cs="Arial" w:eastAsia="Arial" w:hAnsi="Arial"/>
                <w:sz w:val="13"/>
                <w:szCs w:val="13"/>
                <w:b w:val="1"/>
                <w:bCs w:val="1"/>
                <w:color w:val="auto"/>
                <w:w w:val="85"/>
              </w:rPr>
              <w:t>(Amounts in Thousands, Except Percentages)</w:t>
            </w:r>
          </w:p>
        </w:tc>
        <w:tc>
          <w:tcPr>
            <w:tcW w:w="340" w:type="dxa"/>
            <w:vAlign w:val="bottom"/>
            <w:tcBorders>
              <w:top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440" w:type="dxa"/>
            <w:vAlign w:val="bottom"/>
            <w:tcBorders>
              <w:top w:val="single" w:sz="8" w:color="auto"/>
            </w:tcBorders>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3380" w:type="dxa"/>
            <w:vAlign w:val="bottom"/>
            <w:tcBorders>
              <w:top w:val="single" w:sz="8" w:color="auto"/>
            </w:tcBorders>
            <w:gridSpan w:val="12"/>
          </w:tcPr>
          <w:p>
            <w:pPr>
              <w:jc w:val="center"/>
              <w:ind w:right="380"/>
              <w:spacing w:after="0" w:line="142" w:lineRule="exact"/>
              <w:rPr>
                <w:sz w:val="20"/>
                <w:szCs w:val="20"/>
                <w:color w:val="auto"/>
              </w:rPr>
            </w:pPr>
            <w:r>
              <w:rPr>
                <w:rFonts w:ascii="Arial" w:cs="Arial" w:eastAsia="Arial" w:hAnsi="Arial"/>
                <w:sz w:val="13"/>
                <w:szCs w:val="13"/>
                <w:b w:val="1"/>
                <w:bCs w:val="1"/>
                <w:color w:val="auto"/>
                <w:w w:val="85"/>
              </w:rPr>
              <w:t>(Amounts in Thousands, Except Percentages)</w:t>
            </w:r>
          </w:p>
        </w:tc>
        <w:tc>
          <w:tcPr>
            <w:tcW w:w="340" w:type="dxa"/>
            <w:vAlign w:val="bottom"/>
            <w:tcBorders>
              <w:top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r>
      <w:tr>
        <w:trPr>
          <w:trHeight w:val="148"/>
        </w:trPr>
        <w:tc>
          <w:tcPr>
            <w:tcW w:w="1960" w:type="dxa"/>
            <w:vAlign w:val="bottom"/>
            <w:gridSpan w:val="2"/>
            <w:shd w:val="clear" w:color="auto" w:fill="CFF0FC"/>
          </w:tcPr>
          <w:p>
            <w:pPr>
              <w:spacing w:after="0"/>
              <w:rPr>
                <w:sz w:val="20"/>
                <w:szCs w:val="20"/>
                <w:color w:val="auto"/>
              </w:rPr>
            </w:pPr>
            <w:r>
              <w:rPr>
                <w:rFonts w:ascii="Arial" w:cs="Arial" w:eastAsia="Arial" w:hAnsi="Arial"/>
                <w:sz w:val="13"/>
                <w:szCs w:val="13"/>
                <w:b w:val="1"/>
                <w:bCs w:val="1"/>
                <w:color w:val="auto"/>
              </w:rPr>
              <w:t>Operating Results</w:t>
            </w:r>
          </w:p>
        </w:tc>
        <w:tc>
          <w:tcPr>
            <w:tcW w:w="80" w:type="dxa"/>
            <w:vAlign w:val="bottom"/>
            <w:shd w:val="clear" w:color="auto" w:fill="CFF0FC"/>
          </w:tcPr>
          <w:p>
            <w:pPr>
              <w:spacing w:after="0"/>
              <w:rPr>
                <w:sz w:val="12"/>
                <w:szCs w:val="12"/>
                <w:color w:val="auto"/>
              </w:rPr>
            </w:pPr>
          </w:p>
        </w:tc>
        <w:tc>
          <w:tcPr>
            <w:tcW w:w="440" w:type="dxa"/>
            <w:vAlign w:val="bottom"/>
            <w:shd w:val="clear" w:color="auto" w:fill="CFF0FC"/>
          </w:tcPr>
          <w:p>
            <w:pPr>
              <w:spacing w:after="0"/>
              <w:rPr>
                <w:sz w:val="12"/>
                <w:szCs w:val="12"/>
                <w:color w:val="auto"/>
              </w:rPr>
            </w:pPr>
          </w:p>
        </w:tc>
        <w:tc>
          <w:tcPr>
            <w:tcW w:w="2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62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38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620" w:type="dxa"/>
            <w:vAlign w:val="bottom"/>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c>
          <w:tcPr>
            <w:tcW w:w="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46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34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440" w:type="dxa"/>
            <w:vAlign w:val="bottom"/>
            <w:shd w:val="clear" w:color="auto" w:fill="CFF0FC"/>
          </w:tcPr>
          <w:p>
            <w:pPr>
              <w:spacing w:after="0"/>
              <w:rPr>
                <w:sz w:val="12"/>
                <w:szCs w:val="12"/>
                <w:color w:val="auto"/>
              </w:rPr>
            </w:pPr>
          </w:p>
        </w:tc>
        <w:tc>
          <w:tcPr>
            <w:tcW w:w="2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62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44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620" w:type="dxa"/>
            <w:vAlign w:val="bottom"/>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44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34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r>
      <w:tr>
        <w:trPr>
          <w:trHeight w:val="148"/>
        </w:trPr>
        <w:tc>
          <w:tcPr>
            <w:tcW w:w="1960" w:type="dxa"/>
            <w:vAlign w:val="bottom"/>
            <w:gridSpan w:val="2"/>
          </w:tcPr>
          <w:p>
            <w:pPr>
              <w:spacing w:after="0"/>
              <w:rPr>
                <w:sz w:val="20"/>
                <w:szCs w:val="20"/>
                <w:color w:val="auto"/>
              </w:rPr>
            </w:pPr>
            <w:r>
              <w:rPr>
                <w:rFonts w:ascii="Arial" w:cs="Arial" w:eastAsia="Arial" w:hAnsi="Arial"/>
                <w:sz w:val="13"/>
                <w:szCs w:val="13"/>
                <w:color w:val="auto"/>
              </w:rPr>
              <w:t>Net service revenues</w:t>
            </w: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440" w:type="dxa"/>
            <w:vAlign w:val="bottom"/>
          </w:tcPr>
          <w:p>
            <w:pPr>
              <w:jc w:val="right"/>
              <w:spacing w:after="0"/>
              <w:rPr>
                <w:sz w:val="20"/>
                <w:szCs w:val="20"/>
                <w:color w:val="auto"/>
              </w:rPr>
            </w:pPr>
            <w:r>
              <w:rPr>
                <w:rFonts w:ascii="Arial" w:cs="Arial" w:eastAsia="Arial" w:hAnsi="Arial"/>
                <w:sz w:val="13"/>
                <w:szCs w:val="13"/>
                <w:color w:val="auto"/>
              </w:rPr>
              <w:t>24,525</w:t>
            </w:r>
          </w:p>
        </w:tc>
        <w:tc>
          <w:tcPr>
            <w:tcW w:w="800" w:type="dxa"/>
            <w:vAlign w:val="bottom"/>
            <w:gridSpan w:val="3"/>
          </w:tcPr>
          <w:p>
            <w:pPr>
              <w:jc w:val="right"/>
              <w:spacing w:after="0"/>
              <w:rPr>
                <w:sz w:val="20"/>
                <w:szCs w:val="20"/>
                <w:color w:val="auto"/>
              </w:rPr>
            </w:pPr>
            <w:r>
              <w:rPr>
                <w:rFonts w:ascii="Arial" w:cs="Arial" w:eastAsia="Arial" w:hAnsi="Arial"/>
                <w:sz w:val="13"/>
                <w:szCs w:val="13"/>
                <w:color w:val="auto"/>
              </w:rPr>
              <w:t>100.0</w:t>
            </w:r>
          </w:p>
        </w:tc>
        <w:tc>
          <w:tcPr>
            <w:tcW w:w="240" w:type="dxa"/>
            <w:vAlign w:val="bottom"/>
          </w:tcPr>
          <w:p>
            <w:pPr>
              <w:jc w:val="right"/>
              <w:spacing w:after="0"/>
              <w:rPr>
                <w:sz w:val="20"/>
                <w:szCs w:val="20"/>
                <w:color w:val="auto"/>
              </w:rPr>
            </w:pPr>
            <w:r>
              <w:rPr>
                <w:rFonts w:ascii="Arial" w:cs="Arial" w:eastAsia="Arial" w:hAnsi="Arial"/>
                <w:sz w:val="13"/>
                <w:szCs w:val="13"/>
                <w:color w:val="auto"/>
              </w:rPr>
              <w:t>%</w:t>
            </w:r>
          </w:p>
        </w:tc>
        <w:tc>
          <w:tcPr>
            <w:tcW w:w="160" w:type="dxa"/>
            <w:vAlign w:val="bottom"/>
            <w:gridSpan w:val="2"/>
          </w:tcPr>
          <w:p>
            <w:pPr>
              <w:ind w:left="60"/>
              <w:spacing w:after="0"/>
              <w:rPr>
                <w:sz w:val="20"/>
                <w:szCs w:val="20"/>
                <w:color w:val="auto"/>
              </w:rPr>
            </w:pPr>
            <w:r>
              <w:rPr>
                <w:rFonts w:ascii="Arial" w:cs="Arial" w:eastAsia="Arial" w:hAnsi="Arial"/>
                <w:sz w:val="13"/>
                <w:szCs w:val="13"/>
                <w:color w:val="auto"/>
              </w:rPr>
              <w:t>$</w:t>
            </w:r>
          </w:p>
        </w:tc>
        <w:tc>
          <w:tcPr>
            <w:tcW w:w="380" w:type="dxa"/>
            <w:vAlign w:val="bottom"/>
          </w:tcPr>
          <w:p>
            <w:pPr>
              <w:jc w:val="right"/>
              <w:spacing w:after="0"/>
              <w:rPr>
                <w:sz w:val="20"/>
                <w:szCs w:val="20"/>
                <w:color w:val="auto"/>
              </w:rPr>
            </w:pPr>
            <w:r>
              <w:rPr>
                <w:rFonts w:ascii="Arial" w:cs="Arial" w:eastAsia="Arial" w:hAnsi="Arial"/>
                <w:sz w:val="13"/>
                <w:szCs w:val="13"/>
                <w:color w:val="auto"/>
              </w:rPr>
              <w:t>8,437</w:t>
            </w:r>
          </w:p>
        </w:tc>
        <w:tc>
          <w:tcPr>
            <w:tcW w:w="800" w:type="dxa"/>
            <w:vAlign w:val="bottom"/>
            <w:gridSpan w:val="2"/>
          </w:tcPr>
          <w:p>
            <w:pPr>
              <w:jc w:val="right"/>
              <w:spacing w:after="0"/>
              <w:rPr>
                <w:sz w:val="20"/>
                <w:szCs w:val="20"/>
                <w:color w:val="auto"/>
              </w:rPr>
            </w:pPr>
            <w:r>
              <w:rPr>
                <w:rFonts w:ascii="Arial" w:cs="Arial" w:eastAsia="Arial" w:hAnsi="Arial"/>
                <w:sz w:val="13"/>
                <w:szCs w:val="13"/>
                <w:color w:val="auto"/>
              </w:rPr>
              <w:t>100.0</w:t>
            </w:r>
          </w:p>
        </w:tc>
        <w:tc>
          <w:tcPr>
            <w:tcW w:w="280" w:type="dxa"/>
            <w:vAlign w:val="bottom"/>
          </w:tcPr>
          <w:p>
            <w:pPr>
              <w:jc w:val="right"/>
              <w:ind w:right="17"/>
              <w:spacing w:after="0"/>
              <w:rPr>
                <w:sz w:val="20"/>
                <w:szCs w:val="20"/>
                <w:color w:val="auto"/>
              </w:rPr>
            </w:pPr>
            <w:r>
              <w:rPr>
                <w:rFonts w:ascii="Arial" w:cs="Arial" w:eastAsia="Arial" w:hAnsi="Arial"/>
                <w:sz w:val="13"/>
                <w:szCs w:val="13"/>
                <w:color w:val="auto"/>
              </w:rPr>
              <w:t>%</w:t>
            </w:r>
          </w:p>
        </w:tc>
        <w:tc>
          <w:tcPr>
            <w:tcW w:w="100" w:type="dxa"/>
            <w:vAlign w:val="bottom"/>
            <w:gridSpan w:val="2"/>
          </w:tcPr>
          <w:p>
            <w:pPr>
              <w:jc w:val="right"/>
              <w:spacing w:after="0"/>
              <w:rPr>
                <w:sz w:val="20"/>
                <w:szCs w:val="20"/>
                <w:color w:val="auto"/>
              </w:rPr>
            </w:pPr>
            <w:r>
              <w:rPr>
                <w:rFonts w:ascii="Arial" w:cs="Arial" w:eastAsia="Arial" w:hAnsi="Arial"/>
                <w:sz w:val="13"/>
                <w:szCs w:val="13"/>
                <w:color w:val="auto"/>
                <w:w w:val="82"/>
              </w:rPr>
              <w:t>$</w:t>
            </w:r>
          </w:p>
        </w:tc>
        <w:tc>
          <w:tcPr>
            <w:tcW w:w="460" w:type="dxa"/>
            <w:vAlign w:val="bottom"/>
          </w:tcPr>
          <w:p>
            <w:pPr>
              <w:jc w:val="right"/>
              <w:spacing w:after="0"/>
              <w:rPr>
                <w:sz w:val="20"/>
                <w:szCs w:val="20"/>
                <w:color w:val="auto"/>
              </w:rPr>
            </w:pPr>
            <w:r>
              <w:rPr>
                <w:rFonts w:ascii="Arial" w:cs="Arial" w:eastAsia="Arial" w:hAnsi="Arial"/>
                <w:sz w:val="13"/>
                <w:szCs w:val="13"/>
                <w:color w:val="auto"/>
              </w:rPr>
              <w:t>16,088</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40" w:type="dxa"/>
            <w:vAlign w:val="bottom"/>
          </w:tcPr>
          <w:p>
            <w:pPr>
              <w:jc w:val="right"/>
              <w:spacing w:after="0"/>
              <w:rPr>
                <w:sz w:val="20"/>
                <w:szCs w:val="20"/>
                <w:color w:val="auto"/>
              </w:rPr>
            </w:pPr>
            <w:r>
              <w:rPr>
                <w:rFonts w:ascii="Arial" w:cs="Arial" w:eastAsia="Arial" w:hAnsi="Arial"/>
                <w:sz w:val="13"/>
                <w:szCs w:val="13"/>
                <w:color w:val="auto"/>
                <w:w w:val="92"/>
              </w:rPr>
              <w:t>190.7</w:t>
            </w:r>
          </w:p>
        </w:tc>
        <w:tc>
          <w:tcPr>
            <w:tcW w:w="80" w:type="dxa"/>
            <w:vAlign w:val="bottom"/>
          </w:tcPr>
          <w:p>
            <w:pPr>
              <w:spacing w:after="0"/>
              <w:rPr>
                <w:sz w:val="12"/>
                <w:szCs w:val="12"/>
                <w:color w:val="auto"/>
              </w:rPr>
            </w:pPr>
          </w:p>
        </w:tc>
        <w:tc>
          <w:tcPr>
            <w:tcW w:w="220" w:type="dxa"/>
            <w:vAlign w:val="bottom"/>
          </w:tcPr>
          <w:p>
            <w:pPr>
              <w:jc w:val="right"/>
              <w:ind w:right="17"/>
              <w:spacing w:after="0"/>
              <w:rPr>
                <w:sz w:val="20"/>
                <w:szCs w:val="20"/>
                <w:color w:val="auto"/>
              </w:rPr>
            </w:pPr>
            <w:r>
              <w:rPr>
                <w:rFonts w:ascii="Arial" w:cs="Arial" w:eastAsia="Arial" w:hAnsi="Arial"/>
                <w:sz w:val="13"/>
                <w:szCs w:val="13"/>
                <w:color w:val="auto"/>
              </w:rPr>
              <w:t>%</w:t>
            </w: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440" w:type="dxa"/>
            <w:vAlign w:val="bottom"/>
          </w:tcPr>
          <w:p>
            <w:pPr>
              <w:jc w:val="right"/>
              <w:spacing w:after="0"/>
              <w:rPr>
                <w:sz w:val="20"/>
                <w:szCs w:val="20"/>
                <w:color w:val="auto"/>
              </w:rPr>
            </w:pPr>
            <w:r>
              <w:rPr>
                <w:rFonts w:ascii="Arial" w:cs="Arial" w:eastAsia="Arial" w:hAnsi="Arial"/>
                <w:sz w:val="13"/>
                <w:szCs w:val="13"/>
                <w:color w:val="auto"/>
              </w:rPr>
              <w:t>49,737</w:t>
            </w:r>
          </w:p>
        </w:tc>
        <w:tc>
          <w:tcPr>
            <w:tcW w:w="800" w:type="dxa"/>
            <w:vAlign w:val="bottom"/>
            <w:gridSpan w:val="3"/>
          </w:tcPr>
          <w:p>
            <w:pPr>
              <w:jc w:val="right"/>
              <w:spacing w:after="0"/>
              <w:rPr>
                <w:sz w:val="20"/>
                <w:szCs w:val="20"/>
                <w:color w:val="auto"/>
              </w:rPr>
            </w:pPr>
            <w:r>
              <w:rPr>
                <w:rFonts w:ascii="Arial" w:cs="Arial" w:eastAsia="Arial" w:hAnsi="Arial"/>
                <w:sz w:val="13"/>
                <w:szCs w:val="13"/>
                <w:color w:val="auto"/>
              </w:rPr>
              <w:t>100.0</w:t>
            </w:r>
          </w:p>
        </w:tc>
        <w:tc>
          <w:tcPr>
            <w:tcW w:w="260" w:type="dxa"/>
            <w:vAlign w:val="bottom"/>
          </w:tcPr>
          <w:p>
            <w:pPr>
              <w:jc w:val="right"/>
              <w:spacing w:after="0"/>
              <w:rPr>
                <w:sz w:val="20"/>
                <w:szCs w:val="20"/>
                <w:color w:val="auto"/>
              </w:rPr>
            </w:pPr>
            <w:r>
              <w:rPr>
                <w:rFonts w:ascii="Arial" w:cs="Arial" w:eastAsia="Arial" w:hAnsi="Arial"/>
                <w:sz w:val="13"/>
                <w:szCs w:val="13"/>
                <w:color w:val="auto"/>
              </w:rPr>
              <w:t>%</w:t>
            </w:r>
          </w:p>
        </w:tc>
        <w:tc>
          <w:tcPr>
            <w:tcW w:w="14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440" w:type="dxa"/>
            <w:vAlign w:val="bottom"/>
          </w:tcPr>
          <w:p>
            <w:pPr>
              <w:jc w:val="right"/>
              <w:spacing w:after="0"/>
              <w:rPr>
                <w:sz w:val="20"/>
                <w:szCs w:val="20"/>
                <w:color w:val="auto"/>
              </w:rPr>
            </w:pPr>
            <w:r>
              <w:rPr>
                <w:rFonts w:ascii="Arial" w:cs="Arial" w:eastAsia="Arial" w:hAnsi="Arial"/>
                <w:sz w:val="13"/>
                <w:szCs w:val="13"/>
                <w:color w:val="auto"/>
              </w:rPr>
              <w:t>16,354</w:t>
            </w:r>
          </w:p>
        </w:tc>
        <w:tc>
          <w:tcPr>
            <w:tcW w:w="820" w:type="dxa"/>
            <w:vAlign w:val="bottom"/>
            <w:gridSpan w:val="2"/>
          </w:tcPr>
          <w:p>
            <w:pPr>
              <w:jc w:val="right"/>
              <w:spacing w:after="0"/>
              <w:rPr>
                <w:sz w:val="20"/>
                <w:szCs w:val="20"/>
                <w:color w:val="auto"/>
              </w:rPr>
            </w:pPr>
            <w:r>
              <w:rPr>
                <w:rFonts w:ascii="Arial" w:cs="Arial" w:eastAsia="Arial" w:hAnsi="Arial"/>
                <w:sz w:val="13"/>
                <w:szCs w:val="13"/>
                <w:color w:val="auto"/>
              </w:rPr>
              <w:t>100.0</w:t>
            </w:r>
          </w:p>
        </w:tc>
        <w:tc>
          <w:tcPr>
            <w:tcW w:w="280" w:type="dxa"/>
            <w:vAlign w:val="bottom"/>
          </w:tcPr>
          <w:p>
            <w:pPr>
              <w:jc w:val="right"/>
              <w:ind w:right="17"/>
              <w:spacing w:after="0"/>
              <w:rPr>
                <w:sz w:val="20"/>
                <w:szCs w:val="20"/>
                <w:color w:val="auto"/>
              </w:rPr>
            </w:pPr>
            <w:r>
              <w:rPr>
                <w:rFonts w:ascii="Arial" w:cs="Arial" w:eastAsia="Arial" w:hAnsi="Arial"/>
                <w:sz w:val="13"/>
                <w:szCs w:val="13"/>
                <w:color w:val="auto"/>
              </w:rPr>
              <w:t>%</w:t>
            </w: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440" w:type="dxa"/>
            <w:vAlign w:val="bottom"/>
          </w:tcPr>
          <w:p>
            <w:pPr>
              <w:jc w:val="right"/>
              <w:spacing w:after="0"/>
              <w:rPr>
                <w:sz w:val="20"/>
                <w:szCs w:val="20"/>
                <w:color w:val="auto"/>
              </w:rPr>
            </w:pPr>
            <w:r>
              <w:rPr>
                <w:rFonts w:ascii="Arial" w:cs="Arial" w:eastAsia="Arial" w:hAnsi="Arial"/>
                <w:sz w:val="13"/>
                <w:szCs w:val="13"/>
                <w:color w:val="auto"/>
              </w:rPr>
              <w:t>33,383</w:t>
            </w: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40" w:type="dxa"/>
            <w:vAlign w:val="bottom"/>
          </w:tcPr>
          <w:p>
            <w:pPr>
              <w:jc w:val="right"/>
              <w:spacing w:after="0"/>
              <w:rPr>
                <w:sz w:val="20"/>
                <w:szCs w:val="20"/>
                <w:color w:val="auto"/>
              </w:rPr>
            </w:pPr>
            <w:r>
              <w:rPr>
                <w:rFonts w:ascii="Arial" w:cs="Arial" w:eastAsia="Arial" w:hAnsi="Arial"/>
                <w:sz w:val="13"/>
                <w:szCs w:val="13"/>
                <w:color w:val="auto"/>
                <w:w w:val="92"/>
              </w:rPr>
              <w:t>204.1</w:t>
            </w:r>
          </w:p>
        </w:tc>
        <w:tc>
          <w:tcPr>
            <w:tcW w:w="60" w:type="dxa"/>
            <w:vAlign w:val="bottom"/>
          </w:tcPr>
          <w:p>
            <w:pPr>
              <w:spacing w:after="0"/>
              <w:rPr>
                <w:sz w:val="12"/>
                <w:szCs w:val="12"/>
                <w:color w:val="auto"/>
              </w:rPr>
            </w:pPr>
          </w:p>
        </w:tc>
        <w:tc>
          <w:tcPr>
            <w:tcW w:w="160" w:type="dxa"/>
            <w:vAlign w:val="bottom"/>
          </w:tcPr>
          <w:p>
            <w:pPr>
              <w:jc w:val="right"/>
              <w:spacing w:after="0"/>
              <w:rPr>
                <w:sz w:val="20"/>
                <w:szCs w:val="20"/>
                <w:color w:val="auto"/>
              </w:rPr>
            </w:pPr>
            <w:r>
              <w:rPr>
                <w:rFonts w:ascii="Arial" w:cs="Arial" w:eastAsia="Arial" w:hAnsi="Arial"/>
                <w:sz w:val="13"/>
                <w:szCs w:val="13"/>
                <w:color w:val="auto"/>
              </w:rPr>
              <w:t>%</w:t>
            </w:r>
          </w:p>
        </w:tc>
      </w:tr>
      <w:tr>
        <w:trPr>
          <w:trHeight w:val="148"/>
        </w:trPr>
        <w:tc>
          <w:tcPr>
            <w:tcW w:w="1960" w:type="dxa"/>
            <w:vAlign w:val="bottom"/>
            <w:gridSpan w:val="2"/>
            <w:shd w:val="clear" w:color="auto" w:fill="CFF0FC"/>
          </w:tcPr>
          <w:p>
            <w:pPr>
              <w:spacing w:after="0"/>
              <w:rPr>
                <w:sz w:val="20"/>
                <w:szCs w:val="20"/>
                <w:color w:val="auto"/>
              </w:rPr>
            </w:pPr>
            <w:r>
              <w:rPr>
                <w:rFonts w:ascii="Arial" w:cs="Arial" w:eastAsia="Arial" w:hAnsi="Arial"/>
                <w:sz w:val="13"/>
                <w:szCs w:val="13"/>
                <w:color w:val="auto"/>
              </w:rPr>
              <w:t>Cost of services revenues</w:t>
            </w:r>
          </w:p>
        </w:tc>
        <w:tc>
          <w:tcPr>
            <w:tcW w:w="80" w:type="dxa"/>
            <w:vAlign w:val="bottom"/>
            <w:shd w:val="clear" w:color="auto" w:fill="CFF0FC"/>
          </w:tcPr>
          <w:p>
            <w:pPr>
              <w:spacing w:after="0"/>
              <w:rPr>
                <w:sz w:val="12"/>
                <w:szCs w:val="12"/>
                <w:color w:val="auto"/>
              </w:rPr>
            </w:pPr>
          </w:p>
        </w:tc>
        <w:tc>
          <w:tcPr>
            <w:tcW w:w="4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10,924</w:t>
            </w:r>
          </w:p>
        </w:tc>
        <w:tc>
          <w:tcPr>
            <w:tcW w:w="800" w:type="dxa"/>
            <w:vAlign w:val="bottom"/>
            <w:gridSpan w:val="3"/>
            <w:shd w:val="clear" w:color="auto" w:fill="CFF0FC"/>
          </w:tcPr>
          <w:p>
            <w:pPr>
              <w:jc w:val="right"/>
              <w:spacing w:after="0"/>
              <w:rPr>
                <w:sz w:val="20"/>
                <w:szCs w:val="20"/>
                <w:color w:val="auto"/>
              </w:rPr>
            </w:pPr>
            <w:r>
              <w:rPr>
                <w:rFonts w:ascii="Arial" w:cs="Arial" w:eastAsia="Arial" w:hAnsi="Arial"/>
                <w:sz w:val="13"/>
                <w:szCs w:val="13"/>
                <w:color w:val="auto"/>
              </w:rPr>
              <w:t>44.5</w:t>
            </w:r>
          </w:p>
        </w:tc>
        <w:tc>
          <w:tcPr>
            <w:tcW w:w="24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3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4,322</w:t>
            </w:r>
          </w:p>
        </w:tc>
        <w:tc>
          <w:tcPr>
            <w:tcW w:w="800" w:type="dxa"/>
            <w:vAlign w:val="bottom"/>
            <w:gridSpan w:val="2"/>
            <w:shd w:val="clear" w:color="auto" w:fill="CFF0FC"/>
          </w:tcPr>
          <w:p>
            <w:pPr>
              <w:jc w:val="right"/>
              <w:spacing w:after="0"/>
              <w:rPr>
                <w:sz w:val="20"/>
                <w:szCs w:val="20"/>
                <w:color w:val="auto"/>
              </w:rPr>
            </w:pPr>
            <w:r>
              <w:rPr>
                <w:rFonts w:ascii="Arial" w:cs="Arial" w:eastAsia="Arial" w:hAnsi="Arial"/>
                <w:sz w:val="13"/>
                <w:szCs w:val="13"/>
                <w:color w:val="auto"/>
              </w:rPr>
              <w:t>51.2</w:t>
            </w:r>
          </w:p>
        </w:tc>
        <w:tc>
          <w:tcPr>
            <w:tcW w:w="280" w:type="dxa"/>
            <w:vAlign w:val="bottom"/>
            <w:shd w:val="clear" w:color="auto" w:fill="CFF0FC"/>
          </w:tcPr>
          <w:p>
            <w:pPr>
              <w:spacing w:after="0"/>
              <w:rPr>
                <w:sz w:val="12"/>
                <w:szCs w:val="12"/>
                <w:color w:val="auto"/>
              </w:rPr>
            </w:pPr>
          </w:p>
        </w:tc>
        <w:tc>
          <w:tcPr>
            <w:tcW w:w="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4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6,602</w:t>
            </w:r>
          </w:p>
        </w:tc>
        <w:tc>
          <w:tcPr>
            <w:tcW w:w="16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340" w:type="dxa"/>
            <w:vAlign w:val="bottom"/>
            <w:shd w:val="clear" w:color="auto" w:fill="CFF0FC"/>
          </w:tcPr>
          <w:p>
            <w:pPr>
              <w:jc w:val="right"/>
              <w:spacing w:after="0"/>
              <w:rPr>
                <w:sz w:val="20"/>
                <w:szCs w:val="20"/>
                <w:color w:val="auto"/>
              </w:rPr>
            </w:pPr>
            <w:r>
              <w:rPr>
                <w:rFonts w:ascii="Arial" w:cs="Arial" w:eastAsia="Arial" w:hAnsi="Arial"/>
                <w:sz w:val="13"/>
                <w:szCs w:val="13"/>
                <w:color w:val="auto"/>
                <w:w w:val="92"/>
              </w:rPr>
              <w:t>152.8</w:t>
            </w:r>
          </w:p>
        </w:tc>
        <w:tc>
          <w:tcPr>
            <w:tcW w:w="8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4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23,242</w:t>
            </w:r>
          </w:p>
        </w:tc>
        <w:tc>
          <w:tcPr>
            <w:tcW w:w="800" w:type="dxa"/>
            <w:vAlign w:val="bottom"/>
            <w:gridSpan w:val="3"/>
            <w:shd w:val="clear" w:color="auto" w:fill="CFF0FC"/>
          </w:tcPr>
          <w:p>
            <w:pPr>
              <w:jc w:val="right"/>
              <w:spacing w:after="0"/>
              <w:rPr>
                <w:sz w:val="20"/>
                <w:szCs w:val="20"/>
                <w:color w:val="auto"/>
              </w:rPr>
            </w:pPr>
            <w:r>
              <w:rPr>
                <w:rFonts w:ascii="Arial" w:cs="Arial" w:eastAsia="Arial" w:hAnsi="Arial"/>
                <w:sz w:val="13"/>
                <w:szCs w:val="13"/>
                <w:color w:val="auto"/>
              </w:rPr>
              <w:t>46.7</w:t>
            </w:r>
          </w:p>
        </w:tc>
        <w:tc>
          <w:tcPr>
            <w:tcW w:w="260" w:type="dxa"/>
            <w:vAlign w:val="bottom"/>
            <w:shd w:val="clear" w:color="auto" w:fill="CFF0FC"/>
          </w:tcPr>
          <w:p>
            <w:pPr>
              <w:spacing w:after="0"/>
              <w:rPr>
                <w:sz w:val="12"/>
                <w:szCs w:val="12"/>
                <w:color w:val="auto"/>
              </w:rPr>
            </w:pPr>
          </w:p>
        </w:tc>
        <w:tc>
          <w:tcPr>
            <w:tcW w:w="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4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8,092</w:t>
            </w:r>
          </w:p>
        </w:tc>
        <w:tc>
          <w:tcPr>
            <w:tcW w:w="820" w:type="dxa"/>
            <w:vAlign w:val="bottom"/>
            <w:gridSpan w:val="2"/>
            <w:shd w:val="clear" w:color="auto" w:fill="CFF0FC"/>
          </w:tcPr>
          <w:p>
            <w:pPr>
              <w:jc w:val="right"/>
              <w:spacing w:after="0"/>
              <w:rPr>
                <w:sz w:val="20"/>
                <w:szCs w:val="20"/>
                <w:color w:val="auto"/>
              </w:rPr>
            </w:pPr>
            <w:r>
              <w:rPr>
                <w:rFonts w:ascii="Arial" w:cs="Arial" w:eastAsia="Arial" w:hAnsi="Arial"/>
                <w:sz w:val="13"/>
                <w:szCs w:val="13"/>
                <w:color w:val="auto"/>
              </w:rPr>
              <w:t>49.5</w:t>
            </w:r>
          </w:p>
        </w:tc>
        <w:tc>
          <w:tcPr>
            <w:tcW w:w="28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4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15,150</w:t>
            </w:r>
          </w:p>
        </w:tc>
        <w:tc>
          <w:tcPr>
            <w:tcW w:w="18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340" w:type="dxa"/>
            <w:vAlign w:val="bottom"/>
            <w:shd w:val="clear" w:color="auto" w:fill="CFF0FC"/>
          </w:tcPr>
          <w:p>
            <w:pPr>
              <w:jc w:val="right"/>
              <w:spacing w:after="0"/>
              <w:rPr>
                <w:sz w:val="20"/>
                <w:szCs w:val="20"/>
                <w:color w:val="auto"/>
              </w:rPr>
            </w:pPr>
            <w:r>
              <w:rPr>
                <w:rFonts w:ascii="Arial" w:cs="Arial" w:eastAsia="Arial" w:hAnsi="Arial"/>
                <w:sz w:val="13"/>
                <w:szCs w:val="13"/>
                <w:color w:val="auto"/>
                <w:w w:val="92"/>
              </w:rPr>
              <w:t>187.2</w:t>
            </w:r>
          </w:p>
        </w:tc>
        <w:tc>
          <w:tcPr>
            <w:tcW w:w="6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r>
      <w:tr>
        <w:trPr>
          <w:trHeight w:val="142"/>
        </w:trPr>
        <w:tc>
          <w:tcPr>
            <w:tcW w:w="1960" w:type="dxa"/>
            <w:vAlign w:val="bottom"/>
            <w:gridSpan w:val="2"/>
          </w:tcPr>
          <w:p>
            <w:pPr>
              <w:spacing w:after="0" w:line="142" w:lineRule="exact"/>
              <w:rPr>
                <w:sz w:val="20"/>
                <w:szCs w:val="20"/>
                <w:color w:val="auto"/>
              </w:rPr>
            </w:pPr>
            <w:r>
              <w:rPr>
                <w:rFonts w:ascii="Arial" w:cs="Arial" w:eastAsia="Arial" w:hAnsi="Arial"/>
                <w:sz w:val="13"/>
                <w:szCs w:val="13"/>
                <w:color w:val="auto"/>
              </w:rPr>
              <w:t>Gross profit</w:t>
            </w:r>
          </w:p>
        </w:tc>
        <w:tc>
          <w:tcPr>
            <w:tcW w:w="80" w:type="dxa"/>
            <w:vAlign w:val="bottom"/>
            <w:tcBorders>
              <w:top w:val="single" w:sz="8" w:color="auto"/>
            </w:tcBorders>
          </w:tcPr>
          <w:p>
            <w:pPr>
              <w:spacing w:after="0"/>
              <w:rPr>
                <w:sz w:val="12"/>
                <w:szCs w:val="12"/>
                <w:color w:val="auto"/>
              </w:rPr>
            </w:pPr>
          </w:p>
        </w:tc>
        <w:tc>
          <w:tcPr>
            <w:tcW w:w="44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3"/>
                <w:szCs w:val="13"/>
                <w:color w:val="auto"/>
              </w:rPr>
              <w:t>13,601</w:t>
            </w:r>
          </w:p>
        </w:tc>
        <w:tc>
          <w:tcPr>
            <w:tcW w:w="20" w:type="dxa"/>
            <w:vAlign w:val="bottom"/>
            <w:tcBorders>
              <w:top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3"/>
                <w:szCs w:val="13"/>
                <w:color w:val="auto"/>
              </w:rPr>
              <w:t>55.5</w:t>
            </w:r>
          </w:p>
        </w:tc>
        <w:tc>
          <w:tcPr>
            <w:tcW w:w="2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38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3"/>
                <w:szCs w:val="13"/>
                <w:color w:val="auto"/>
              </w:rPr>
              <w:t>4,115</w:t>
            </w:r>
          </w:p>
        </w:tc>
        <w:tc>
          <w:tcPr>
            <w:tcW w:w="180" w:type="dxa"/>
            <w:vAlign w:val="bottom"/>
          </w:tcPr>
          <w:p>
            <w:pPr>
              <w:spacing w:after="0"/>
              <w:rPr>
                <w:sz w:val="12"/>
                <w:szCs w:val="12"/>
                <w:color w:val="auto"/>
              </w:rPr>
            </w:pPr>
          </w:p>
        </w:tc>
        <w:tc>
          <w:tcPr>
            <w:tcW w:w="62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3"/>
                <w:szCs w:val="13"/>
                <w:color w:val="auto"/>
              </w:rPr>
              <w:t>48.8</w:t>
            </w:r>
          </w:p>
        </w:tc>
        <w:tc>
          <w:tcPr>
            <w:tcW w:w="2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46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3"/>
                <w:szCs w:val="13"/>
                <w:color w:val="auto"/>
              </w:rPr>
              <w:t>9,486</w:t>
            </w:r>
          </w:p>
        </w:tc>
        <w:tc>
          <w:tcPr>
            <w:tcW w:w="16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34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3"/>
                <w:szCs w:val="13"/>
                <w:color w:val="auto"/>
                <w:w w:val="92"/>
              </w:rPr>
              <w:t>230.5</w:t>
            </w: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44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3"/>
                <w:szCs w:val="13"/>
                <w:color w:val="auto"/>
              </w:rPr>
              <w:t>26,495</w:t>
            </w:r>
          </w:p>
        </w:tc>
        <w:tc>
          <w:tcPr>
            <w:tcW w:w="20" w:type="dxa"/>
            <w:vAlign w:val="bottom"/>
            <w:tcBorders>
              <w:top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3"/>
                <w:szCs w:val="13"/>
                <w:color w:val="auto"/>
              </w:rPr>
              <w:t>53.3</w:t>
            </w:r>
          </w:p>
        </w:tc>
        <w:tc>
          <w:tcPr>
            <w:tcW w:w="2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44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3"/>
                <w:szCs w:val="13"/>
                <w:color w:val="auto"/>
              </w:rPr>
              <w:t>8,262</w:t>
            </w:r>
          </w:p>
        </w:tc>
        <w:tc>
          <w:tcPr>
            <w:tcW w:w="200" w:type="dxa"/>
            <w:vAlign w:val="bottom"/>
          </w:tcPr>
          <w:p>
            <w:pPr>
              <w:spacing w:after="0"/>
              <w:rPr>
                <w:sz w:val="12"/>
                <w:szCs w:val="12"/>
                <w:color w:val="auto"/>
              </w:rPr>
            </w:pPr>
          </w:p>
        </w:tc>
        <w:tc>
          <w:tcPr>
            <w:tcW w:w="62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3"/>
                <w:szCs w:val="13"/>
                <w:color w:val="auto"/>
              </w:rPr>
              <w:t>50.5</w:t>
            </w:r>
          </w:p>
        </w:tc>
        <w:tc>
          <w:tcPr>
            <w:tcW w:w="28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44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3"/>
                <w:szCs w:val="13"/>
                <w:color w:val="auto"/>
              </w:rPr>
              <w:t>18,233</w:t>
            </w:r>
          </w:p>
        </w:tc>
        <w:tc>
          <w:tcPr>
            <w:tcW w:w="18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34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3"/>
                <w:szCs w:val="13"/>
                <w:color w:val="auto"/>
                <w:w w:val="92"/>
              </w:rPr>
              <w:t>220.7</w:t>
            </w: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r>
      <w:tr>
        <w:trPr>
          <w:trHeight w:val="134"/>
        </w:trPr>
        <w:tc>
          <w:tcPr>
            <w:tcW w:w="1960" w:type="dxa"/>
            <w:vAlign w:val="bottom"/>
            <w:gridSpan w:val="2"/>
            <w:shd w:val="clear" w:color="auto" w:fill="CFF0FC"/>
          </w:tcPr>
          <w:p>
            <w:pPr>
              <w:spacing w:after="0" w:line="134" w:lineRule="exact"/>
              <w:rPr>
                <w:sz w:val="20"/>
                <w:szCs w:val="20"/>
                <w:color w:val="auto"/>
              </w:rPr>
            </w:pPr>
            <w:r>
              <w:rPr>
                <w:rFonts w:ascii="Arial" w:cs="Arial" w:eastAsia="Arial" w:hAnsi="Arial"/>
                <w:sz w:val="13"/>
                <w:szCs w:val="13"/>
                <w:color w:val="auto"/>
              </w:rPr>
              <w:t>General and administrative</w:t>
            </w:r>
          </w:p>
        </w:tc>
        <w:tc>
          <w:tcPr>
            <w:tcW w:w="80" w:type="dxa"/>
            <w:vAlign w:val="bottom"/>
            <w:shd w:val="clear" w:color="auto" w:fill="CFF0FC"/>
          </w:tcPr>
          <w:p>
            <w:pPr>
              <w:spacing w:after="0"/>
              <w:rPr>
                <w:sz w:val="11"/>
                <w:szCs w:val="11"/>
                <w:color w:val="auto"/>
              </w:rPr>
            </w:pPr>
          </w:p>
        </w:tc>
        <w:tc>
          <w:tcPr>
            <w:tcW w:w="440" w:type="dxa"/>
            <w:vAlign w:val="bottom"/>
            <w:shd w:val="clear" w:color="auto" w:fill="CFF0FC"/>
          </w:tcPr>
          <w:p>
            <w:pPr>
              <w:spacing w:after="0"/>
              <w:rPr>
                <w:sz w:val="11"/>
                <w:szCs w:val="11"/>
                <w:color w:val="auto"/>
              </w:rPr>
            </w:pPr>
          </w:p>
        </w:tc>
        <w:tc>
          <w:tcPr>
            <w:tcW w:w="2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62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38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620" w:type="dxa"/>
            <w:vAlign w:val="bottom"/>
            <w:shd w:val="clear" w:color="auto" w:fill="CFF0FC"/>
          </w:tcPr>
          <w:p>
            <w:pPr>
              <w:spacing w:after="0"/>
              <w:rPr>
                <w:sz w:val="11"/>
                <w:szCs w:val="11"/>
                <w:color w:val="auto"/>
              </w:rPr>
            </w:pPr>
          </w:p>
        </w:tc>
        <w:tc>
          <w:tcPr>
            <w:tcW w:w="280" w:type="dxa"/>
            <w:vAlign w:val="bottom"/>
            <w:shd w:val="clear" w:color="auto" w:fill="CFF0FC"/>
          </w:tcPr>
          <w:p>
            <w:pPr>
              <w:spacing w:after="0"/>
              <w:rPr>
                <w:sz w:val="11"/>
                <w:szCs w:val="11"/>
                <w:color w:val="auto"/>
              </w:rPr>
            </w:pPr>
          </w:p>
        </w:tc>
        <w:tc>
          <w:tcPr>
            <w:tcW w:w="2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46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34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440" w:type="dxa"/>
            <w:vAlign w:val="bottom"/>
            <w:shd w:val="clear" w:color="auto" w:fill="CFF0FC"/>
          </w:tcPr>
          <w:p>
            <w:pPr>
              <w:spacing w:after="0"/>
              <w:rPr>
                <w:sz w:val="11"/>
                <w:szCs w:val="11"/>
                <w:color w:val="auto"/>
              </w:rPr>
            </w:pPr>
          </w:p>
        </w:tc>
        <w:tc>
          <w:tcPr>
            <w:tcW w:w="2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620" w:type="dxa"/>
            <w:vAlign w:val="bottom"/>
            <w:shd w:val="clear" w:color="auto" w:fill="CFF0FC"/>
          </w:tcPr>
          <w:p>
            <w:pPr>
              <w:spacing w:after="0"/>
              <w:rPr>
                <w:sz w:val="11"/>
                <w:szCs w:val="11"/>
                <w:color w:val="auto"/>
              </w:rPr>
            </w:pPr>
          </w:p>
        </w:tc>
        <w:tc>
          <w:tcPr>
            <w:tcW w:w="260" w:type="dxa"/>
            <w:vAlign w:val="bottom"/>
            <w:shd w:val="clear" w:color="auto" w:fill="CFF0FC"/>
          </w:tcPr>
          <w:p>
            <w:pPr>
              <w:spacing w:after="0"/>
              <w:rPr>
                <w:sz w:val="11"/>
                <w:szCs w:val="11"/>
                <w:color w:val="auto"/>
              </w:rPr>
            </w:pPr>
          </w:p>
        </w:tc>
        <w:tc>
          <w:tcPr>
            <w:tcW w:w="4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44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620" w:type="dxa"/>
            <w:vAlign w:val="bottom"/>
            <w:shd w:val="clear" w:color="auto" w:fill="CFF0FC"/>
          </w:tcPr>
          <w:p>
            <w:pPr>
              <w:spacing w:after="0"/>
              <w:rPr>
                <w:sz w:val="11"/>
                <w:szCs w:val="11"/>
                <w:color w:val="auto"/>
              </w:rPr>
            </w:pPr>
          </w:p>
        </w:tc>
        <w:tc>
          <w:tcPr>
            <w:tcW w:w="28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44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34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r>
      <w:tr>
        <w:trPr>
          <w:trHeight w:val="149"/>
        </w:trPr>
        <w:tc>
          <w:tcPr>
            <w:tcW w:w="1960" w:type="dxa"/>
            <w:vAlign w:val="bottom"/>
            <w:gridSpan w:val="2"/>
            <w:shd w:val="clear" w:color="auto" w:fill="CFF0FC"/>
          </w:tcPr>
          <w:p>
            <w:pPr>
              <w:ind w:left="100"/>
              <w:spacing w:after="0"/>
              <w:rPr>
                <w:sz w:val="20"/>
                <w:szCs w:val="20"/>
                <w:color w:val="auto"/>
              </w:rPr>
            </w:pPr>
            <w:r>
              <w:rPr>
                <w:rFonts w:ascii="Arial" w:cs="Arial" w:eastAsia="Arial" w:hAnsi="Arial"/>
                <w:sz w:val="13"/>
                <w:szCs w:val="13"/>
                <w:color w:val="auto"/>
              </w:rPr>
              <w:t>expenses</w:t>
            </w:r>
          </w:p>
        </w:tc>
        <w:tc>
          <w:tcPr>
            <w:tcW w:w="80" w:type="dxa"/>
            <w:vAlign w:val="bottom"/>
            <w:shd w:val="clear" w:color="auto" w:fill="CFF0FC"/>
          </w:tcPr>
          <w:p>
            <w:pPr>
              <w:spacing w:after="0"/>
              <w:rPr>
                <w:sz w:val="12"/>
                <w:szCs w:val="12"/>
                <w:color w:val="auto"/>
              </w:rPr>
            </w:pPr>
          </w:p>
        </w:tc>
        <w:tc>
          <w:tcPr>
            <w:tcW w:w="4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6,297</w:t>
            </w:r>
          </w:p>
        </w:tc>
        <w:tc>
          <w:tcPr>
            <w:tcW w:w="800" w:type="dxa"/>
            <w:vAlign w:val="bottom"/>
            <w:gridSpan w:val="3"/>
            <w:shd w:val="clear" w:color="auto" w:fill="CFF0FC"/>
          </w:tcPr>
          <w:p>
            <w:pPr>
              <w:jc w:val="right"/>
              <w:spacing w:after="0"/>
              <w:rPr>
                <w:sz w:val="20"/>
                <w:szCs w:val="20"/>
                <w:color w:val="auto"/>
              </w:rPr>
            </w:pPr>
            <w:r>
              <w:rPr>
                <w:rFonts w:ascii="Arial" w:cs="Arial" w:eastAsia="Arial" w:hAnsi="Arial"/>
                <w:sz w:val="13"/>
                <w:szCs w:val="13"/>
                <w:color w:val="auto"/>
              </w:rPr>
              <w:t>25.7</w:t>
            </w:r>
          </w:p>
        </w:tc>
        <w:tc>
          <w:tcPr>
            <w:tcW w:w="24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3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1,548</w:t>
            </w:r>
          </w:p>
        </w:tc>
        <w:tc>
          <w:tcPr>
            <w:tcW w:w="800" w:type="dxa"/>
            <w:vAlign w:val="bottom"/>
            <w:gridSpan w:val="2"/>
            <w:shd w:val="clear" w:color="auto" w:fill="CFF0FC"/>
          </w:tcPr>
          <w:p>
            <w:pPr>
              <w:jc w:val="right"/>
              <w:spacing w:after="0"/>
              <w:rPr>
                <w:sz w:val="20"/>
                <w:szCs w:val="20"/>
                <w:color w:val="auto"/>
              </w:rPr>
            </w:pPr>
            <w:r>
              <w:rPr>
                <w:rFonts w:ascii="Arial" w:cs="Arial" w:eastAsia="Arial" w:hAnsi="Arial"/>
                <w:sz w:val="13"/>
                <w:szCs w:val="13"/>
                <w:color w:val="auto"/>
              </w:rPr>
              <w:t>18.3</w:t>
            </w:r>
          </w:p>
        </w:tc>
        <w:tc>
          <w:tcPr>
            <w:tcW w:w="280" w:type="dxa"/>
            <w:vAlign w:val="bottom"/>
            <w:shd w:val="clear" w:color="auto" w:fill="CFF0FC"/>
          </w:tcPr>
          <w:p>
            <w:pPr>
              <w:spacing w:after="0"/>
              <w:rPr>
                <w:sz w:val="12"/>
                <w:szCs w:val="12"/>
                <w:color w:val="auto"/>
              </w:rPr>
            </w:pPr>
          </w:p>
        </w:tc>
        <w:tc>
          <w:tcPr>
            <w:tcW w:w="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4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4,749</w:t>
            </w:r>
          </w:p>
        </w:tc>
        <w:tc>
          <w:tcPr>
            <w:tcW w:w="16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340" w:type="dxa"/>
            <w:vAlign w:val="bottom"/>
            <w:shd w:val="clear" w:color="auto" w:fill="CFF0FC"/>
          </w:tcPr>
          <w:p>
            <w:pPr>
              <w:jc w:val="right"/>
              <w:spacing w:after="0"/>
              <w:rPr>
                <w:sz w:val="20"/>
                <w:szCs w:val="20"/>
                <w:color w:val="auto"/>
              </w:rPr>
            </w:pPr>
            <w:r>
              <w:rPr>
                <w:rFonts w:ascii="Arial" w:cs="Arial" w:eastAsia="Arial" w:hAnsi="Arial"/>
                <w:sz w:val="13"/>
                <w:szCs w:val="13"/>
                <w:color w:val="auto"/>
                <w:w w:val="92"/>
              </w:rPr>
              <w:t>306.8</w:t>
            </w:r>
          </w:p>
        </w:tc>
        <w:tc>
          <w:tcPr>
            <w:tcW w:w="8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4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12,754</w:t>
            </w:r>
          </w:p>
        </w:tc>
        <w:tc>
          <w:tcPr>
            <w:tcW w:w="800" w:type="dxa"/>
            <w:vAlign w:val="bottom"/>
            <w:gridSpan w:val="3"/>
            <w:shd w:val="clear" w:color="auto" w:fill="CFF0FC"/>
          </w:tcPr>
          <w:p>
            <w:pPr>
              <w:jc w:val="right"/>
              <w:spacing w:after="0"/>
              <w:rPr>
                <w:sz w:val="20"/>
                <w:szCs w:val="20"/>
                <w:color w:val="auto"/>
              </w:rPr>
            </w:pPr>
            <w:r>
              <w:rPr>
                <w:rFonts w:ascii="Arial" w:cs="Arial" w:eastAsia="Arial" w:hAnsi="Arial"/>
                <w:sz w:val="13"/>
                <w:szCs w:val="13"/>
                <w:color w:val="auto"/>
              </w:rPr>
              <w:t>25.6</w:t>
            </w:r>
          </w:p>
        </w:tc>
        <w:tc>
          <w:tcPr>
            <w:tcW w:w="260" w:type="dxa"/>
            <w:vAlign w:val="bottom"/>
            <w:shd w:val="clear" w:color="auto" w:fill="CFF0FC"/>
          </w:tcPr>
          <w:p>
            <w:pPr>
              <w:spacing w:after="0"/>
              <w:rPr>
                <w:sz w:val="12"/>
                <w:szCs w:val="12"/>
                <w:color w:val="auto"/>
              </w:rPr>
            </w:pPr>
          </w:p>
        </w:tc>
        <w:tc>
          <w:tcPr>
            <w:tcW w:w="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4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3,138</w:t>
            </w:r>
          </w:p>
        </w:tc>
        <w:tc>
          <w:tcPr>
            <w:tcW w:w="820" w:type="dxa"/>
            <w:vAlign w:val="bottom"/>
            <w:gridSpan w:val="2"/>
            <w:shd w:val="clear" w:color="auto" w:fill="CFF0FC"/>
          </w:tcPr>
          <w:p>
            <w:pPr>
              <w:jc w:val="right"/>
              <w:spacing w:after="0"/>
              <w:rPr>
                <w:sz w:val="20"/>
                <w:szCs w:val="20"/>
                <w:color w:val="auto"/>
              </w:rPr>
            </w:pPr>
            <w:r>
              <w:rPr>
                <w:rFonts w:ascii="Arial" w:cs="Arial" w:eastAsia="Arial" w:hAnsi="Arial"/>
                <w:sz w:val="13"/>
                <w:szCs w:val="13"/>
                <w:color w:val="auto"/>
              </w:rPr>
              <w:t>19.2</w:t>
            </w:r>
          </w:p>
        </w:tc>
        <w:tc>
          <w:tcPr>
            <w:tcW w:w="28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4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9,616</w:t>
            </w:r>
          </w:p>
        </w:tc>
        <w:tc>
          <w:tcPr>
            <w:tcW w:w="18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340" w:type="dxa"/>
            <w:vAlign w:val="bottom"/>
            <w:shd w:val="clear" w:color="auto" w:fill="CFF0FC"/>
          </w:tcPr>
          <w:p>
            <w:pPr>
              <w:jc w:val="right"/>
              <w:spacing w:after="0"/>
              <w:rPr>
                <w:sz w:val="20"/>
                <w:szCs w:val="20"/>
                <w:color w:val="auto"/>
              </w:rPr>
            </w:pPr>
            <w:r>
              <w:rPr>
                <w:rFonts w:ascii="Arial" w:cs="Arial" w:eastAsia="Arial" w:hAnsi="Arial"/>
                <w:sz w:val="13"/>
                <w:szCs w:val="13"/>
                <w:color w:val="auto"/>
                <w:w w:val="92"/>
              </w:rPr>
              <w:t>306.4</w:t>
            </w:r>
          </w:p>
        </w:tc>
        <w:tc>
          <w:tcPr>
            <w:tcW w:w="6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r>
      <w:tr>
        <w:trPr>
          <w:trHeight w:val="182"/>
        </w:trPr>
        <w:tc>
          <w:tcPr>
            <w:tcW w:w="1960" w:type="dxa"/>
            <w:vAlign w:val="bottom"/>
            <w:tcBorders>
              <w:bottom w:val="single" w:sz="8" w:color="CFF0FC"/>
            </w:tcBorders>
            <w:gridSpan w:val="2"/>
          </w:tcPr>
          <w:p>
            <w:pPr>
              <w:spacing w:after="0" w:line="142" w:lineRule="exact"/>
              <w:rPr>
                <w:sz w:val="20"/>
                <w:szCs w:val="20"/>
                <w:color w:val="auto"/>
              </w:rPr>
            </w:pPr>
            <w:r>
              <w:rPr>
                <w:rFonts w:ascii="Arial" w:cs="Arial" w:eastAsia="Arial" w:hAnsi="Arial"/>
                <w:sz w:val="13"/>
                <w:szCs w:val="13"/>
                <w:color w:val="auto"/>
              </w:rPr>
              <w:t>Segment operating income</w:t>
            </w: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44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3"/>
                <w:szCs w:val="13"/>
                <w:color w:val="auto"/>
              </w:rPr>
              <w:t>7,304</w:t>
            </w:r>
          </w:p>
        </w:tc>
        <w:tc>
          <w:tcPr>
            <w:tcW w:w="20" w:type="dxa"/>
            <w:vAlign w:val="bottom"/>
            <w:tcBorders>
              <w:top w:val="single" w:sz="8" w:color="auto"/>
              <w:bottom w:val="single" w:sz="8" w:color="auto"/>
            </w:tcBorders>
          </w:tcPr>
          <w:p>
            <w:pPr>
              <w:spacing w:after="0"/>
              <w:rPr>
                <w:sz w:val="15"/>
                <w:szCs w:val="15"/>
                <w:color w:val="auto"/>
              </w:rPr>
            </w:pPr>
          </w:p>
        </w:tc>
        <w:tc>
          <w:tcPr>
            <w:tcW w:w="160" w:type="dxa"/>
            <w:vAlign w:val="bottom"/>
            <w:tcBorders>
              <w:bottom w:val="single" w:sz="8" w:color="CFF0FC"/>
            </w:tcBorders>
          </w:tcPr>
          <w:p>
            <w:pPr>
              <w:spacing w:after="0"/>
              <w:rPr>
                <w:sz w:val="15"/>
                <w:szCs w:val="15"/>
                <w:color w:val="auto"/>
              </w:rPr>
            </w:pPr>
          </w:p>
        </w:tc>
        <w:tc>
          <w:tcPr>
            <w:tcW w:w="62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3"/>
                <w:szCs w:val="13"/>
                <w:color w:val="auto"/>
              </w:rPr>
              <w:t>29.8</w:t>
            </w:r>
          </w:p>
        </w:tc>
        <w:tc>
          <w:tcPr>
            <w:tcW w:w="240" w:type="dxa"/>
            <w:vAlign w:val="bottom"/>
            <w:tcBorders>
              <w:bottom w:val="single" w:sz="8" w:color="CFF0FC"/>
            </w:tcBorders>
          </w:tcPr>
          <w:p>
            <w:pPr>
              <w:jc w:val="right"/>
              <w:spacing w:after="0" w:line="142" w:lineRule="exact"/>
              <w:rPr>
                <w:sz w:val="20"/>
                <w:szCs w:val="20"/>
                <w:color w:val="auto"/>
              </w:rPr>
            </w:pPr>
            <w:r>
              <w:rPr>
                <w:rFonts w:ascii="Arial" w:cs="Arial" w:eastAsia="Arial" w:hAnsi="Arial"/>
                <w:sz w:val="13"/>
                <w:szCs w:val="13"/>
                <w:color w:val="auto"/>
              </w:rPr>
              <w:t>%</w:t>
            </w:r>
          </w:p>
        </w:tc>
        <w:tc>
          <w:tcPr>
            <w:tcW w:w="60" w:type="dxa"/>
            <w:vAlign w:val="bottom"/>
            <w:tcBorders>
              <w:bottom w:val="single" w:sz="8" w:color="CFF0FC"/>
            </w:tcBorders>
          </w:tcPr>
          <w:p>
            <w:pPr>
              <w:spacing w:after="0"/>
              <w:rPr>
                <w:sz w:val="15"/>
                <w:szCs w:val="15"/>
                <w:color w:val="auto"/>
              </w:rPr>
            </w:pPr>
          </w:p>
        </w:tc>
        <w:tc>
          <w:tcPr>
            <w:tcW w:w="100" w:type="dxa"/>
            <w:vAlign w:val="bottom"/>
            <w:tcBorders>
              <w:top w:val="single" w:sz="8" w:color="auto"/>
              <w:bottom w:val="single" w:sz="8" w:color="auto"/>
            </w:tcBorders>
          </w:tcPr>
          <w:p>
            <w:pPr>
              <w:spacing w:after="0" w:line="142" w:lineRule="exact"/>
              <w:rPr>
                <w:sz w:val="20"/>
                <w:szCs w:val="20"/>
                <w:color w:val="auto"/>
              </w:rPr>
            </w:pPr>
            <w:r>
              <w:rPr>
                <w:rFonts w:ascii="Arial" w:cs="Arial" w:eastAsia="Arial" w:hAnsi="Arial"/>
                <w:sz w:val="13"/>
                <w:szCs w:val="13"/>
                <w:color w:val="auto"/>
              </w:rPr>
              <w:t>$</w:t>
            </w:r>
          </w:p>
        </w:tc>
        <w:tc>
          <w:tcPr>
            <w:tcW w:w="38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3"/>
                <w:szCs w:val="13"/>
                <w:color w:val="auto"/>
              </w:rPr>
              <w:t>2,567</w:t>
            </w:r>
          </w:p>
        </w:tc>
        <w:tc>
          <w:tcPr>
            <w:tcW w:w="180" w:type="dxa"/>
            <w:vAlign w:val="bottom"/>
            <w:tcBorders>
              <w:bottom w:val="single" w:sz="8" w:color="CFF0FC"/>
            </w:tcBorders>
          </w:tcPr>
          <w:p>
            <w:pPr>
              <w:spacing w:after="0"/>
              <w:rPr>
                <w:sz w:val="15"/>
                <w:szCs w:val="15"/>
                <w:color w:val="auto"/>
              </w:rPr>
            </w:pPr>
          </w:p>
        </w:tc>
        <w:tc>
          <w:tcPr>
            <w:tcW w:w="62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3"/>
                <w:szCs w:val="13"/>
                <w:color w:val="auto"/>
              </w:rPr>
              <w:t>30.5</w:t>
            </w:r>
          </w:p>
        </w:tc>
        <w:tc>
          <w:tcPr>
            <w:tcW w:w="280" w:type="dxa"/>
            <w:vAlign w:val="bottom"/>
            <w:tcBorders>
              <w:bottom w:val="single" w:sz="8" w:color="CFF0FC"/>
            </w:tcBorders>
          </w:tcPr>
          <w:p>
            <w:pPr>
              <w:jc w:val="right"/>
              <w:ind w:right="17"/>
              <w:spacing w:after="0" w:line="142" w:lineRule="exact"/>
              <w:rPr>
                <w:sz w:val="20"/>
                <w:szCs w:val="20"/>
                <w:color w:val="auto"/>
              </w:rPr>
            </w:pPr>
            <w:r>
              <w:rPr>
                <w:rFonts w:ascii="Arial" w:cs="Arial" w:eastAsia="Arial" w:hAnsi="Arial"/>
                <w:sz w:val="13"/>
                <w:szCs w:val="13"/>
                <w:color w:val="auto"/>
              </w:rPr>
              <w:t>%</w:t>
            </w:r>
          </w:p>
        </w:tc>
        <w:tc>
          <w:tcPr>
            <w:tcW w:w="20" w:type="dxa"/>
            <w:vAlign w:val="bottom"/>
            <w:tcBorders>
              <w:bottom w:val="single" w:sz="8" w:color="CFF0FC"/>
            </w:tcBorders>
          </w:tcPr>
          <w:p>
            <w:pPr>
              <w:spacing w:after="0"/>
              <w:rPr>
                <w:sz w:val="15"/>
                <w:szCs w:val="15"/>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46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3"/>
                <w:szCs w:val="13"/>
                <w:color w:val="auto"/>
              </w:rPr>
              <w:t>4,737</w:t>
            </w:r>
          </w:p>
        </w:tc>
        <w:tc>
          <w:tcPr>
            <w:tcW w:w="160" w:type="dxa"/>
            <w:vAlign w:val="bottom"/>
            <w:tcBorders>
              <w:bottom w:val="single" w:sz="8" w:color="CFF0FC"/>
            </w:tcBorders>
          </w:tcPr>
          <w:p>
            <w:pPr>
              <w:spacing w:after="0"/>
              <w:rPr>
                <w:sz w:val="15"/>
                <w:szCs w:val="15"/>
                <w:color w:val="auto"/>
              </w:rPr>
            </w:pPr>
          </w:p>
        </w:tc>
        <w:tc>
          <w:tcPr>
            <w:tcW w:w="100" w:type="dxa"/>
            <w:vAlign w:val="bottom"/>
            <w:tcBorders>
              <w:top w:val="single" w:sz="8" w:color="auto"/>
              <w:bottom w:val="single" w:sz="8" w:color="auto"/>
            </w:tcBorders>
          </w:tcPr>
          <w:p>
            <w:pPr>
              <w:spacing w:after="0"/>
              <w:rPr>
                <w:sz w:val="15"/>
                <w:szCs w:val="15"/>
                <w:color w:val="auto"/>
              </w:rPr>
            </w:pPr>
          </w:p>
        </w:tc>
        <w:tc>
          <w:tcPr>
            <w:tcW w:w="34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3"/>
                <w:szCs w:val="13"/>
                <w:color w:val="auto"/>
                <w:w w:val="92"/>
              </w:rPr>
              <w:t>184.5</w:t>
            </w:r>
          </w:p>
        </w:tc>
        <w:tc>
          <w:tcPr>
            <w:tcW w:w="80" w:type="dxa"/>
            <w:vAlign w:val="bottom"/>
            <w:tcBorders>
              <w:bottom w:val="single" w:sz="8" w:color="CFF0FC"/>
            </w:tcBorders>
          </w:tcPr>
          <w:p>
            <w:pPr>
              <w:spacing w:after="0"/>
              <w:rPr>
                <w:sz w:val="15"/>
                <w:szCs w:val="15"/>
                <w:color w:val="auto"/>
              </w:rPr>
            </w:pPr>
          </w:p>
        </w:tc>
        <w:tc>
          <w:tcPr>
            <w:tcW w:w="220" w:type="dxa"/>
            <w:vAlign w:val="bottom"/>
            <w:tcBorders>
              <w:bottom w:val="single" w:sz="8" w:color="CFF0FC"/>
            </w:tcBorders>
          </w:tcPr>
          <w:p>
            <w:pPr>
              <w:jc w:val="right"/>
              <w:ind w:right="17"/>
              <w:spacing w:after="0" w:line="142" w:lineRule="exact"/>
              <w:rPr>
                <w:sz w:val="20"/>
                <w:szCs w:val="20"/>
                <w:color w:val="auto"/>
              </w:rPr>
            </w:pPr>
            <w:r>
              <w:rPr>
                <w:rFonts w:ascii="Arial" w:cs="Arial" w:eastAsia="Arial" w:hAnsi="Arial"/>
                <w:sz w:val="13"/>
                <w:szCs w:val="13"/>
                <w:color w:val="auto"/>
              </w:rPr>
              <w:t>%</w:t>
            </w: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44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3"/>
                <w:szCs w:val="13"/>
                <w:color w:val="auto"/>
              </w:rPr>
              <w:t>13,741</w:t>
            </w:r>
          </w:p>
        </w:tc>
        <w:tc>
          <w:tcPr>
            <w:tcW w:w="20" w:type="dxa"/>
            <w:vAlign w:val="bottom"/>
            <w:tcBorders>
              <w:top w:val="single" w:sz="8" w:color="auto"/>
              <w:bottom w:val="single" w:sz="8" w:color="auto"/>
            </w:tcBorders>
          </w:tcPr>
          <w:p>
            <w:pPr>
              <w:spacing w:after="0"/>
              <w:rPr>
                <w:sz w:val="15"/>
                <w:szCs w:val="15"/>
                <w:color w:val="auto"/>
              </w:rPr>
            </w:pPr>
          </w:p>
        </w:tc>
        <w:tc>
          <w:tcPr>
            <w:tcW w:w="160" w:type="dxa"/>
            <w:vAlign w:val="bottom"/>
            <w:tcBorders>
              <w:bottom w:val="single" w:sz="8" w:color="CFF0FC"/>
            </w:tcBorders>
          </w:tcPr>
          <w:p>
            <w:pPr>
              <w:spacing w:after="0"/>
              <w:rPr>
                <w:sz w:val="15"/>
                <w:szCs w:val="15"/>
                <w:color w:val="auto"/>
              </w:rPr>
            </w:pPr>
          </w:p>
        </w:tc>
        <w:tc>
          <w:tcPr>
            <w:tcW w:w="62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3"/>
                <w:szCs w:val="13"/>
                <w:color w:val="auto"/>
              </w:rPr>
              <w:t>27.7</w:t>
            </w:r>
          </w:p>
        </w:tc>
        <w:tc>
          <w:tcPr>
            <w:tcW w:w="260" w:type="dxa"/>
            <w:vAlign w:val="bottom"/>
            <w:tcBorders>
              <w:bottom w:val="single" w:sz="8" w:color="CFF0FC"/>
            </w:tcBorders>
          </w:tcPr>
          <w:p>
            <w:pPr>
              <w:jc w:val="right"/>
              <w:spacing w:after="0" w:line="142" w:lineRule="exact"/>
              <w:rPr>
                <w:sz w:val="20"/>
                <w:szCs w:val="20"/>
                <w:color w:val="auto"/>
              </w:rPr>
            </w:pPr>
            <w:r>
              <w:rPr>
                <w:rFonts w:ascii="Arial" w:cs="Arial" w:eastAsia="Arial" w:hAnsi="Arial"/>
                <w:sz w:val="13"/>
                <w:szCs w:val="13"/>
                <w:color w:val="auto"/>
              </w:rPr>
              <w:t>%</w:t>
            </w:r>
          </w:p>
        </w:tc>
        <w:tc>
          <w:tcPr>
            <w:tcW w:w="40" w:type="dxa"/>
            <w:vAlign w:val="bottom"/>
            <w:tcBorders>
              <w:bottom w:val="single" w:sz="8" w:color="CFF0FC"/>
            </w:tcBorders>
          </w:tcPr>
          <w:p>
            <w:pPr>
              <w:spacing w:after="0"/>
              <w:rPr>
                <w:sz w:val="15"/>
                <w:szCs w:val="15"/>
                <w:color w:val="auto"/>
              </w:rPr>
            </w:pPr>
          </w:p>
        </w:tc>
        <w:tc>
          <w:tcPr>
            <w:tcW w:w="10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3"/>
                <w:szCs w:val="13"/>
                <w:color w:val="auto"/>
                <w:w w:val="82"/>
              </w:rPr>
              <w:t>$</w:t>
            </w:r>
          </w:p>
        </w:tc>
        <w:tc>
          <w:tcPr>
            <w:tcW w:w="44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3"/>
                <w:szCs w:val="13"/>
                <w:color w:val="auto"/>
              </w:rPr>
              <w:t>5,124</w:t>
            </w:r>
          </w:p>
        </w:tc>
        <w:tc>
          <w:tcPr>
            <w:tcW w:w="200" w:type="dxa"/>
            <w:vAlign w:val="bottom"/>
            <w:tcBorders>
              <w:bottom w:val="single" w:sz="8" w:color="CFF0FC"/>
            </w:tcBorders>
          </w:tcPr>
          <w:p>
            <w:pPr>
              <w:spacing w:after="0"/>
              <w:rPr>
                <w:sz w:val="15"/>
                <w:szCs w:val="15"/>
                <w:color w:val="auto"/>
              </w:rPr>
            </w:pPr>
          </w:p>
        </w:tc>
        <w:tc>
          <w:tcPr>
            <w:tcW w:w="62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3"/>
                <w:szCs w:val="13"/>
                <w:color w:val="auto"/>
              </w:rPr>
              <w:t>31.3</w:t>
            </w:r>
          </w:p>
        </w:tc>
        <w:tc>
          <w:tcPr>
            <w:tcW w:w="280" w:type="dxa"/>
            <w:vAlign w:val="bottom"/>
            <w:tcBorders>
              <w:bottom w:val="single" w:sz="8" w:color="CFF0FC"/>
            </w:tcBorders>
          </w:tcPr>
          <w:p>
            <w:pPr>
              <w:jc w:val="right"/>
              <w:ind w:right="17"/>
              <w:spacing w:after="0" w:line="142" w:lineRule="exact"/>
              <w:rPr>
                <w:sz w:val="20"/>
                <w:szCs w:val="20"/>
                <w:color w:val="auto"/>
              </w:rPr>
            </w:pPr>
            <w:r>
              <w:rPr>
                <w:rFonts w:ascii="Arial" w:cs="Arial" w:eastAsia="Arial" w:hAnsi="Arial"/>
                <w:sz w:val="13"/>
                <w:szCs w:val="13"/>
                <w:color w:val="auto"/>
              </w:rPr>
              <w:t>%</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44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3"/>
                <w:szCs w:val="13"/>
                <w:color w:val="auto"/>
              </w:rPr>
              <w:t>8,617</w:t>
            </w:r>
          </w:p>
        </w:tc>
        <w:tc>
          <w:tcPr>
            <w:tcW w:w="180" w:type="dxa"/>
            <w:vAlign w:val="bottom"/>
            <w:tcBorders>
              <w:bottom w:val="single" w:sz="8" w:color="CFF0FC"/>
            </w:tcBorders>
          </w:tcPr>
          <w:p>
            <w:pPr>
              <w:spacing w:after="0"/>
              <w:rPr>
                <w:sz w:val="15"/>
                <w:szCs w:val="15"/>
                <w:color w:val="auto"/>
              </w:rPr>
            </w:pPr>
          </w:p>
        </w:tc>
        <w:tc>
          <w:tcPr>
            <w:tcW w:w="100" w:type="dxa"/>
            <w:vAlign w:val="bottom"/>
            <w:tcBorders>
              <w:top w:val="single" w:sz="8" w:color="auto"/>
              <w:bottom w:val="single" w:sz="8" w:color="auto"/>
            </w:tcBorders>
          </w:tcPr>
          <w:p>
            <w:pPr>
              <w:spacing w:after="0"/>
              <w:rPr>
                <w:sz w:val="15"/>
                <w:szCs w:val="15"/>
                <w:color w:val="auto"/>
              </w:rPr>
            </w:pPr>
          </w:p>
        </w:tc>
        <w:tc>
          <w:tcPr>
            <w:tcW w:w="34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3"/>
                <w:szCs w:val="13"/>
                <w:color w:val="auto"/>
                <w:w w:val="92"/>
              </w:rPr>
              <w:t>168.2</w:t>
            </w:r>
          </w:p>
        </w:tc>
        <w:tc>
          <w:tcPr>
            <w:tcW w:w="60" w:type="dxa"/>
            <w:vAlign w:val="bottom"/>
            <w:tcBorders>
              <w:bottom w:val="single" w:sz="8" w:color="CFF0FC"/>
            </w:tcBorders>
          </w:tcPr>
          <w:p>
            <w:pPr>
              <w:spacing w:after="0"/>
              <w:rPr>
                <w:sz w:val="15"/>
                <w:szCs w:val="15"/>
                <w:color w:val="auto"/>
              </w:rPr>
            </w:pPr>
          </w:p>
        </w:tc>
        <w:tc>
          <w:tcPr>
            <w:tcW w:w="160" w:type="dxa"/>
            <w:vAlign w:val="bottom"/>
            <w:tcBorders>
              <w:bottom w:val="single" w:sz="8" w:color="CFF0FC"/>
            </w:tcBorders>
          </w:tcPr>
          <w:p>
            <w:pPr>
              <w:jc w:val="right"/>
              <w:spacing w:after="0" w:line="142" w:lineRule="exact"/>
              <w:rPr>
                <w:sz w:val="20"/>
                <w:szCs w:val="20"/>
                <w:color w:val="auto"/>
              </w:rPr>
            </w:pPr>
            <w:r>
              <w:rPr>
                <w:rFonts w:ascii="Arial" w:cs="Arial" w:eastAsia="Arial" w:hAnsi="Arial"/>
                <w:sz w:val="13"/>
                <w:szCs w:val="13"/>
                <w:color w:val="auto"/>
              </w:rPr>
              <w:t>%</w:t>
            </w:r>
          </w:p>
        </w:tc>
      </w:tr>
      <w:tr>
        <w:trPr>
          <w:trHeight w:val="111"/>
        </w:trPr>
        <w:tc>
          <w:tcPr>
            <w:tcW w:w="1960" w:type="dxa"/>
            <w:vAlign w:val="bottom"/>
            <w:gridSpan w:val="2"/>
            <w:shd w:val="clear" w:color="auto" w:fill="CFF0FC"/>
          </w:tcPr>
          <w:p>
            <w:pPr>
              <w:spacing w:after="0" w:line="111" w:lineRule="exact"/>
              <w:rPr>
                <w:sz w:val="20"/>
                <w:szCs w:val="20"/>
                <w:color w:val="auto"/>
              </w:rPr>
            </w:pPr>
            <w:r>
              <w:rPr>
                <w:rFonts w:ascii="Arial" w:cs="Arial" w:eastAsia="Arial" w:hAnsi="Arial"/>
                <w:sz w:val="12"/>
                <w:szCs w:val="12"/>
                <w:b w:val="1"/>
                <w:bCs w:val="1"/>
                <w:color w:val="auto"/>
              </w:rPr>
              <w:t>Business Metrics (Actual</w:t>
            </w:r>
          </w:p>
        </w:tc>
        <w:tc>
          <w:tcPr>
            <w:tcW w:w="80" w:type="dxa"/>
            <w:vAlign w:val="bottom"/>
            <w:shd w:val="clear" w:color="auto" w:fill="CFF0FC"/>
          </w:tcPr>
          <w:p>
            <w:pPr>
              <w:spacing w:after="0"/>
              <w:rPr>
                <w:sz w:val="9"/>
                <w:szCs w:val="9"/>
                <w:color w:val="auto"/>
              </w:rPr>
            </w:pPr>
          </w:p>
        </w:tc>
        <w:tc>
          <w:tcPr>
            <w:tcW w:w="440" w:type="dxa"/>
            <w:vAlign w:val="bottom"/>
            <w:shd w:val="clear" w:color="auto" w:fill="CFF0FC"/>
          </w:tcPr>
          <w:p>
            <w:pPr>
              <w:spacing w:after="0"/>
              <w:rPr>
                <w:sz w:val="9"/>
                <w:szCs w:val="9"/>
                <w:color w:val="auto"/>
              </w:rPr>
            </w:pPr>
          </w:p>
        </w:tc>
        <w:tc>
          <w:tcPr>
            <w:tcW w:w="20" w:type="dxa"/>
            <w:vAlign w:val="bottom"/>
            <w:shd w:val="clear" w:color="auto" w:fill="CFF0FC"/>
          </w:tcPr>
          <w:p>
            <w:pPr>
              <w:spacing w:after="0"/>
              <w:rPr>
                <w:sz w:val="9"/>
                <w:szCs w:val="9"/>
                <w:color w:val="auto"/>
              </w:rPr>
            </w:pPr>
          </w:p>
        </w:tc>
        <w:tc>
          <w:tcPr>
            <w:tcW w:w="160" w:type="dxa"/>
            <w:vAlign w:val="bottom"/>
            <w:shd w:val="clear" w:color="auto" w:fill="CFF0FC"/>
          </w:tcPr>
          <w:p>
            <w:pPr>
              <w:spacing w:after="0"/>
              <w:rPr>
                <w:sz w:val="9"/>
                <w:szCs w:val="9"/>
                <w:color w:val="auto"/>
              </w:rPr>
            </w:pPr>
          </w:p>
        </w:tc>
        <w:tc>
          <w:tcPr>
            <w:tcW w:w="620" w:type="dxa"/>
            <w:vAlign w:val="bottom"/>
            <w:shd w:val="clear" w:color="auto" w:fill="CFF0FC"/>
          </w:tcPr>
          <w:p>
            <w:pPr>
              <w:spacing w:after="0"/>
              <w:rPr>
                <w:sz w:val="9"/>
                <w:szCs w:val="9"/>
                <w:color w:val="auto"/>
              </w:rPr>
            </w:pPr>
          </w:p>
        </w:tc>
        <w:tc>
          <w:tcPr>
            <w:tcW w:w="240" w:type="dxa"/>
            <w:vAlign w:val="bottom"/>
            <w:shd w:val="clear" w:color="auto" w:fill="CFF0FC"/>
          </w:tcPr>
          <w:p>
            <w:pPr>
              <w:spacing w:after="0"/>
              <w:rPr>
                <w:sz w:val="9"/>
                <w:szCs w:val="9"/>
                <w:color w:val="auto"/>
              </w:rPr>
            </w:pPr>
          </w:p>
        </w:tc>
        <w:tc>
          <w:tcPr>
            <w:tcW w:w="6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380" w:type="dxa"/>
            <w:vAlign w:val="bottom"/>
            <w:shd w:val="clear" w:color="auto" w:fill="CFF0FC"/>
          </w:tcPr>
          <w:p>
            <w:pPr>
              <w:spacing w:after="0"/>
              <w:rPr>
                <w:sz w:val="9"/>
                <w:szCs w:val="9"/>
                <w:color w:val="auto"/>
              </w:rPr>
            </w:pPr>
          </w:p>
        </w:tc>
        <w:tc>
          <w:tcPr>
            <w:tcW w:w="180" w:type="dxa"/>
            <w:vAlign w:val="bottom"/>
            <w:shd w:val="clear" w:color="auto" w:fill="CFF0FC"/>
          </w:tcPr>
          <w:p>
            <w:pPr>
              <w:spacing w:after="0"/>
              <w:rPr>
                <w:sz w:val="9"/>
                <w:szCs w:val="9"/>
                <w:color w:val="auto"/>
              </w:rPr>
            </w:pPr>
          </w:p>
        </w:tc>
        <w:tc>
          <w:tcPr>
            <w:tcW w:w="620" w:type="dxa"/>
            <w:vAlign w:val="bottom"/>
            <w:shd w:val="clear" w:color="auto" w:fill="CFF0FC"/>
          </w:tcPr>
          <w:p>
            <w:pPr>
              <w:spacing w:after="0"/>
              <w:rPr>
                <w:sz w:val="9"/>
                <w:szCs w:val="9"/>
                <w:color w:val="auto"/>
              </w:rPr>
            </w:pPr>
          </w:p>
        </w:tc>
        <w:tc>
          <w:tcPr>
            <w:tcW w:w="280" w:type="dxa"/>
            <w:vAlign w:val="bottom"/>
            <w:shd w:val="clear" w:color="auto" w:fill="CFF0FC"/>
          </w:tcPr>
          <w:p>
            <w:pPr>
              <w:spacing w:after="0"/>
              <w:rPr>
                <w:sz w:val="9"/>
                <w:szCs w:val="9"/>
                <w:color w:val="auto"/>
              </w:rPr>
            </w:pPr>
          </w:p>
        </w:tc>
        <w:tc>
          <w:tcPr>
            <w:tcW w:w="20" w:type="dxa"/>
            <w:vAlign w:val="bottom"/>
            <w:shd w:val="clear" w:color="auto" w:fill="CFF0FC"/>
          </w:tcPr>
          <w:p>
            <w:pPr>
              <w:spacing w:after="0"/>
              <w:rPr>
                <w:sz w:val="9"/>
                <w:szCs w:val="9"/>
                <w:color w:val="auto"/>
              </w:rPr>
            </w:pPr>
          </w:p>
        </w:tc>
        <w:tc>
          <w:tcPr>
            <w:tcW w:w="80" w:type="dxa"/>
            <w:vAlign w:val="bottom"/>
            <w:shd w:val="clear" w:color="auto" w:fill="CFF0FC"/>
          </w:tcPr>
          <w:p>
            <w:pPr>
              <w:spacing w:after="0"/>
              <w:rPr>
                <w:sz w:val="9"/>
                <w:szCs w:val="9"/>
                <w:color w:val="auto"/>
              </w:rPr>
            </w:pPr>
          </w:p>
        </w:tc>
        <w:tc>
          <w:tcPr>
            <w:tcW w:w="460" w:type="dxa"/>
            <w:vAlign w:val="bottom"/>
            <w:shd w:val="clear" w:color="auto" w:fill="CFF0FC"/>
          </w:tcPr>
          <w:p>
            <w:pPr>
              <w:spacing w:after="0"/>
              <w:rPr>
                <w:sz w:val="9"/>
                <w:szCs w:val="9"/>
                <w:color w:val="auto"/>
              </w:rPr>
            </w:pPr>
          </w:p>
        </w:tc>
        <w:tc>
          <w:tcPr>
            <w:tcW w:w="16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340" w:type="dxa"/>
            <w:vAlign w:val="bottom"/>
            <w:shd w:val="clear" w:color="auto" w:fill="CFF0FC"/>
          </w:tcPr>
          <w:p>
            <w:pPr>
              <w:spacing w:after="0"/>
              <w:rPr>
                <w:sz w:val="9"/>
                <w:szCs w:val="9"/>
                <w:color w:val="auto"/>
              </w:rPr>
            </w:pPr>
          </w:p>
        </w:tc>
        <w:tc>
          <w:tcPr>
            <w:tcW w:w="80" w:type="dxa"/>
            <w:vAlign w:val="bottom"/>
            <w:shd w:val="clear" w:color="auto" w:fill="CFF0FC"/>
          </w:tcPr>
          <w:p>
            <w:pPr>
              <w:spacing w:after="0"/>
              <w:rPr>
                <w:sz w:val="9"/>
                <w:szCs w:val="9"/>
                <w:color w:val="auto"/>
              </w:rPr>
            </w:pPr>
          </w:p>
        </w:tc>
        <w:tc>
          <w:tcPr>
            <w:tcW w:w="220" w:type="dxa"/>
            <w:vAlign w:val="bottom"/>
            <w:shd w:val="clear" w:color="auto" w:fill="CFF0FC"/>
          </w:tcPr>
          <w:p>
            <w:pPr>
              <w:spacing w:after="0"/>
              <w:rPr>
                <w:sz w:val="9"/>
                <w:szCs w:val="9"/>
                <w:color w:val="auto"/>
              </w:rPr>
            </w:pPr>
          </w:p>
        </w:tc>
        <w:tc>
          <w:tcPr>
            <w:tcW w:w="80" w:type="dxa"/>
            <w:vAlign w:val="bottom"/>
            <w:shd w:val="clear" w:color="auto" w:fill="CFF0FC"/>
          </w:tcPr>
          <w:p>
            <w:pPr>
              <w:spacing w:after="0"/>
              <w:rPr>
                <w:sz w:val="9"/>
                <w:szCs w:val="9"/>
                <w:color w:val="auto"/>
              </w:rPr>
            </w:pPr>
          </w:p>
        </w:tc>
        <w:tc>
          <w:tcPr>
            <w:tcW w:w="440" w:type="dxa"/>
            <w:vAlign w:val="bottom"/>
            <w:shd w:val="clear" w:color="auto" w:fill="CFF0FC"/>
          </w:tcPr>
          <w:p>
            <w:pPr>
              <w:spacing w:after="0"/>
              <w:rPr>
                <w:sz w:val="9"/>
                <w:szCs w:val="9"/>
                <w:color w:val="auto"/>
              </w:rPr>
            </w:pPr>
          </w:p>
        </w:tc>
        <w:tc>
          <w:tcPr>
            <w:tcW w:w="20" w:type="dxa"/>
            <w:vAlign w:val="bottom"/>
            <w:shd w:val="clear" w:color="auto" w:fill="CFF0FC"/>
          </w:tcPr>
          <w:p>
            <w:pPr>
              <w:spacing w:after="0"/>
              <w:rPr>
                <w:sz w:val="9"/>
                <w:szCs w:val="9"/>
                <w:color w:val="auto"/>
              </w:rPr>
            </w:pPr>
          </w:p>
        </w:tc>
        <w:tc>
          <w:tcPr>
            <w:tcW w:w="160" w:type="dxa"/>
            <w:vAlign w:val="bottom"/>
            <w:shd w:val="clear" w:color="auto" w:fill="CFF0FC"/>
          </w:tcPr>
          <w:p>
            <w:pPr>
              <w:spacing w:after="0"/>
              <w:rPr>
                <w:sz w:val="9"/>
                <w:szCs w:val="9"/>
                <w:color w:val="auto"/>
              </w:rPr>
            </w:pPr>
          </w:p>
        </w:tc>
        <w:tc>
          <w:tcPr>
            <w:tcW w:w="620" w:type="dxa"/>
            <w:vAlign w:val="bottom"/>
            <w:shd w:val="clear" w:color="auto" w:fill="CFF0FC"/>
          </w:tcPr>
          <w:p>
            <w:pPr>
              <w:spacing w:after="0"/>
              <w:rPr>
                <w:sz w:val="9"/>
                <w:szCs w:val="9"/>
                <w:color w:val="auto"/>
              </w:rPr>
            </w:pPr>
          </w:p>
        </w:tc>
        <w:tc>
          <w:tcPr>
            <w:tcW w:w="260" w:type="dxa"/>
            <w:vAlign w:val="bottom"/>
            <w:shd w:val="clear" w:color="auto" w:fill="CFF0FC"/>
          </w:tcPr>
          <w:p>
            <w:pPr>
              <w:spacing w:after="0"/>
              <w:rPr>
                <w:sz w:val="9"/>
                <w:szCs w:val="9"/>
                <w:color w:val="auto"/>
              </w:rPr>
            </w:pPr>
          </w:p>
        </w:tc>
        <w:tc>
          <w:tcPr>
            <w:tcW w:w="4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440" w:type="dxa"/>
            <w:vAlign w:val="bottom"/>
            <w:shd w:val="clear" w:color="auto" w:fill="CFF0FC"/>
          </w:tcPr>
          <w:p>
            <w:pPr>
              <w:spacing w:after="0"/>
              <w:rPr>
                <w:sz w:val="9"/>
                <w:szCs w:val="9"/>
                <w:color w:val="auto"/>
              </w:rPr>
            </w:pPr>
          </w:p>
        </w:tc>
        <w:tc>
          <w:tcPr>
            <w:tcW w:w="200" w:type="dxa"/>
            <w:vAlign w:val="bottom"/>
            <w:shd w:val="clear" w:color="auto" w:fill="CFF0FC"/>
          </w:tcPr>
          <w:p>
            <w:pPr>
              <w:spacing w:after="0"/>
              <w:rPr>
                <w:sz w:val="9"/>
                <w:szCs w:val="9"/>
                <w:color w:val="auto"/>
              </w:rPr>
            </w:pPr>
          </w:p>
        </w:tc>
        <w:tc>
          <w:tcPr>
            <w:tcW w:w="620" w:type="dxa"/>
            <w:vAlign w:val="bottom"/>
            <w:shd w:val="clear" w:color="auto" w:fill="CFF0FC"/>
          </w:tcPr>
          <w:p>
            <w:pPr>
              <w:spacing w:after="0"/>
              <w:rPr>
                <w:sz w:val="9"/>
                <w:szCs w:val="9"/>
                <w:color w:val="auto"/>
              </w:rPr>
            </w:pPr>
          </w:p>
        </w:tc>
        <w:tc>
          <w:tcPr>
            <w:tcW w:w="28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440" w:type="dxa"/>
            <w:vAlign w:val="bottom"/>
            <w:shd w:val="clear" w:color="auto" w:fill="CFF0FC"/>
          </w:tcPr>
          <w:p>
            <w:pPr>
              <w:spacing w:after="0"/>
              <w:rPr>
                <w:sz w:val="9"/>
                <w:szCs w:val="9"/>
                <w:color w:val="auto"/>
              </w:rPr>
            </w:pPr>
          </w:p>
        </w:tc>
        <w:tc>
          <w:tcPr>
            <w:tcW w:w="18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340" w:type="dxa"/>
            <w:vAlign w:val="bottom"/>
            <w:shd w:val="clear" w:color="auto" w:fill="CFF0FC"/>
          </w:tcPr>
          <w:p>
            <w:pPr>
              <w:spacing w:after="0"/>
              <w:rPr>
                <w:sz w:val="9"/>
                <w:szCs w:val="9"/>
                <w:color w:val="auto"/>
              </w:rPr>
            </w:pPr>
          </w:p>
        </w:tc>
        <w:tc>
          <w:tcPr>
            <w:tcW w:w="60" w:type="dxa"/>
            <w:vAlign w:val="bottom"/>
            <w:shd w:val="clear" w:color="auto" w:fill="CFF0FC"/>
          </w:tcPr>
          <w:p>
            <w:pPr>
              <w:spacing w:after="0"/>
              <w:rPr>
                <w:sz w:val="9"/>
                <w:szCs w:val="9"/>
                <w:color w:val="auto"/>
              </w:rPr>
            </w:pPr>
          </w:p>
        </w:tc>
        <w:tc>
          <w:tcPr>
            <w:tcW w:w="160" w:type="dxa"/>
            <w:vAlign w:val="bottom"/>
            <w:shd w:val="clear" w:color="auto" w:fill="CFF0FC"/>
          </w:tcPr>
          <w:p>
            <w:pPr>
              <w:spacing w:after="0"/>
              <w:rPr>
                <w:sz w:val="9"/>
                <w:szCs w:val="9"/>
                <w:color w:val="auto"/>
              </w:rPr>
            </w:pPr>
          </w:p>
        </w:tc>
      </w:tr>
      <w:tr>
        <w:trPr>
          <w:trHeight w:val="153"/>
        </w:trPr>
        <w:tc>
          <w:tcPr>
            <w:tcW w:w="1960" w:type="dxa"/>
            <w:vAlign w:val="bottom"/>
            <w:gridSpan w:val="2"/>
            <w:shd w:val="clear" w:color="auto" w:fill="CFF0FC"/>
          </w:tcPr>
          <w:p>
            <w:pPr>
              <w:spacing w:after="0"/>
              <w:rPr>
                <w:sz w:val="20"/>
                <w:szCs w:val="20"/>
                <w:color w:val="auto"/>
              </w:rPr>
            </w:pPr>
            <w:r>
              <w:rPr>
                <w:rFonts w:ascii="Arial" w:cs="Arial" w:eastAsia="Arial" w:hAnsi="Arial"/>
                <w:sz w:val="13"/>
                <w:szCs w:val="13"/>
                <w:b w:val="1"/>
                <w:bCs w:val="1"/>
                <w:color w:val="auto"/>
              </w:rPr>
              <w:t>Numbers)</w:t>
            </w:r>
          </w:p>
        </w:tc>
        <w:tc>
          <w:tcPr>
            <w:tcW w:w="80" w:type="dxa"/>
            <w:vAlign w:val="bottom"/>
            <w:shd w:val="clear" w:color="auto" w:fill="CFF0FC"/>
          </w:tcPr>
          <w:p>
            <w:pPr>
              <w:spacing w:after="0"/>
              <w:rPr>
                <w:sz w:val="13"/>
                <w:szCs w:val="13"/>
                <w:color w:val="auto"/>
              </w:rPr>
            </w:pPr>
          </w:p>
        </w:tc>
        <w:tc>
          <w:tcPr>
            <w:tcW w:w="440" w:type="dxa"/>
            <w:vAlign w:val="bottom"/>
            <w:shd w:val="clear" w:color="auto" w:fill="CFF0FC"/>
          </w:tcPr>
          <w:p>
            <w:pPr>
              <w:spacing w:after="0"/>
              <w:rPr>
                <w:sz w:val="13"/>
                <w:szCs w:val="13"/>
                <w:color w:val="auto"/>
              </w:rPr>
            </w:pPr>
          </w:p>
        </w:tc>
        <w:tc>
          <w:tcPr>
            <w:tcW w:w="2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620" w:type="dxa"/>
            <w:vAlign w:val="bottom"/>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6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38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620" w:type="dxa"/>
            <w:vAlign w:val="bottom"/>
            <w:shd w:val="clear" w:color="auto" w:fill="CFF0FC"/>
          </w:tcPr>
          <w:p>
            <w:pPr>
              <w:spacing w:after="0"/>
              <w:rPr>
                <w:sz w:val="13"/>
                <w:szCs w:val="13"/>
                <w:color w:val="auto"/>
              </w:rPr>
            </w:pPr>
          </w:p>
        </w:tc>
        <w:tc>
          <w:tcPr>
            <w:tcW w:w="280" w:type="dxa"/>
            <w:vAlign w:val="bottom"/>
            <w:shd w:val="clear" w:color="auto" w:fill="CFF0FC"/>
          </w:tcPr>
          <w:p>
            <w:pPr>
              <w:spacing w:after="0"/>
              <w:rPr>
                <w:sz w:val="13"/>
                <w:szCs w:val="13"/>
                <w:color w:val="auto"/>
              </w:rPr>
            </w:pPr>
          </w:p>
        </w:tc>
        <w:tc>
          <w:tcPr>
            <w:tcW w:w="2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46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34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440" w:type="dxa"/>
            <w:vAlign w:val="bottom"/>
            <w:shd w:val="clear" w:color="auto" w:fill="CFF0FC"/>
          </w:tcPr>
          <w:p>
            <w:pPr>
              <w:spacing w:after="0"/>
              <w:rPr>
                <w:sz w:val="13"/>
                <w:szCs w:val="13"/>
                <w:color w:val="auto"/>
              </w:rPr>
            </w:pPr>
          </w:p>
        </w:tc>
        <w:tc>
          <w:tcPr>
            <w:tcW w:w="2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620" w:type="dxa"/>
            <w:vAlign w:val="bottom"/>
            <w:shd w:val="clear" w:color="auto" w:fill="CFF0FC"/>
          </w:tcPr>
          <w:p>
            <w:pPr>
              <w:spacing w:after="0"/>
              <w:rPr>
                <w:sz w:val="13"/>
                <w:szCs w:val="13"/>
                <w:color w:val="auto"/>
              </w:rPr>
            </w:pPr>
          </w:p>
        </w:tc>
        <w:tc>
          <w:tcPr>
            <w:tcW w:w="260" w:type="dxa"/>
            <w:vAlign w:val="bottom"/>
            <w:shd w:val="clear" w:color="auto" w:fill="CFF0FC"/>
          </w:tcPr>
          <w:p>
            <w:pPr>
              <w:spacing w:after="0"/>
              <w:rPr>
                <w:sz w:val="13"/>
                <w:szCs w:val="13"/>
                <w:color w:val="auto"/>
              </w:rPr>
            </w:pPr>
          </w:p>
        </w:tc>
        <w:tc>
          <w:tcPr>
            <w:tcW w:w="4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44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620" w:type="dxa"/>
            <w:vAlign w:val="bottom"/>
            <w:shd w:val="clear" w:color="auto" w:fill="CFF0FC"/>
          </w:tcPr>
          <w:p>
            <w:pPr>
              <w:spacing w:after="0"/>
              <w:rPr>
                <w:sz w:val="13"/>
                <w:szCs w:val="13"/>
                <w:color w:val="auto"/>
              </w:rPr>
            </w:pPr>
          </w:p>
        </w:tc>
        <w:tc>
          <w:tcPr>
            <w:tcW w:w="28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44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340" w:type="dxa"/>
            <w:vAlign w:val="bottom"/>
            <w:shd w:val="clear" w:color="auto" w:fill="CFF0FC"/>
          </w:tcPr>
          <w:p>
            <w:pPr>
              <w:spacing w:after="0"/>
              <w:rPr>
                <w:sz w:val="13"/>
                <w:szCs w:val="13"/>
                <w:color w:val="auto"/>
              </w:rPr>
            </w:pPr>
          </w:p>
        </w:tc>
        <w:tc>
          <w:tcPr>
            <w:tcW w:w="6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r>
      <w:tr>
        <w:trPr>
          <w:trHeight w:val="148"/>
        </w:trPr>
        <w:tc>
          <w:tcPr>
            <w:tcW w:w="1960" w:type="dxa"/>
            <w:vAlign w:val="bottom"/>
            <w:gridSpan w:val="2"/>
          </w:tcPr>
          <w:p>
            <w:pPr>
              <w:spacing w:after="0"/>
              <w:rPr>
                <w:sz w:val="20"/>
                <w:szCs w:val="20"/>
                <w:color w:val="auto"/>
              </w:rPr>
            </w:pPr>
            <w:r>
              <w:rPr>
                <w:rFonts w:ascii="Arial" w:cs="Arial" w:eastAsia="Arial" w:hAnsi="Arial"/>
                <w:sz w:val="13"/>
                <w:szCs w:val="13"/>
                <w:color w:val="auto"/>
              </w:rPr>
              <w:t>Locations at period end</w:t>
            </w:r>
          </w:p>
        </w:tc>
        <w:tc>
          <w:tcPr>
            <w:tcW w:w="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tcPr>
          <w:p>
            <w:pPr>
              <w:jc w:val="right"/>
              <w:spacing w:after="0"/>
              <w:rPr>
                <w:sz w:val="20"/>
                <w:szCs w:val="20"/>
                <w:color w:val="auto"/>
              </w:rPr>
            </w:pPr>
            <w:r>
              <w:rPr>
                <w:rFonts w:ascii="Arial" w:cs="Arial" w:eastAsia="Arial" w:hAnsi="Arial"/>
                <w:sz w:val="13"/>
                <w:szCs w:val="13"/>
                <w:color w:val="auto"/>
              </w:rPr>
              <w:t>30</w:t>
            </w: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40" w:type="dxa"/>
            <w:vAlign w:val="bottom"/>
          </w:tcPr>
          <w:p>
            <w:pPr>
              <w:jc w:val="right"/>
              <w:spacing w:after="0"/>
              <w:rPr>
                <w:sz w:val="20"/>
                <w:szCs w:val="20"/>
                <w:color w:val="auto"/>
              </w:rPr>
            </w:pPr>
            <w:r>
              <w:rPr>
                <w:rFonts w:ascii="Arial" w:cs="Arial" w:eastAsia="Arial" w:hAnsi="Arial"/>
                <w:sz w:val="13"/>
                <w:szCs w:val="13"/>
                <w:color w:val="auto"/>
              </w:rPr>
              <w:t>13</w:t>
            </w:r>
          </w:p>
        </w:tc>
        <w:tc>
          <w:tcPr>
            <w:tcW w:w="2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r>
      <w:tr>
        <w:trPr>
          <w:trHeight w:val="148"/>
        </w:trPr>
        <w:tc>
          <w:tcPr>
            <w:tcW w:w="1960" w:type="dxa"/>
            <w:vAlign w:val="bottom"/>
            <w:gridSpan w:val="2"/>
            <w:shd w:val="clear" w:color="auto" w:fill="CFF0FC"/>
          </w:tcPr>
          <w:p>
            <w:pPr>
              <w:spacing w:after="0"/>
              <w:rPr>
                <w:sz w:val="20"/>
                <w:szCs w:val="20"/>
                <w:color w:val="auto"/>
              </w:rPr>
            </w:pPr>
            <w:r>
              <w:rPr>
                <w:rFonts w:ascii="Arial" w:cs="Arial" w:eastAsia="Arial" w:hAnsi="Arial"/>
                <w:sz w:val="13"/>
                <w:szCs w:val="13"/>
                <w:color w:val="auto"/>
              </w:rPr>
              <w:t xml:space="preserve">Admissions * </w:t>
            </w:r>
            <w:r>
              <w:rPr>
                <w:rFonts w:ascii="Arial" w:cs="Arial" w:eastAsia="Arial" w:hAnsi="Arial"/>
                <w:sz w:val="10"/>
                <w:szCs w:val="10"/>
                <w:color w:val="auto"/>
              </w:rPr>
              <w:t>(1)</w:t>
            </w:r>
          </w:p>
        </w:tc>
        <w:tc>
          <w:tcPr>
            <w:tcW w:w="80" w:type="dxa"/>
            <w:vAlign w:val="bottom"/>
            <w:shd w:val="clear" w:color="auto" w:fill="CFF0FC"/>
          </w:tcPr>
          <w:p>
            <w:pPr>
              <w:spacing w:after="0"/>
              <w:rPr>
                <w:sz w:val="12"/>
                <w:szCs w:val="12"/>
                <w:color w:val="auto"/>
              </w:rPr>
            </w:pPr>
          </w:p>
        </w:tc>
        <w:tc>
          <w:tcPr>
            <w:tcW w:w="4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1,339</w:t>
            </w:r>
          </w:p>
        </w:tc>
        <w:tc>
          <w:tcPr>
            <w:tcW w:w="2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62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3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474</w:t>
            </w:r>
          </w:p>
        </w:tc>
        <w:tc>
          <w:tcPr>
            <w:tcW w:w="180" w:type="dxa"/>
            <w:vAlign w:val="bottom"/>
            <w:shd w:val="clear" w:color="auto" w:fill="CFF0FC"/>
          </w:tcPr>
          <w:p>
            <w:pPr>
              <w:spacing w:after="0"/>
              <w:rPr>
                <w:sz w:val="12"/>
                <w:szCs w:val="12"/>
                <w:color w:val="auto"/>
              </w:rPr>
            </w:pPr>
          </w:p>
        </w:tc>
        <w:tc>
          <w:tcPr>
            <w:tcW w:w="620" w:type="dxa"/>
            <w:vAlign w:val="bottom"/>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c>
          <w:tcPr>
            <w:tcW w:w="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4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865</w:t>
            </w:r>
          </w:p>
        </w:tc>
        <w:tc>
          <w:tcPr>
            <w:tcW w:w="16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340" w:type="dxa"/>
            <w:vAlign w:val="bottom"/>
            <w:shd w:val="clear" w:color="auto" w:fill="CFF0FC"/>
          </w:tcPr>
          <w:p>
            <w:pPr>
              <w:jc w:val="right"/>
              <w:spacing w:after="0"/>
              <w:rPr>
                <w:sz w:val="20"/>
                <w:szCs w:val="20"/>
                <w:color w:val="auto"/>
              </w:rPr>
            </w:pPr>
            <w:r>
              <w:rPr>
                <w:rFonts w:ascii="Arial" w:cs="Arial" w:eastAsia="Arial" w:hAnsi="Arial"/>
                <w:sz w:val="13"/>
                <w:szCs w:val="13"/>
                <w:color w:val="auto"/>
                <w:w w:val="92"/>
              </w:rPr>
              <w:t>182.5</w:t>
            </w:r>
          </w:p>
        </w:tc>
        <w:tc>
          <w:tcPr>
            <w:tcW w:w="80" w:type="dxa"/>
            <w:vAlign w:val="bottom"/>
            <w:shd w:val="clear" w:color="auto" w:fill="CFF0FC"/>
          </w:tcPr>
          <w:p>
            <w:pPr>
              <w:spacing w:after="0"/>
              <w:rPr>
                <w:sz w:val="12"/>
                <w:szCs w:val="12"/>
                <w:color w:val="auto"/>
              </w:rPr>
            </w:pPr>
          </w:p>
        </w:tc>
        <w:tc>
          <w:tcPr>
            <w:tcW w:w="220" w:type="dxa"/>
            <w:vAlign w:val="bottom"/>
            <w:shd w:val="clear" w:color="auto" w:fill="CFF0FC"/>
          </w:tcPr>
          <w:p>
            <w:pPr>
              <w:jc w:val="right"/>
              <w:ind w:right="17"/>
              <w:spacing w:after="0"/>
              <w:rPr>
                <w:sz w:val="20"/>
                <w:szCs w:val="20"/>
                <w:color w:val="auto"/>
              </w:rPr>
            </w:pPr>
            <w:r>
              <w:rPr>
                <w:rFonts w:ascii="Arial" w:cs="Arial" w:eastAsia="Arial" w:hAnsi="Arial"/>
                <w:sz w:val="13"/>
                <w:szCs w:val="13"/>
                <w:color w:val="auto"/>
              </w:rPr>
              <w:t>%</w:t>
            </w:r>
          </w:p>
        </w:tc>
        <w:tc>
          <w:tcPr>
            <w:tcW w:w="80" w:type="dxa"/>
            <w:vAlign w:val="bottom"/>
            <w:shd w:val="clear" w:color="auto" w:fill="CFF0FC"/>
          </w:tcPr>
          <w:p>
            <w:pPr>
              <w:spacing w:after="0"/>
              <w:rPr>
                <w:sz w:val="12"/>
                <w:szCs w:val="12"/>
                <w:color w:val="auto"/>
              </w:rPr>
            </w:pPr>
          </w:p>
        </w:tc>
        <w:tc>
          <w:tcPr>
            <w:tcW w:w="4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2,994</w:t>
            </w:r>
          </w:p>
        </w:tc>
        <w:tc>
          <w:tcPr>
            <w:tcW w:w="2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62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4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985</w:t>
            </w:r>
          </w:p>
        </w:tc>
        <w:tc>
          <w:tcPr>
            <w:tcW w:w="200" w:type="dxa"/>
            <w:vAlign w:val="bottom"/>
            <w:shd w:val="clear" w:color="auto" w:fill="CFF0FC"/>
          </w:tcPr>
          <w:p>
            <w:pPr>
              <w:spacing w:after="0"/>
              <w:rPr>
                <w:sz w:val="12"/>
                <w:szCs w:val="12"/>
                <w:color w:val="auto"/>
              </w:rPr>
            </w:pPr>
          </w:p>
        </w:tc>
        <w:tc>
          <w:tcPr>
            <w:tcW w:w="620" w:type="dxa"/>
            <w:vAlign w:val="bottom"/>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4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2,009</w:t>
            </w:r>
          </w:p>
        </w:tc>
        <w:tc>
          <w:tcPr>
            <w:tcW w:w="18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340" w:type="dxa"/>
            <w:vAlign w:val="bottom"/>
            <w:shd w:val="clear" w:color="auto" w:fill="CFF0FC"/>
          </w:tcPr>
          <w:p>
            <w:pPr>
              <w:jc w:val="right"/>
              <w:spacing w:after="0"/>
              <w:rPr>
                <w:sz w:val="20"/>
                <w:szCs w:val="20"/>
                <w:color w:val="auto"/>
              </w:rPr>
            </w:pPr>
            <w:r>
              <w:rPr>
                <w:rFonts w:ascii="Arial" w:cs="Arial" w:eastAsia="Arial" w:hAnsi="Arial"/>
                <w:sz w:val="13"/>
                <w:szCs w:val="13"/>
                <w:color w:val="auto"/>
                <w:w w:val="92"/>
              </w:rPr>
              <w:t>204.0</w:t>
            </w:r>
          </w:p>
        </w:tc>
        <w:tc>
          <w:tcPr>
            <w:tcW w:w="60" w:type="dxa"/>
            <w:vAlign w:val="bottom"/>
            <w:shd w:val="clear" w:color="auto" w:fill="CFF0FC"/>
          </w:tcPr>
          <w:p>
            <w:pPr>
              <w:spacing w:after="0"/>
              <w:rPr>
                <w:sz w:val="12"/>
                <w:szCs w:val="12"/>
                <w:color w:val="auto"/>
              </w:rPr>
            </w:pPr>
          </w:p>
        </w:tc>
        <w:tc>
          <w:tcPr>
            <w:tcW w:w="1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r>
      <w:tr>
        <w:trPr>
          <w:trHeight w:val="148"/>
        </w:trPr>
        <w:tc>
          <w:tcPr>
            <w:tcW w:w="1960" w:type="dxa"/>
            <w:vAlign w:val="bottom"/>
            <w:gridSpan w:val="2"/>
          </w:tcPr>
          <w:p>
            <w:pPr>
              <w:spacing w:after="0"/>
              <w:rPr>
                <w:sz w:val="20"/>
                <w:szCs w:val="20"/>
                <w:color w:val="auto"/>
              </w:rPr>
            </w:pPr>
            <w:r>
              <w:rPr>
                <w:rFonts w:ascii="Arial" w:cs="Arial" w:eastAsia="Arial" w:hAnsi="Arial"/>
                <w:sz w:val="13"/>
                <w:szCs w:val="13"/>
                <w:color w:val="auto"/>
              </w:rPr>
              <w:t xml:space="preserve">Average daily census * </w:t>
            </w:r>
            <w:r>
              <w:rPr>
                <w:rFonts w:ascii="Arial" w:cs="Arial" w:eastAsia="Arial" w:hAnsi="Arial"/>
                <w:sz w:val="10"/>
                <w:szCs w:val="10"/>
                <w:color w:val="auto"/>
              </w:rPr>
              <w:t>(2)</w:t>
            </w:r>
          </w:p>
        </w:tc>
        <w:tc>
          <w:tcPr>
            <w:tcW w:w="80" w:type="dxa"/>
            <w:vAlign w:val="bottom"/>
          </w:tcPr>
          <w:p>
            <w:pPr>
              <w:spacing w:after="0"/>
              <w:rPr>
                <w:sz w:val="12"/>
                <w:szCs w:val="12"/>
                <w:color w:val="auto"/>
              </w:rPr>
            </w:pPr>
          </w:p>
        </w:tc>
        <w:tc>
          <w:tcPr>
            <w:tcW w:w="440" w:type="dxa"/>
            <w:vAlign w:val="bottom"/>
          </w:tcPr>
          <w:p>
            <w:pPr>
              <w:jc w:val="right"/>
              <w:spacing w:after="0"/>
              <w:rPr>
                <w:sz w:val="20"/>
                <w:szCs w:val="20"/>
                <w:color w:val="auto"/>
              </w:rPr>
            </w:pPr>
            <w:r>
              <w:rPr>
                <w:rFonts w:ascii="Arial" w:cs="Arial" w:eastAsia="Arial" w:hAnsi="Arial"/>
                <w:sz w:val="13"/>
                <w:szCs w:val="13"/>
                <w:color w:val="auto"/>
              </w:rPr>
              <w:t>1,743</w:t>
            </w: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80" w:type="dxa"/>
            <w:vAlign w:val="bottom"/>
          </w:tcPr>
          <w:p>
            <w:pPr>
              <w:jc w:val="right"/>
              <w:spacing w:after="0"/>
              <w:rPr>
                <w:sz w:val="20"/>
                <w:szCs w:val="20"/>
                <w:color w:val="auto"/>
              </w:rPr>
            </w:pPr>
            <w:r>
              <w:rPr>
                <w:rFonts w:ascii="Arial" w:cs="Arial" w:eastAsia="Arial" w:hAnsi="Arial"/>
                <w:sz w:val="13"/>
                <w:szCs w:val="13"/>
                <w:color w:val="auto"/>
              </w:rPr>
              <w:t>611</w:t>
            </w:r>
          </w:p>
        </w:tc>
        <w:tc>
          <w:tcPr>
            <w:tcW w:w="1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jc w:val="right"/>
              <w:spacing w:after="0"/>
              <w:rPr>
                <w:sz w:val="20"/>
                <w:szCs w:val="20"/>
                <w:color w:val="auto"/>
              </w:rPr>
            </w:pPr>
            <w:r>
              <w:rPr>
                <w:rFonts w:ascii="Arial" w:cs="Arial" w:eastAsia="Arial" w:hAnsi="Arial"/>
                <w:sz w:val="13"/>
                <w:szCs w:val="13"/>
                <w:color w:val="auto"/>
              </w:rPr>
              <w:t>1,132</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40" w:type="dxa"/>
            <w:vAlign w:val="bottom"/>
          </w:tcPr>
          <w:p>
            <w:pPr>
              <w:jc w:val="right"/>
              <w:spacing w:after="0"/>
              <w:rPr>
                <w:sz w:val="20"/>
                <w:szCs w:val="20"/>
                <w:color w:val="auto"/>
              </w:rPr>
            </w:pPr>
            <w:r>
              <w:rPr>
                <w:rFonts w:ascii="Arial" w:cs="Arial" w:eastAsia="Arial" w:hAnsi="Arial"/>
                <w:sz w:val="13"/>
                <w:szCs w:val="13"/>
                <w:color w:val="auto"/>
                <w:w w:val="92"/>
              </w:rPr>
              <w:t>185.3</w:t>
            </w: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tcPr>
          <w:p>
            <w:pPr>
              <w:jc w:val="right"/>
              <w:spacing w:after="0"/>
              <w:rPr>
                <w:sz w:val="20"/>
                <w:szCs w:val="20"/>
                <w:color w:val="auto"/>
              </w:rPr>
            </w:pPr>
            <w:r>
              <w:rPr>
                <w:rFonts w:ascii="Arial" w:cs="Arial" w:eastAsia="Arial" w:hAnsi="Arial"/>
                <w:sz w:val="13"/>
                <w:szCs w:val="13"/>
                <w:color w:val="auto"/>
              </w:rPr>
              <w:t>1,803</w:t>
            </w: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40" w:type="dxa"/>
            <w:vAlign w:val="bottom"/>
          </w:tcPr>
          <w:p>
            <w:pPr>
              <w:jc w:val="right"/>
              <w:spacing w:after="0"/>
              <w:rPr>
                <w:sz w:val="20"/>
                <w:szCs w:val="20"/>
                <w:color w:val="auto"/>
              </w:rPr>
            </w:pPr>
            <w:r>
              <w:rPr>
                <w:rFonts w:ascii="Arial" w:cs="Arial" w:eastAsia="Arial" w:hAnsi="Arial"/>
                <w:sz w:val="13"/>
                <w:szCs w:val="13"/>
                <w:color w:val="auto"/>
              </w:rPr>
              <w:t>593</w:t>
            </w:r>
          </w:p>
        </w:tc>
        <w:tc>
          <w:tcPr>
            <w:tcW w:w="2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40" w:type="dxa"/>
            <w:vAlign w:val="bottom"/>
          </w:tcPr>
          <w:p>
            <w:pPr>
              <w:jc w:val="right"/>
              <w:spacing w:after="0"/>
              <w:rPr>
                <w:sz w:val="20"/>
                <w:szCs w:val="20"/>
                <w:color w:val="auto"/>
              </w:rPr>
            </w:pPr>
            <w:r>
              <w:rPr>
                <w:rFonts w:ascii="Arial" w:cs="Arial" w:eastAsia="Arial" w:hAnsi="Arial"/>
                <w:sz w:val="13"/>
                <w:szCs w:val="13"/>
                <w:color w:val="auto"/>
              </w:rPr>
              <w:t>1,210</w:t>
            </w: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40" w:type="dxa"/>
            <w:vAlign w:val="bottom"/>
          </w:tcPr>
          <w:p>
            <w:pPr>
              <w:jc w:val="right"/>
              <w:spacing w:after="0"/>
              <w:rPr>
                <w:sz w:val="20"/>
                <w:szCs w:val="20"/>
                <w:color w:val="auto"/>
              </w:rPr>
            </w:pPr>
            <w:r>
              <w:rPr>
                <w:rFonts w:ascii="Arial" w:cs="Arial" w:eastAsia="Arial" w:hAnsi="Arial"/>
                <w:sz w:val="13"/>
                <w:szCs w:val="13"/>
                <w:color w:val="auto"/>
                <w:w w:val="92"/>
              </w:rPr>
              <w:t>204.0</w:t>
            </w: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r>
      <w:tr>
        <w:trPr>
          <w:trHeight w:val="149"/>
        </w:trPr>
        <w:tc>
          <w:tcPr>
            <w:tcW w:w="1960" w:type="dxa"/>
            <w:vAlign w:val="bottom"/>
            <w:gridSpan w:val="2"/>
            <w:shd w:val="clear" w:color="auto" w:fill="CFF0FC"/>
          </w:tcPr>
          <w:p>
            <w:pPr>
              <w:spacing w:after="0"/>
              <w:rPr>
                <w:sz w:val="20"/>
                <w:szCs w:val="20"/>
                <w:color w:val="auto"/>
              </w:rPr>
            </w:pPr>
            <w:r>
              <w:rPr>
                <w:rFonts w:ascii="Arial" w:cs="Arial" w:eastAsia="Arial" w:hAnsi="Arial"/>
                <w:sz w:val="13"/>
                <w:szCs w:val="13"/>
                <w:color w:val="auto"/>
              </w:rPr>
              <w:t xml:space="preserve">Average length of stay * </w:t>
            </w:r>
            <w:r>
              <w:rPr>
                <w:rFonts w:ascii="Arial" w:cs="Arial" w:eastAsia="Arial" w:hAnsi="Arial"/>
                <w:sz w:val="10"/>
                <w:szCs w:val="10"/>
                <w:color w:val="auto"/>
              </w:rPr>
              <w:t>(3)</w:t>
            </w:r>
          </w:p>
        </w:tc>
        <w:tc>
          <w:tcPr>
            <w:tcW w:w="80" w:type="dxa"/>
            <w:vAlign w:val="bottom"/>
            <w:shd w:val="clear" w:color="auto" w:fill="CFF0FC"/>
          </w:tcPr>
          <w:p>
            <w:pPr>
              <w:spacing w:after="0"/>
              <w:rPr>
                <w:sz w:val="12"/>
                <w:szCs w:val="12"/>
                <w:color w:val="auto"/>
              </w:rPr>
            </w:pPr>
          </w:p>
        </w:tc>
        <w:tc>
          <w:tcPr>
            <w:tcW w:w="4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103</w:t>
            </w:r>
          </w:p>
        </w:tc>
        <w:tc>
          <w:tcPr>
            <w:tcW w:w="2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62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3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127</w:t>
            </w:r>
          </w:p>
        </w:tc>
        <w:tc>
          <w:tcPr>
            <w:tcW w:w="180" w:type="dxa"/>
            <w:vAlign w:val="bottom"/>
            <w:shd w:val="clear" w:color="auto" w:fill="CFF0FC"/>
          </w:tcPr>
          <w:p>
            <w:pPr>
              <w:spacing w:after="0"/>
              <w:rPr>
                <w:sz w:val="12"/>
                <w:szCs w:val="12"/>
                <w:color w:val="auto"/>
              </w:rPr>
            </w:pPr>
          </w:p>
        </w:tc>
        <w:tc>
          <w:tcPr>
            <w:tcW w:w="620" w:type="dxa"/>
            <w:vAlign w:val="bottom"/>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c>
          <w:tcPr>
            <w:tcW w:w="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620" w:type="dxa"/>
            <w:vAlign w:val="bottom"/>
            <w:gridSpan w:val="2"/>
            <w:shd w:val="clear" w:color="auto" w:fill="CFF0FC"/>
          </w:tcPr>
          <w:p>
            <w:pPr>
              <w:jc w:val="right"/>
              <w:ind w:right="120"/>
              <w:spacing w:after="0"/>
              <w:rPr>
                <w:sz w:val="20"/>
                <w:szCs w:val="20"/>
                <w:color w:val="auto"/>
              </w:rPr>
            </w:pPr>
            <w:r>
              <w:rPr>
                <w:rFonts w:ascii="Arial" w:cs="Arial" w:eastAsia="Arial" w:hAnsi="Arial"/>
                <w:sz w:val="13"/>
                <w:szCs w:val="13"/>
                <w:color w:val="auto"/>
              </w:rPr>
              <w:t>(24)</w:t>
            </w:r>
          </w:p>
        </w:tc>
        <w:tc>
          <w:tcPr>
            <w:tcW w:w="100" w:type="dxa"/>
            <w:vAlign w:val="bottom"/>
            <w:shd w:val="clear" w:color="auto" w:fill="CFF0FC"/>
          </w:tcPr>
          <w:p>
            <w:pPr>
              <w:spacing w:after="0"/>
              <w:rPr>
                <w:sz w:val="12"/>
                <w:szCs w:val="12"/>
                <w:color w:val="auto"/>
              </w:rPr>
            </w:pPr>
          </w:p>
        </w:tc>
        <w:tc>
          <w:tcPr>
            <w:tcW w:w="420" w:type="dxa"/>
            <w:vAlign w:val="bottom"/>
            <w:gridSpan w:val="2"/>
            <w:shd w:val="clear" w:color="auto" w:fill="CFF0FC"/>
          </w:tcPr>
          <w:p>
            <w:pPr>
              <w:jc w:val="right"/>
              <w:ind w:right="40"/>
              <w:spacing w:after="0"/>
              <w:rPr>
                <w:sz w:val="20"/>
                <w:szCs w:val="20"/>
                <w:color w:val="auto"/>
              </w:rPr>
            </w:pPr>
            <w:r>
              <w:rPr>
                <w:rFonts w:ascii="Arial" w:cs="Arial" w:eastAsia="Arial" w:hAnsi="Arial"/>
                <w:sz w:val="13"/>
                <w:szCs w:val="13"/>
                <w:color w:val="auto"/>
              </w:rPr>
              <w:t>(18.8)</w:t>
            </w:r>
          </w:p>
        </w:tc>
        <w:tc>
          <w:tcPr>
            <w:tcW w:w="2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4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101</w:t>
            </w:r>
          </w:p>
        </w:tc>
        <w:tc>
          <w:tcPr>
            <w:tcW w:w="2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62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4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121</w:t>
            </w:r>
          </w:p>
        </w:tc>
        <w:tc>
          <w:tcPr>
            <w:tcW w:w="200" w:type="dxa"/>
            <w:vAlign w:val="bottom"/>
            <w:shd w:val="clear" w:color="auto" w:fill="CFF0FC"/>
          </w:tcPr>
          <w:p>
            <w:pPr>
              <w:spacing w:after="0"/>
              <w:rPr>
                <w:sz w:val="12"/>
                <w:szCs w:val="12"/>
                <w:color w:val="auto"/>
              </w:rPr>
            </w:pPr>
          </w:p>
        </w:tc>
        <w:tc>
          <w:tcPr>
            <w:tcW w:w="620" w:type="dxa"/>
            <w:vAlign w:val="bottom"/>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620" w:type="dxa"/>
            <w:vAlign w:val="bottom"/>
            <w:gridSpan w:val="2"/>
            <w:shd w:val="clear" w:color="auto" w:fill="CFF0FC"/>
          </w:tcPr>
          <w:p>
            <w:pPr>
              <w:jc w:val="right"/>
              <w:ind w:right="140"/>
              <w:spacing w:after="0"/>
              <w:rPr>
                <w:sz w:val="20"/>
                <w:szCs w:val="20"/>
                <w:color w:val="auto"/>
              </w:rPr>
            </w:pPr>
            <w:r>
              <w:rPr>
                <w:rFonts w:ascii="Arial" w:cs="Arial" w:eastAsia="Arial" w:hAnsi="Arial"/>
                <w:sz w:val="13"/>
                <w:szCs w:val="13"/>
                <w:color w:val="auto"/>
              </w:rPr>
              <w:t>(20)</w:t>
            </w:r>
          </w:p>
        </w:tc>
        <w:tc>
          <w:tcPr>
            <w:tcW w:w="100" w:type="dxa"/>
            <w:vAlign w:val="bottom"/>
            <w:shd w:val="clear" w:color="auto" w:fill="CFF0FC"/>
          </w:tcPr>
          <w:p>
            <w:pPr>
              <w:spacing w:after="0"/>
              <w:rPr>
                <w:sz w:val="12"/>
                <w:szCs w:val="12"/>
                <w:color w:val="auto"/>
              </w:rPr>
            </w:pPr>
          </w:p>
        </w:tc>
        <w:tc>
          <w:tcPr>
            <w:tcW w:w="400" w:type="dxa"/>
            <w:vAlign w:val="bottom"/>
            <w:gridSpan w:val="2"/>
            <w:shd w:val="clear" w:color="auto" w:fill="CFF0FC"/>
          </w:tcPr>
          <w:p>
            <w:pPr>
              <w:jc w:val="right"/>
              <w:ind w:right="20"/>
              <w:spacing w:after="0"/>
              <w:rPr>
                <w:sz w:val="20"/>
                <w:szCs w:val="20"/>
                <w:color w:val="auto"/>
              </w:rPr>
            </w:pPr>
            <w:r>
              <w:rPr>
                <w:rFonts w:ascii="Arial" w:cs="Arial" w:eastAsia="Arial" w:hAnsi="Arial"/>
                <w:sz w:val="13"/>
                <w:szCs w:val="13"/>
                <w:color w:val="auto"/>
              </w:rPr>
              <w:t>(16.5)</w:t>
            </w:r>
          </w:p>
        </w:tc>
        <w:tc>
          <w:tcPr>
            <w:tcW w:w="160" w:type="dxa"/>
            <w:vAlign w:val="bottom"/>
            <w:shd w:val="clear" w:color="auto" w:fill="CFF0FC"/>
          </w:tcPr>
          <w:p>
            <w:pPr>
              <w:spacing w:after="0"/>
              <w:rPr>
                <w:sz w:val="12"/>
                <w:szCs w:val="12"/>
                <w:color w:val="auto"/>
              </w:rPr>
            </w:pPr>
          </w:p>
        </w:tc>
      </w:tr>
      <w:tr>
        <w:trPr>
          <w:trHeight w:val="148"/>
        </w:trPr>
        <w:tc>
          <w:tcPr>
            <w:tcW w:w="1960" w:type="dxa"/>
            <w:vAlign w:val="bottom"/>
            <w:gridSpan w:val="2"/>
          </w:tcPr>
          <w:p>
            <w:pPr>
              <w:spacing w:after="0"/>
              <w:rPr>
                <w:sz w:val="20"/>
                <w:szCs w:val="20"/>
                <w:color w:val="auto"/>
              </w:rPr>
            </w:pPr>
            <w:r>
              <w:rPr>
                <w:rFonts w:ascii="Arial" w:cs="Arial" w:eastAsia="Arial" w:hAnsi="Arial"/>
                <w:sz w:val="13"/>
                <w:szCs w:val="13"/>
                <w:color w:val="auto"/>
              </w:rPr>
              <w:t xml:space="preserve">Patient days * </w:t>
            </w:r>
            <w:r>
              <w:rPr>
                <w:rFonts w:ascii="Arial" w:cs="Arial" w:eastAsia="Arial" w:hAnsi="Arial"/>
                <w:sz w:val="10"/>
                <w:szCs w:val="10"/>
                <w:color w:val="auto"/>
              </w:rPr>
              <w:t>(4)</w:t>
            </w:r>
          </w:p>
        </w:tc>
        <w:tc>
          <w:tcPr>
            <w:tcW w:w="80" w:type="dxa"/>
            <w:vAlign w:val="bottom"/>
          </w:tcPr>
          <w:p>
            <w:pPr>
              <w:spacing w:after="0"/>
              <w:rPr>
                <w:sz w:val="12"/>
                <w:szCs w:val="12"/>
                <w:color w:val="auto"/>
              </w:rPr>
            </w:pPr>
          </w:p>
        </w:tc>
        <w:tc>
          <w:tcPr>
            <w:tcW w:w="440" w:type="dxa"/>
            <w:vAlign w:val="bottom"/>
          </w:tcPr>
          <w:p>
            <w:pPr>
              <w:jc w:val="right"/>
              <w:spacing w:after="0"/>
              <w:rPr>
                <w:sz w:val="20"/>
                <w:szCs w:val="20"/>
                <w:color w:val="auto"/>
              </w:rPr>
            </w:pPr>
            <w:r>
              <w:rPr>
                <w:rFonts w:ascii="Arial" w:cs="Arial" w:eastAsia="Arial" w:hAnsi="Arial"/>
                <w:sz w:val="13"/>
                <w:szCs w:val="13"/>
                <w:color w:val="auto"/>
                <w:w w:val="89"/>
              </w:rPr>
              <w:t>158,644</w:t>
            </w: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80" w:type="dxa"/>
            <w:vAlign w:val="bottom"/>
          </w:tcPr>
          <w:p>
            <w:pPr>
              <w:jc w:val="right"/>
              <w:spacing w:after="0"/>
              <w:rPr>
                <w:sz w:val="20"/>
                <w:szCs w:val="20"/>
                <w:color w:val="auto"/>
              </w:rPr>
            </w:pPr>
            <w:r>
              <w:rPr>
                <w:rFonts w:ascii="Arial" w:cs="Arial" w:eastAsia="Arial" w:hAnsi="Arial"/>
                <w:sz w:val="13"/>
                <w:szCs w:val="13"/>
                <w:color w:val="auto"/>
                <w:w w:val="85"/>
              </w:rPr>
              <w:t>54,807</w:t>
            </w:r>
          </w:p>
        </w:tc>
        <w:tc>
          <w:tcPr>
            <w:tcW w:w="1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jc w:val="right"/>
              <w:spacing w:after="0"/>
              <w:rPr>
                <w:sz w:val="20"/>
                <w:szCs w:val="20"/>
                <w:color w:val="auto"/>
              </w:rPr>
            </w:pPr>
            <w:r>
              <w:rPr>
                <w:rFonts w:ascii="Arial" w:cs="Arial" w:eastAsia="Arial" w:hAnsi="Arial"/>
                <w:sz w:val="13"/>
                <w:szCs w:val="13"/>
                <w:color w:val="auto"/>
                <w:w w:val="89"/>
              </w:rPr>
              <w:t>103,837</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40" w:type="dxa"/>
            <w:vAlign w:val="bottom"/>
          </w:tcPr>
          <w:p>
            <w:pPr>
              <w:jc w:val="right"/>
              <w:spacing w:after="0"/>
              <w:rPr>
                <w:sz w:val="20"/>
                <w:szCs w:val="20"/>
                <w:color w:val="auto"/>
              </w:rPr>
            </w:pPr>
            <w:r>
              <w:rPr>
                <w:rFonts w:ascii="Arial" w:cs="Arial" w:eastAsia="Arial" w:hAnsi="Arial"/>
                <w:sz w:val="13"/>
                <w:szCs w:val="13"/>
                <w:color w:val="auto"/>
                <w:w w:val="92"/>
              </w:rPr>
              <w:t>189.5</w:t>
            </w: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tcPr>
          <w:p>
            <w:pPr>
              <w:jc w:val="right"/>
              <w:spacing w:after="0"/>
              <w:rPr>
                <w:sz w:val="20"/>
                <w:szCs w:val="20"/>
                <w:color w:val="auto"/>
              </w:rPr>
            </w:pPr>
            <w:r>
              <w:rPr>
                <w:rFonts w:ascii="Arial" w:cs="Arial" w:eastAsia="Arial" w:hAnsi="Arial"/>
                <w:sz w:val="13"/>
                <w:szCs w:val="13"/>
                <w:color w:val="auto"/>
                <w:w w:val="89"/>
              </w:rPr>
              <w:t>328,156</w:t>
            </w: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40" w:type="dxa"/>
            <w:vAlign w:val="bottom"/>
          </w:tcPr>
          <w:p>
            <w:pPr>
              <w:jc w:val="right"/>
              <w:spacing w:after="0"/>
              <w:rPr>
                <w:sz w:val="20"/>
                <w:szCs w:val="20"/>
                <w:color w:val="auto"/>
              </w:rPr>
            </w:pPr>
            <w:r>
              <w:rPr>
                <w:rFonts w:ascii="Arial" w:cs="Arial" w:eastAsia="Arial" w:hAnsi="Arial"/>
                <w:sz w:val="13"/>
                <w:szCs w:val="13"/>
                <w:color w:val="auto"/>
                <w:w w:val="89"/>
              </w:rPr>
              <w:t>106,531</w:t>
            </w:r>
          </w:p>
        </w:tc>
        <w:tc>
          <w:tcPr>
            <w:tcW w:w="2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40" w:type="dxa"/>
            <w:vAlign w:val="bottom"/>
          </w:tcPr>
          <w:p>
            <w:pPr>
              <w:jc w:val="right"/>
              <w:spacing w:after="0"/>
              <w:rPr>
                <w:sz w:val="20"/>
                <w:szCs w:val="20"/>
                <w:color w:val="auto"/>
              </w:rPr>
            </w:pPr>
            <w:r>
              <w:rPr>
                <w:rFonts w:ascii="Arial" w:cs="Arial" w:eastAsia="Arial" w:hAnsi="Arial"/>
                <w:sz w:val="13"/>
                <w:szCs w:val="13"/>
                <w:color w:val="auto"/>
                <w:w w:val="85"/>
              </w:rPr>
              <w:t>221,625</w:t>
            </w: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40" w:type="dxa"/>
            <w:vAlign w:val="bottom"/>
          </w:tcPr>
          <w:p>
            <w:pPr>
              <w:jc w:val="right"/>
              <w:spacing w:after="0"/>
              <w:rPr>
                <w:sz w:val="20"/>
                <w:szCs w:val="20"/>
                <w:color w:val="auto"/>
              </w:rPr>
            </w:pPr>
            <w:r>
              <w:rPr>
                <w:rFonts w:ascii="Arial" w:cs="Arial" w:eastAsia="Arial" w:hAnsi="Arial"/>
                <w:sz w:val="13"/>
                <w:szCs w:val="13"/>
                <w:color w:val="auto"/>
                <w:w w:val="92"/>
              </w:rPr>
              <w:t>208.0</w:t>
            </w: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r>
      <w:tr>
        <w:trPr>
          <w:trHeight w:val="148"/>
        </w:trPr>
        <w:tc>
          <w:tcPr>
            <w:tcW w:w="1960" w:type="dxa"/>
            <w:vAlign w:val="bottom"/>
            <w:gridSpan w:val="2"/>
            <w:shd w:val="clear" w:color="auto" w:fill="CFF0FC"/>
          </w:tcPr>
          <w:p>
            <w:pPr>
              <w:spacing w:after="0"/>
              <w:rPr>
                <w:sz w:val="20"/>
                <w:szCs w:val="20"/>
                <w:color w:val="auto"/>
              </w:rPr>
            </w:pPr>
            <w:r>
              <w:rPr>
                <w:rFonts w:ascii="Arial" w:cs="Arial" w:eastAsia="Arial" w:hAnsi="Arial"/>
                <w:sz w:val="13"/>
                <w:szCs w:val="13"/>
                <w:color w:val="auto"/>
              </w:rPr>
              <w:t xml:space="preserve">Revenue per patient day * </w:t>
            </w:r>
            <w:r>
              <w:rPr>
                <w:rFonts w:ascii="Arial" w:cs="Arial" w:eastAsia="Arial" w:hAnsi="Arial"/>
                <w:sz w:val="10"/>
                <w:szCs w:val="10"/>
                <w:color w:val="auto"/>
              </w:rPr>
              <w:t>(5)</w:t>
            </w:r>
          </w:p>
        </w:tc>
        <w:tc>
          <w:tcPr>
            <w:tcW w:w="80" w:type="dxa"/>
            <w:vAlign w:val="bottom"/>
            <w:shd w:val="clear" w:color="auto" w:fill="CFF0FC"/>
          </w:tcPr>
          <w:p>
            <w:pPr>
              <w:jc w:val="right"/>
              <w:spacing w:after="0"/>
              <w:rPr>
                <w:sz w:val="20"/>
                <w:szCs w:val="20"/>
                <w:color w:val="auto"/>
              </w:rPr>
            </w:pPr>
            <w:r>
              <w:rPr>
                <w:rFonts w:ascii="Arial" w:cs="Arial" w:eastAsia="Arial" w:hAnsi="Arial"/>
                <w:sz w:val="10"/>
                <w:szCs w:val="10"/>
                <w:color w:val="auto"/>
                <w:w w:val="71"/>
              </w:rPr>
              <w:t>$</w:t>
            </w:r>
          </w:p>
        </w:tc>
        <w:tc>
          <w:tcPr>
            <w:tcW w:w="4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154.59</w:t>
            </w:r>
          </w:p>
        </w:tc>
        <w:tc>
          <w:tcPr>
            <w:tcW w:w="2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62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160" w:type="dxa"/>
            <w:vAlign w:val="bottom"/>
            <w:gridSpan w:val="2"/>
            <w:shd w:val="clear" w:color="auto" w:fill="CFF0FC"/>
          </w:tcPr>
          <w:p>
            <w:pPr>
              <w:ind w:left="60"/>
              <w:spacing w:after="0"/>
              <w:rPr>
                <w:sz w:val="20"/>
                <w:szCs w:val="20"/>
                <w:color w:val="auto"/>
              </w:rPr>
            </w:pPr>
            <w:r>
              <w:rPr>
                <w:rFonts w:ascii="Arial" w:cs="Arial" w:eastAsia="Arial" w:hAnsi="Arial"/>
                <w:sz w:val="13"/>
                <w:szCs w:val="13"/>
                <w:color w:val="auto"/>
              </w:rPr>
              <w:t>$</w:t>
            </w:r>
          </w:p>
        </w:tc>
        <w:tc>
          <w:tcPr>
            <w:tcW w:w="380" w:type="dxa"/>
            <w:vAlign w:val="bottom"/>
            <w:shd w:val="clear" w:color="auto" w:fill="CFF0FC"/>
          </w:tcPr>
          <w:p>
            <w:pPr>
              <w:jc w:val="right"/>
              <w:spacing w:after="0"/>
              <w:rPr>
                <w:sz w:val="20"/>
                <w:szCs w:val="20"/>
                <w:color w:val="auto"/>
              </w:rPr>
            </w:pPr>
            <w:r>
              <w:rPr>
                <w:rFonts w:ascii="Arial" w:cs="Arial" w:eastAsia="Arial" w:hAnsi="Arial"/>
                <w:sz w:val="13"/>
                <w:szCs w:val="13"/>
                <w:color w:val="auto"/>
                <w:w w:val="85"/>
              </w:rPr>
              <w:t>153.94</w:t>
            </w:r>
          </w:p>
        </w:tc>
        <w:tc>
          <w:tcPr>
            <w:tcW w:w="180" w:type="dxa"/>
            <w:vAlign w:val="bottom"/>
            <w:shd w:val="clear" w:color="auto" w:fill="CFF0FC"/>
          </w:tcPr>
          <w:p>
            <w:pPr>
              <w:spacing w:after="0"/>
              <w:rPr>
                <w:sz w:val="12"/>
                <w:szCs w:val="12"/>
                <w:color w:val="auto"/>
              </w:rPr>
            </w:pPr>
          </w:p>
        </w:tc>
        <w:tc>
          <w:tcPr>
            <w:tcW w:w="620" w:type="dxa"/>
            <w:vAlign w:val="bottom"/>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c>
          <w:tcPr>
            <w:tcW w:w="100" w:type="dxa"/>
            <w:vAlign w:val="bottom"/>
            <w:gridSpan w:val="2"/>
            <w:shd w:val="clear" w:color="auto" w:fill="CFF0FC"/>
          </w:tcPr>
          <w:p>
            <w:pPr>
              <w:jc w:val="right"/>
              <w:spacing w:after="0"/>
              <w:rPr>
                <w:sz w:val="20"/>
                <w:szCs w:val="20"/>
                <w:color w:val="auto"/>
              </w:rPr>
            </w:pPr>
            <w:r>
              <w:rPr>
                <w:rFonts w:ascii="Arial" w:cs="Arial" w:eastAsia="Arial" w:hAnsi="Arial"/>
                <w:sz w:val="13"/>
                <w:szCs w:val="13"/>
                <w:color w:val="auto"/>
                <w:w w:val="82"/>
              </w:rPr>
              <w:t>$</w:t>
            </w:r>
          </w:p>
        </w:tc>
        <w:tc>
          <w:tcPr>
            <w:tcW w:w="4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0.65</w:t>
            </w:r>
          </w:p>
        </w:tc>
        <w:tc>
          <w:tcPr>
            <w:tcW w:w="16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3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0.4</w:t>
            </w:r>
          </w:p>
        </w:tc>
        <w:tc>
          <w:tcPr>
            <w:tcW w:w="80" w:type="dxa"/>
            <w:vAlign w:val="bottom"/>
            <w:shd w:val="clear" w:color="auto" w:fill="CFF0FC"/>
          </w:tcPr>
          <w:p>
            <w:pPr>
              <w:spacing w:after="0"/>
              <w:rPr>
                <w:sz w:val="12"/>
                <w:szCs w:val="12"/>
                <w:color w:val="auto"/>
              </w:rPr>
            </w:pPr>
          </w:p>
        </w:tc>
        <w:tc>
          <w:tcPr>
            <w:tcW w:w="220" w:type="dxa"/>
            <w:vAlign w:val="bottom"/>
            <w:shd w:val="clear" w:color="auto" w:fill="CFF0FC"/>
          </w:tcPr>
          <w:p>
            <w:pPr>
              <w:jc w:val="right"/>
              <w:ind w:right="17"/>
              <w:spacing w:after="0"/>
              <w:rPr>
                <w:sz w:val="20"/>
                <w:szCs w:val="20"/>
                <w:color w:val="auto"/>
              </w:rPr>
            </w:pPr>
            <w:r>
              <w:rPr>
                <w:rFonts w:ascii="Arial" w:cs="Arial" w:eastAsia="Arial" w:hAnsi="Arial"/>
                <w:sz w:val="13"/>
                <w:szCs w:val="13"/>
                <w:color w:val="auto"/>
              </w:rPr>
              <w:t>%</w:t>
            </w:r>
          </w:p>
        </w:tc>
        <w:tc>
          <w:tcPr>
            <w:tcW w:w="80" w:type="dxa"/>
            <w:vAlign w:val="bottom"/>
            <w:shd w:val="clear" w:color="auto" w:fill="CFF0FC"/>
          </w:tcPr>
          <w:p>
            <w:pPr>
              <w:jc w:val="right"/>
              <w:spacing w:after="0"/>
              <w:rPr>
                <w:sz w:val="20"/>
                <w:szCs w:val="20"/>
                <w:color w:val="auto"/>
              </w:rPr>
            </w:pPr>
            <w:r>
              <w:rPr>
                <w:rFonts w:ascii="Arial" w:cs="Arial" w:eastAsia="Arial" w:hAnsi="Arial"/>
                <w:sz w:val="10"/>
                <w:szCs w:val="10"/>
                <w:color w:val="auto"/>
                <w:w w:val="71"/>
              </w:rPr>
              <w:t>$</w:t>
            </w:r>
          </w:p>
        </w:tc>
        <w:tc>
          <w:tcPr>
            <w:tcW w:w="4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151.57</w:t>
            </w:r>
          </w:p>
        </w:tc>
        <w:tc>
          <w:tcPr>
            <w:tcW w:w="2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62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140" w:type="dxa"/>
            <w:vAlign w:val="bottom"/>
            <w:gridSpan w:val="2"/>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4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153.52</w:t>
            </w:r>
          </w:p>
        </w:tc>
        <w:tc>
          <w:tcPr>
            <w:tcW w:w="200" w:type="dxa"/>
            <w:vAlign w:val="bottom"/>
            <w:shd w:val="clear" w:color="auto" w:fill="CFF0FC"/>
          </w:tcPr>
          <w:p>
            <w:pPr>
              <w:spacing w:after="0"/>
              <w:rPr>
                <w:sz w:val="12"/>
                <w:szCs w:val="12"/>
                <w:color w:val="auto"/>
              </w:rPr>
            </w:pPr>
          </w:p>
        </w:tc>
        <w:tc>
          <w:tcPr>
            <w:tcW w:w="620" w:type="dxa"/>
            <w:vAlign w:val="bottom"/>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0"/>
                <w:szCs w:val="10"/>
                <w:color w:val="auto"/>
                <w:w w:val="71"/>
              </w:rPr>
              <w:t>$</w:t>
            </w:r>
          </w:p>
        </w:tc>
        <w:tc>
          <w:tcPr>
            <w:tcW w:w="620" w:type="dxa"/>
            <w:vAlign w:val="bottom"/>
            <w:gridSpan w:val="2"/>
            <w:shd w:val="clear" w:color="auto" w:fill="CFF0FC"/>
          </w:tcPr>
          <w:p>
            <w:pPr>
              <w:jc w:val="right"/>
              <w:ind w:right="140"/>
              <w:spacing w:after="0"/>
              <w:rPr>
                <w:sz w:val="20"/>
                <w:szCs w:val="20"/>
                <w:color w:val="auto"/>
              </w:rPr>
            </w:pPr>
            <w:r>
              <w:rPr>
                <w:rFonts w:ascii="Arial" w:cs="Arial" w:eastAsia="Arial" w:hAnsi="Arial"/>
                <w:sz w:val="13"/>
                <w:szCs w:val="13"/>
                <w:color w:val="auto"/>
              </w:rPr>
              <w:t>(1.95)</w:t>
            </w:r>
          </w:p>
        </w:tc>
        <w:tc>
          <w:tcPr>
            <w:tcW w:w="100" w:type="dxa"/>
            <w:vAlign w:val="bottom"/>
            <w:shd w:val="clear" w:color="auto" w:fill="CFF0FC"/>
          </w:tcPr>
          <w:p>
            <w:pPr>
              <w:spacing w:after="0"/>
              <w:rPr>
                <w:sz w:val="12"/>
                <w:szCs w:val="12"/>
                <w:color w:val="auto"/>
              </w:rPr>
            </w:pPr>
          </w:p>
        </w:tc>
        <w:tc>
          <w:tcPr>
            <w:tcW w:w="400" w:type="dxa"/>
            <w:vAlign w:val="bottom"/>
            <w:gridSpan w:val="2"/>
            <w:shd w:val="clear" w:color="auto" w:fill="CFF0FC"/>
          </w:tcPr>
          <w:p>
            <w:pPr>
              <w:jc w:val="right"/>
              <w:ind w:right="20"/>
              <w:spacing w:after="0"/>
              <w:rPr>
                <w:sz w:val="20"/>
                <w:szCs w:val="20"/>
                <w:color w:val="auto"/>
              </w:rPr>
            </w:pPr>
            <w:r>
              <w:rPr>
                <w:rFonts w:ascii="Arial" w:cs="Arial" w:eastAsia="Arial" w:hAnsi="Arial"/>
                <w:sz w:val="13"/>
                <w:szCs w:val="13"/>
                <w:color w:val="auto"/>
              </w:rPr>
              <w:t>(1.3)</w:t>
            </w:r>
          </w:p>
        </w:tc>
        <w:tc>
          <w:tcPr>
            <w:tcW w:w="1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r>
    </w:tbl>
    <w:p>
      <w:pPr>
        <w:spacing w:after="0" w:line="193" w:lineRule="exact"/>
        <w:rPr>
          <w:sz w:val="20"/>
          <w:szCs w:val="20"/>
          <w:color w:val="auto"/>
        </w:rPr>
      </w:pPr>
    </w:p>
    <w:p>
      <w:pPr>
        <w:ind w:left="480" w:hanging="472"/>
        <w:spacing w:after="0"/>
        <w:tabs>
          <w:tab w:leader="none" w:pos="480" w:val="left"/>
        </w:tabs>
        <w:numPr>
          <w:ilvl w:val="0"/>
          <w:numId w:val="9"/>
        </w:numPr>
        <w:rPr>
          <w:rFonts w:ascii="Arial" w:cs="Arial" w:eastAsia="Arial" w:hAnsi="Arial"/>
          <w:sz w:val="16"/>
          <w:szCs w:val="16"/>
          <w:color w:val="auto"/>
        </w:rPr>
      </w:pPr>
      <w:r>
        <w:rPr>
          <w:rFonts w:ascii="Arial" w:cs="Arial" w:eastAsia="Arial" w:hAnsi="Arial"/>
          <w:sz w:val="16"/>
          <w:szCs w:val="16"/>
          <w:color w:val="auto"/>
        </w:rPr>
        <w:t>Represents referral process and new patients on service during the period.</w:t>
      </w:r>
    </w:p>
    <w:p>
      <w:pPr>
        <w:spacing w:after="0" w:line="99" w:lineRule="exact"/>
        <w:rPr>
          <w:rFonts w:ascii="Arial" w:cs="Arial" w:eastAsia="Arial" w:hAnsi="Arial"/>
          <w:sz w:val="16"/>
          <w:szCs w:val="16"/>
          <w:color w:val="auto"/>
        </w:rPr>
      </w:pPr>
    </w:p>
    <w:p>
      <w:pPr>
        <w:ind w:left="480" w:hanging="472"/>
        <w:spacing w:after="0"/>
        <w:tabs>
          <w:tab w:leader="none" w:pos="480" w:val="left"/>
        </w:tabs>
        <w:numPr>
          <w:ilvl w:val="0"/>
          <w:numId w:val="9"/>
        </w:numPr>
        <w:rPr>
          <w:rFonts w:ascii="Arial" w:cs="Arial" w:eastAsia="Arial" w:hAnsi="Arial"/>
          <w:sz w:val="16"/>
          <w:szCs w:val="16"/>
          <w:color w:val="auto"/>
        </w:rPr>
      </w:pPr>
      <w:r>
        <w:rPr>
          <w:rFonts w:ascii="Arial" w:cs="Arial" w:eastAsia="Arial" w:hAnsi="Arial"/>
          <w:sz w:val="16"/>
          <w:szCs w:val="16"/>
          <w:color w:val="auto"/>
        </w:rPr>
        <w:t>Average daily census is total patient days divided by the number of days in the period.</w:t>
      </w:r>
    </w:p>
    <w:p>
      <w:pPr>
        <w:spacing w:after="0" w:line="86" w:lineRule="exact"/>
        <w:rPr>
          <w:rFonts w:ascii="Arial" w:cs="Arial" w:eastAsia="Arial" w:hAnsi="Arial"/>
          <w:sz w:val="16"/>
          <w:szCs w:val="16"/>
          <w:color w:val="auto"/>
        </w:rPr>
      </w:pPr>
    </w:p>
    <w:p>
      <w:pPr>
        <w:ind w:left="480" w:right="320" w:hanging="472"/>
        <w:spacing w:after="0" w:line="293" w:lineRule="auto"/>
        <w:tabs>
          <w:tab w:leader="none" w:pos="480" w:val="left"/>
        </w:tabs>
        <w:numPr>
          <w:ilvl w:val="0"/>
          <w:numId w:val="9"/>
        </w:numPr>
        <w:rPr>
          <w:rFonts w:ascii="Arial" w:cs="Arial" w:eastAsia="Arial" w:hAnsi="Arial"/>
          <w:sz w:val="16"/>
          <w:szCs w:val="16"/>
          <w:color w:val="auto"/>
        </w:rPr>
      </w:pPr>
      <w:r>
        <w:rPr>
          <w:rFonts w:ascii="Arial" w:cs="Arial" w:eastAsia="Arial" w:hAnsi="Arial"/>
          <w:sz w:val="16"/>
          <w:szCs w:val="16"/>
          <w:color w:val="auto"/>
        </w:rPr>
        <w:t>Average length of stay is the average number of days a patient is on service, calculated upon discharge, and is total patient days divided by total discharges in the period.</w:t>
      </w:r>
    </w:p>
    <w:p>
      <w:pPr>
        <w:spacing w:after="0" w:line="23" w:lineRule="exact"/>
        <w:rPr>
          <w:rFonts w:ascii="Arial" w:cs="Arial" w:eastAsia="Arial" w:hAnsi="Arial"/>
          <w:sz w:val="16"/>
          <w:szCs w:val="16"/>
          <w:color w:val="auto"/>
        </w:rPr>
      </w:pPr>
    </w:p>
    <w:p>
      <w:pPr>
        <w:ind w:left="480" w:hanging="472"/>
        <w:spacing w:after="0"/>
        <w:tabs>
          <w:tab w:leader="none" w:pos="480" w:val="left"/>
        </w:tabs>
        <w:numPr>
          <w:ilvl w:val="0"/>
          <w:numId w:val="9"/>
        </w:numPr>
        <w:rPr>
          <w:rFonts w:ascii="Arial" w:cs="Arial" w:eastAsia="Arial" w:hAnsi="Arial"/>
          <w:sz w:val="16"/>
          <w:szCs w:val="16"/>
          <w:color w:val="auto"/>
        </w:rPr>
      </w:pPr>
      <w:r>
        <w:rPr>
          <w:rFonts w:ascii="Arial" w:cs="Arial" w:eastAsia="Arial" w:hAnsi="Arial"/>
          <w:sz w:val="16"/>
          <w:szCs w:val="16"/>
          <w:color w:val="auto"/>
        </w:rPr>
        <w:t>Patient days is days of service for all patients in the period.</w:t>
      </w:r>
    </w:p>
    <w:p>
      <w:pPr>
        <w:spacing w:after="0" w:line="86" w:lineRule="exact"/>
        <w:rPr>
          <w:rFonts w:ascii="Arial" w:cs="Arial" w:eastAsia="Arial" w:hAnsi="Arial"/>
          <w:sz w:val="16"/>
          <w:szCs w:val="16"/>
          <w:color w:val="auto"/>
        </w:rPr>
      </w:pPr>
    </w:p>
    <w:p>
      <w:pPr>
        <w:ind w:left="480" w:hanging="472"/>
        <w:spacing w:after="0"/>
        <w:tabs>
          <w:tab w:leader="none" w:pos="480" w:val="left"/>
        </w:tabs>
        <w:numPr>
          <w:ilvl w:val="0"/>
          <w:numId w:val="9"/>
        </w:numPr>
        <w:rPr>
          <w:rFonts w:ascii="Arial" w:cs="Arial" w:eastAsia="Arial" w:hAnsi="Arial"/>
          <w:sz w:val="16"/>
          <w:szCs w:val="16"/>
          <w:color w:val="auto"/>
        </w:rPr>
      </w:pPr>
      <w:r>
        <w:rPr>
          <w:rFonts w:ascii="Arial" w:cs="Arial" w:eastAsia="Arial" w:hAnsi="Arial"/>
          <w:sz w:val="16"/>
          <w:szCs w:val="16"/>
          <w:color w:val="auto"/>
        </w:rPr>
        <w:t>Revenue per patient day is hospice revenue divided by the number of patient days in the period.</w:t>
      </w:r>
    </w:p>
    <w:p>
      <w:pPr>
        <w:spacing w:after="0" w:line="86" w:lineRule="exact"/>
        <w:rPr>
          <w:sz w:val="20"/>
          <w:szCs w:val="20"/>
          <w:color w:val="auto"/>
        </w:rPr>
      </w:pPr>
    </w:p>
    <w:p>
      <w:pPr>
        <w:ind w:left="480" w:right="40" w:hanging="472"/>
        <w:spacing w:after="0" w:line="268" w:lineRule="auto"/>
        <w:tabs>
          <w:tab w:leader="none" w:pos="480" w:val="left"/>
        </w:tabs>
        <w:numPr>
          <w:ilvl w:val="0"/>
          <w:numId w:val="10"/>
        </w:numPr>
        <w:rPr>
          <w:rFonts w:ascii="Arial" w:cs="Arial" w:eastAsia="Arial" w:hAnsi="Arial"/>
          <w:sz w:val="16"/>
          <w:szCs w:val="16"/>
          <w:color w:val="auto"/>
        </w:rPr>
      </w:pPr>
      <w:r>
        <w:rPr>
          <w:rFonts w:ascii="Arial" w:cs="Arial" w:eastAsia="Arial" w:hAnsi="Arial"/>
          <w:sz w:val="16"/>
          <w:szCs w:val="16"/>
          <w:color w:val="auto"/>
        </w:rPr>
        <w:t>Management deems these metrics to be key performance indicators. Management uses these metrics to monitor our performance, both in our existing operations and acquisitions. Many of these metrics serve as the basis of reported revenues and assessment of these, provide direct correlation to the results of operations from period to period and facilitate comparison with the results of our peers. Historical trends established in these metrics can be used to evaluate current operating results, identify trends affecting our business, determine the allocation of resources and assess the quality and potential variability of our cash flows and earnings. We believe they are useful to investors in evaluating and understanding our business but should not be used solely in assessing the Company’s performance. These key performance indicators should not be considered superior to, as a substitute for or as an alternative to, and should be considered in conjunction with, the GAAP financial measures presented herein to fully evaluate and understand the business as a whole. These measures may not be comparable to similarly-titled performance indicators used by other companies.</w:t>
      </w:r>
    </w:p>
    <w:p>
      <w:pPr>
        <w:spacing w:after="0" w:line="120" w:lineRule="exact"/>
        <w:rPr>
          <w:sz w:val="20"/>
          <w:szCs w:val="20"/>
          <w:color w:val="auto"/>
        </w:rPr>
      </w:pPr>
    </w:p>
    <w:p>
      <w:pPr>
        <w:ind w:left="480"/>
        <w:spacing w:after="0"/>
        <w:rPr>
          <w:sz w:val="20"/>
          <w:szCs w:val="20"/>
          <w:color w:val="auto"/>
        </w:rPr>
      </w:pPr>
      <w:r>
        <w:rPr>
          <w:rFonts w:ascii="Arial" w:cs="Arial" w:eastAsia="Arial" w:hAnsi="Arial"/>
          <w:sz w:val="16"/>
          <w:szCs w:val="16"/>
          <w:color w:val="auto"/>
        </w:rPr>
        <w:t>Hospice generates net service revenues by providing care to patients with a life expectancy of six months or less, and their families. Net service</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revenues from Medicare accounted for 92.8% and 92.6% and managed care organizations accounted for 4.9% and 5.6% for the three months ended</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June 30, 2020 and 2019, respectively. Net service revenues from Medicare accounted for 92.4% and 92.9% and managed care organizations accounted for</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5.2% and 5.1% for the six months ended June 30, 2020 and 2019, respectively.</w:t>
      </w:r>
    </w:p>
    <w:p>
      <w:pPr>
        <w:spacing w:after="0" w:line="157" w:lineRule="exact"/>
        <w:rPr>
          <w:sz w:val="20"/>
          <w:szCs w:val="20"/>
          <w:color w:val="auto"/>
        </w:rPr>
      </w:pPr>
    </w:p>
    <w:p>
      <w:pPr>
        <w:ind w:right="40" w:firstLine="476"/>
        <w:spacing w:after="0" w:line="286" w:lineRule="auto"/>
        <w:rPr>
          <w:sz w:val="20"/>
          <w:szCs w:val="20"/>
          <w:color w:val="auto"/>
        </w:rPr>
      </w:pPr>
      <w:r>
        <w:rPr>
          <w:rFonts w:ascii="Arial" w:cs="Arial" w:eastAsia="Arial" w:hAnsi="Arial"/>
          <w:sz w:val="17"/>
          <w:szCs w:val="17"/>
          <w:color w:val="auto"/>
        </w:rPr>
        <w:t>Net service revenues increased by $16.1 million and $33.4 for the three and six months ended June 30, 2020 compared to the three and six months ended June 30, 2019. For the three and six months ended June 30, 2020, net service revenues increased primarily due to an increase in average daily census partially attributed to the acquisitions of Alliance on August 1, 2019 and Hospice Partners on October 1, 2019.</w:t>
      </w:r>
    </w:p>
    <w:p>
      <w:pPr>
        <w:spacing w:after="0" w:line="111" w:lineRule="exact"/>
        <w:rPr>
          <w:sz w:val="20"/>
          <w:szCs w:val="20"/>
          <w:color w:val="auto"/>
        </w:rPr>
      </w:pPr>
    </w:p>
    <w:p>
      <w:pPr>
        <w:ind w:right="60" w:firstLine="476"/>
        <w:spacing w:after="0" w:line="296" w:lineRule="auto"/>
        <w:rPr>
          <w:sz w:val="20"/>
          <w:szCs w:val="20"/>
          <w:color w:val="auto"/>
        </w:rPr>
      </w:pPr>
      <w:r>
        <w:rPr>
          <w:rFonts w:ascii="Arial" w:cs="Arial" w:eastAsia="Arial" w:hAnsi="Arial"/>
          <w:sz w:val="16"/>
          <w:szCs w:val="16"/>
          <w:color w:val="auto"/>
        </w:rPr>
        <w:t>Gross profit, expressed as a percentage of net service revenues was 55.5% and 48.8% for the three months ended June 30, 2020 and 2019, respectively, and 53.3% and 50.5%, for the six months ended June 30, 2020 and 2019, respectively. For the three months ended June 30, 2020, the increase of gross profit as a percentage of net service revenues was mainly attributed to a decrease of direct service supply costs of 1.3%, pharmacy costs of 1.3% and medical equipment of 1.4%. For the six months ended June 30, 2020, the increase of gross profit as a percentage of net service revenues was mainly attributed to a decrease of direct employee wages, taxes and benefit costs of 0.8%, pharmacy costs of 1.0% and medical equipment of 1.0%.</w:t>
      </w:r>
    </w:p>
    <w:p>
      <w:pPr>
        <w:spacing w:after="0" w:line="107" w:lineRule="exact"/>
        <w:rPr>
          <w:sz w:val="20"/>
          <w:szCs w:val="20"/>
          <w:color w:val="auto"/>
        </w:rPr>
      </w:pPr>
    </w:p>
    <w:p>
      <w:pPr>
        <w:ind w:right="580" w:firstLine="476"/>
        <w:spacing w:after="0" w:line="342" w:lineRule="auto"/>
        <w:rPr>
          <w:sz w:val="20"/>
          <w:szCs w:val="20"/>
          <w:color w:val="auto"/>
        </w:rPr>
      </w:pPr>
      <w:r>
        <w:rPr>
          <w:rFonts w:ascii="Arial" w:cs="Arial" w:eastAsia="Arial" w:hAnsi="Arial"/>
          <w:sz w:val="16"/>
          <w:szCs w:val="16"/>
          <w:color w:val="auto"/>
        </w:rPr>
        <w:t>The hospice segment’s general and administrative expenses primarily consist of administrative employee wages, taxes and benefit costs, rent, information technology and office expenses. General and administrative expenses, expressed as a percentage of net service revenues was</w:t>
      </w:r>
    </w:p>
    <w:p>
      <w:pPr>
        <w:spacing w:after="0" w:line="12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223520</wp:posOffset>
            </wp:positionV>
            <wp:extent cx="7132320"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1" w:name="page32"/>
    <w:bookmarkEnd w:id="31"/>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91" w:lineRule="exact"/>
        <w:rPr>
          <w:sz w:val="20"/>
          <w:szCs w:val="20"/>
          <w:color w:val="auto"/>
        </w:rPr>
      </w:pPr>
    </w:p>
    <w:p>
      <w:pPr>
        <w:ind w:right="240"/>
        <w:spacing w:after="0" w:line="296" w:lineRule="auto"/>
        <w:rPr>
          <w:sz w:val="20"/>
          <w:szCs w:val="20"/>
          <w:color w:val="auto"/>
        </w:rPr>
      </w:pPr>
      <w:r>
        <w:rPr>
          <w:rFonts w:ascii="Arial" w:cs="Arial" w:eastAsia="Arial" w:hAnsi="Arial"/>
          <w:sz w:val="16"/>
          <w:szCs w:val="16"/>
          <w:color w:val="auto"/>
        </w:rPr>
        <w:t>25.7% and 18.3% for the three months ended June 30, 2020 and 2019, respectively, and 25.6% and 19.2% for the six months ended June 30, 2020 and 2019, respectively. The increase in general and administrative expenses was primarily due to acquisitions that resulted in a $4.1 million and $8.0 million increase in administrative employee wages, taxes and benefit costs and a $0.3 million and $0.7 million increase in rent expenses for the three and six months ended June 30, 2020. The hospice segment’s operating income was $7.3 million and $2.6 million for the three months ended June 30, 2020 and 2019, respectively, and $13.7 million and $5.1 million for the six months ended June 30, 2020 and 2019, respectively.</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Home Health Segment</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53"/>
        </w:trPr>
        <w:tc>
          <w:tcPr>
            <w:tcW w:w="20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40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2560" w:type="dxa"/>
            <w:vAlign w:val="bottom"/>
            <w:tcBorders>
              <w:bottom w:val="single" w:sz="8" w:color="auto"/>
            </w:tcBorders>
            <w:gridSpan w:val="7"/>
          </w:tcPr>
          <w:p>
            <w:pPr>
              <w:jc w:val="center"/>
              <w:ind w:left="397"/>
              <w:spacing w:after="0"/>
              <w:rPr>
                <w:sz w:val="20"/>
                <w:szCs w:val="20"/>
                <w:color w:val="auto"/>
              </w:rPr>
            </w:pPr>
            <w:r>
              <w:rPr>
                <w:rFonts w:ascii="Arial" w:cs="Arial" w:eastAsia="Arial" w:hAnsi="Arial"/>
                <w:sz w:val="13"/>
                <w:szCs w:val="13"/>
                <w:b w:val="1"/>
                <w:bCs w:val="1"/>
                <w:color w:val="auto"/>
                <w:w w:val="88"/>
              </w:rPr>
              <w:t>For the Three Months Ended June 30,</w:t>
            </w:r>
          </w:p>
        </w:tc>
        <w:tc>
          <w:tcPr>
            <w:tcW w:w="2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30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38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2560" w:type="dxa"/>
            <w:vAlign w:val="bottom"/>
            <w:tcBorders>
              <w:bottom w:val="single" w:sz="8" w:color="auto"/>
            </w:tcBorders>
            <w:gridSpan w:val="8"/>
          </w:tcPr>
          <w:p>
            <w:pPr>
              <w:jc w:val="center"/>
              <w:ind w:left="357"/>
              <w:spacing w:after="0"/>
              <w:rPr>
                <w:sz w:val="20"/>
                <w:szCs w:val="20"/>
                <w:color w:val="auto"/>
              </w:rPr>
            </w:pPr>
            <w:r>
              <w:rPr>
                <w:rFonts w:ascii="Arial" w:cs="Arial" w:eastAsia="Arial" w:hAnsi="Arial"/>
                <w:sz w:val="13"/>
                <w:szCs w:val="13"/>
                <w:b w:val="1"/>
                <w:bCs w:val="1"/>
                <w:color w:val="auto"/>
                <w:w w:val="87"/>
              </w:rPr>
              <w:t>For the Six Months Ended June 30,</w:t>
            </w:r>
          </w:p>
        </w:tc>
        <w:tc>
          <w:tcPr>
            <w:tcW w:w="80" w:type="dxa"/>
            <w:vAlign w:val="bottom"/>
            <w:tcBorders>
              <w:bottom w:val="single" w:sz="8" w:color="auto"/>
            </w:tcBorders>
          </w:tcPr>
          <w:p>
            <w:pPr>
              <w:spacing w:after="0"/>
              <w:rPr>
                <w:sz w:val="13"/>
                <w:szCs w:val="13"/>
                <w:color w:val="auto"/>
              </w:rPr>
            </w:pPr>
          </w:p>
        </w:tc>
        <w:tc>
          <w:tcPr>
            <w:tcW w:w="38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220" w:type="dxa"/>
            <w:vAlign w:val="bottom"/>
          </w:tcPr>
          <w:p>
            <w:pPr>
              <w:spacing w:after="0"/>
              <w:rPr>
                <w:sz w:val="13"/>
                <w:szCs w:val="13"/>
                <w:color w:val="auto"/>
              </w:rPr>
            </w:pPr>
          </w:p>
        </w:tc>
      </w:tr>
      <w:tr>
        <w:trPr>
          <w:trHeight w:val="142"/>
        </w:trPr>
        <w:tc>
          <w:tcPr>
            <w:tcW w:w="20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40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gridSpan w:val="2"/>
          </w:tcPr>
          <w:p>
            <w:pPr>
              <w:jc w:val="right"/>
              <w:ind w:right="437"/>
              <w:spacing w:after="0" w:line="142" w:lineRule="exact"/>
              <w:rPr>
                <w:sz w:val="20"/>
                <w:szCs w:val="20"/>
                <w:color w:val="auto"/>
              </w:rPr>
            </w:pPr>
            <w:r>
              <w:rPr>
                <w:rFonts w:ascii="Arial" w:cs="Arial" w:eastAsia="Arial" w:hAnsi="Arial"/>
                <w:sz w:val="13"/>
                <w:szCs w:val="13"/>
                <w:b w:val="1"/>
                <w:bCs w:val="1"/>
                <w:color w:val="auto"/>
                <w:w w:val="89"/>
              </w:rPr>
              <w:t>2020</w:t>
            </w:r>
          </w:p>
        </w:tc>
        <w:tc>
          <w:tcPr>
            <w:tcW w:w="34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38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gridSpan w:val="2"/>
          </w:tcPr>
          <w:p>
            <w:pPr>
              <w:jc w:val="right"/>
              <w:ind w:right="477"/>
              <w:spacing w:after="0" w:line="142" w:lineRule="exact"/>
              <w:rPr>
                <w:sz w:val="20"/>
                <w:szCs w:val="20"/>
                <w:color w:val="auto"/>
              </w:rPr>
            </w:pPr>
            <w:r>
              <w:rPr>
                <w:rFonts w:ascii="Arial" w:cs="Arial" w:eastAsia="Arial" w:hAnsi="Arial"/>
                <w:sz w:val="13"/>
                <w:szCs w:val="13"/>
                <w:b w:val="1"/>
                <w:bCs w:val="1"/>
                <w:color w:val="auto"/>
                <w:w w:val="96"/>
              </w:rPr>
              <w:t>2019</w:t>
            </w:r>
          </w:p>
        </w:tc>
        <w:tc>
          <w:tcPr>
            <w:tcW w:w="2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gridSpan w:val="3"/>
          </w:tcPr>
          <w:p>
            <w:pPr>
              <w:ind w:left="160"/>
              <w:spacing w:after="0" w:line="142" w:lineRule="exact"/>
              <w:rPr>
                <w:sz w:val="20"/>
                <w:szCs w:val="20"/>
                <w:color w:val="auto"/>
              </w:rPr>
            </w:pPr>
            <w:r>
              <w:rPr>
                <w:rFonts w:ascii="Arial" w:cs="Arial" w:eastAsia="Arial" w:hAnsi="Arial"/>
                <w:sz w:val="13"/>
                <w:szCs w:val="13"/>
                <w:b w:val="1"/>
                <w:bCs w:val="1"/>
                <w:color w:val="auto"/>
                <w:w w:val="88"/>
              </w:rPr>
              <w:t>Change</w:t>
            </w:r>
          </w:p>
        </w:tc>
        <w:tc>
          <w:tcPr>
            <w:tcW w:w="320" w:type="dxa"/>
            <w:vAlign w:val="bottom"/>
            <w:tcBorders>
              <w:bottom w:val="single" w:sz="8" w:color="auto"/>
            </w:tcBorders>
          </w:tcPr>
          <w:p>
            <w:pPr>
              <w:spacing w:after="0"/>
              <w:rPr>
                <w:sz w:val="12"/>
                <w:szCs w:val="12"/>
                <w:color w:val="auto"/>
              </w:rPr>
            </w:pPr>
          </w:p>
        </w:tc>
        <w:tc>
          <w:tcPr>
            <w:tcW w:w="30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38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gridSpan w:val="2"/>
          </w:tcPr>
          <w:p>
            <w:pPr>
              <w:jc w:val="right"/>
              <w:ind w:right="457"/>
              <w:spacing w:after="0" w:line="142" w:lineRule="exact"/>
              <w:rPr>
                <w:sz w:val="20"/>
                <w:szCs w:val="20"/>
                <w:color w:val="auto"/>
              </w:rPr>
            </w:pPr>
            <w:r>
              <w:rPr>
                <w:rFonts w:ascii="Arial" w:cs="Arial" w:eastAsia="Arial" w:hAnsi="Arial"/>
                <w:sz w:val="13"/>
                <w:szCs w:val="13"/>
                <w:b w:val="1"/>
                <w:bCs w:val="1"/>
                <w:color w:val="auto"/>
                <w:w w:val="89"/>
              </w:rPr>
              <w:t>2020</w:t>
            </w: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38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gridSpan w:val="2"/>
          </w:tcPr>
          <w:p>
            <w:pPr>
              <w:jc w:val="right"/>
              <w:ind w:right="477"/>
              <w:spacing w:after="0" w:line="142" w:lineRule="exact"/>
              <w:rPr>
                <w:sz w:val="20"/>
                <w:szCs w:val="20"/>
                <w:color w:val="auto"/>
              </w:rPr>
            </w:pPr>
            <w:r>
              <w:rPr>
                <w:rFonts w:ascii="Arial" w:cs="Arial" w:eastAsia="Arial" w:hAnsi="Arial"/>
                <w:sz w:val="13"/>
                <w:szCs w:val="13"/>
                <w:b w:val="1"/>
                <w:bCs w:val="1"/>
                <w:color w:val="auto"/>
                <w:w w:val="96"/>
              </w:rPr>
              <w:t>2019</w:t>
            </w:r>
          </w:p>
        </w:tc>
        <w:tc>
          <w:tcPr>
            <w:tcW w:w="30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gridSpan w:val="3"/>
          </w:tcPr>
          <w:p>
            <w:pPr>
              <w:ind w:left="260"/>
              <w:spacing w:after="0" w:line="142" w:lineRule="exact"/>
              <w:rPr>
                <w:sz w:val="20"/>
                <w:szCs w:val="20"/>
                <w:color w:val="auto"/>
              </w:rPr>
            </w:pPr>
            <w:r>
              <w:rPr>
                <w:rFonts w:ascii="Arial" w:cs="Arial" w:eastAsia="Arial" w:hAnsi="Arial"/>
                <w:sz w:val="13"/>
                <w:szCs w:val="13"/>
                <w:b w:val="1"/>
                <w:bCs w:val="1"/>
                <w:color w:val="auto"/>
                <w:w w:val="88"/>
              </w:rPr>
              <w:t>Change</w:t>
            </w:r>
          </w:p>
        </w:tc>
        <w:tc>
          <w:tcPr>
            <w:tcW w:w="320" w:type="dxa"/>
            <w:vAlign w:val="bottom"/>
            <w:tcBorders>
              <w:bottom w:val="single" w:sz="8" w:color="auto"/>
            </w:tcBorders>
          </w:tcPr>
          <w:p>
            <w:pPr>
              <w:spacing w:after="0"/>
              <w:rPr>
                <w:sz w:val="12"/>
                <w:szCs w:val="12"/>
                <w:color w:val="auto"/>
              </w:rPr>
            </w:pPr>
          </w:p>
        </w:tc>
        <w:tc>
          <w:tcPr>
            <w:tcW w:w="220" w:type="dxa"/>
            <w:vAlign w:val="bottom"/>
          </w:tcPr>
          <w:p>
            <w:pPr>
              <w:spacing w:after="0"/>
              <w:rPr>
                <w:sz w:val="12"/>
                <w:szCs w:val="12"/>
                <w:color w:val="auto"/>
              </w:rPr>
            </w:pPr>
          </w:p>
        </w:tc>
      </w:tr>
      <w:tr>
        <w:trPr>
          <w:trHeight w:val="124"/>
        </w:trPr>
        <w:tc>
          <w:tcPr>
            <w:tcW w:w="20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20" w:type="dxa"/>
            <w:vAlign w:val="bottom"/>
          </w:tcPr>
          <w:p>
            <w:pPr>
              <w:jc w:val="center"/>
              <w:spacing w:after="0" w:line="124" w:lineRule="exact"/>
              <w:rPr>
                <w:sz w:val="20"/>
                <w:szCs w:val="20"/>
                <w:color w:val="auto"/>
              </w:rPr>
            </w:pPr>
            <w:r>
              <w:rPr>
                <w:rFonts w:ascii="Arial" w:cs="Arial" w:eastAsia="Arial" w:hAnsi="Arial"/>
                <w:sz w:val="13"/>
                <w:szCs w:val="13"/>
                <w:b w:val="1"/>
                <w:bCs w:val="1"/>
                <w:color w:val="auto"/>
                <w:w w:val="94"/>
              </w:rPr>
              <w:t>% of</w:t>
            </w:r>
          </w:p>
        </w:tc>
        <w:tc>
          <w:tcPr>
            <w:tcW w:w="3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20" w:type="dxa"/>
            <w:vAlign w:val="bottom"/>
          </w:tcPr>
          <w:p>
            <w:pPr>
              <w:jc w:val="center"/>
              <w:spacing w:after="0" w:line="124" w:lineRule="exact"/>
              <w:rPr>
                <w:sz w:val="20"/>
                <w:szCs w:val="20"/>
                <w:color w:val="auto"/>
              </w:rPr>
            </w:pPr>
            <w:r>
              <w:rPr>
                <w:rFonts w:ascii="Arial" w:cs="Arial" w:eastAsia="Arial" w:hAnsi="Arial"/>
                <w:sz w:val="13"/>
                <w:szCs w:val="13"/>
                <w:b w:val="1"/>
                <w:bCs w:val="1"/>
                <w:color w:val="auto"/>
              </w:rPr>
              <w:t>% of</w:t>
            </w:r>
          </w:p>
        </w:tc>
        <w:tc>
          <w:tcPr>
            <w:tcW w:w="2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20" w:type="dxa"/>
            <w:vAlign w:val="bottom"/>
          </w:tcPr>
          <w:p>
            <w:pPr>
              <w:jc w:val="center"/>
              <w:spacing w:after="0" w:line="124" w:lineRule="exact"/>
              <w:rPr>
                <w:sz w:val="20"/>
                <w:szCs w:val="20"/>
                <w:color w:val="auto"/>
              </w:rPr>
            </w:pPr>
            <w:r>
              <w:rPr>
                <w:rFonts w:ascii="Arial" w:cs="Arial" w:eastAsia="Arial" w:hAnsi="Arial"/>
                <w:sz w:val="13"/>
                <w:szCs w:val="13"/>
                <w:b w:val="1"/>
                <w:bCs w:val="1"/>
                <w:color w:val="auto"/>
                <w:w w:val="94"/>
              </w:rPr>
              <w:t>% of</w:t>
            </w:r>
          </w:p>
        </w:tc>
        <w:tc>
          <w:tcPr>
            <w:tcW w:w="2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20" w:type="dxa"/>
            <w:vAlign w:val="bottom"/>
          </w:tcPr>
          <w:p>
            <w:pPr>
              <w:jc w:val="center"/>
              <w:spacing w:after="0" w:line="124" w:lineRule="exact"/>
              <w:rPr>
                <w:sz w:val="20"/>
                <w:szCs w:val="20"/>
                <w:color w:val="auto"/>
              </w:rPr>
            </w:pPr>
            <w:r>
              <w:rPr>
                <w:rFonts w:ascii="Arial" w:cs="Arial" w:eastAsia="Arial" w:hAnsi="Arial"/>
                <w:sz w:val="13"/>
                <w:szCs w:val="13"/>
                <w:b w:val="1"/>
                <w:bCs w:val="1"/>
                <w:color w:val="auto"/>
                <w:w w:val="94"/>
              </w:rPr>
              <w:t>% of</w:t>
            </w:r>
          </w:p>
        </w:tc>
        <w:tc>
          <w:tcPr>
            <w:tcW w:w="3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220" w:type="dxa"/>
            <w:vAlign w:val="bottom"/>
          </w:tcPr>
          <w:p>
            <w:pPr>
              <w:spacing w:after="0"/>
              <w:rPr>
                <w:sz w:val="10"/>
                <w:szCs w:val="10"/>
                <w:color w:val="auto"/>
              </w:rPr>
            </w:pPr>
          </w:p>
        </w:tc>
      </w:tr>
      <w:tr>
        <w:trPr>
          <w:trHeight w:val="135"/>
        </w:trPr>
        <w:tc>
          <w:tcPr>
            <w:tcW w:w="20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83"/>
              </w:rPr>
              <w:t>Segment</w:t>
            </w:r>
          </w:p>
        </w:tc>
        <w:tc>
          <w:tcPr>
            <w:tcW w:w="3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2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87"/>
              </w:rPr>
              <w:t>Segment</w:t>
            </w:r>
          </w:p>
        </w:tc>
        <w:tc>
          <w:tcPr>
            <w:tcW w:w="2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2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83"/>
              </w:rPr>
              <w:t>Segment</w:t>
            </w:r>
          </w:p>
        </w:tc>
        <w:tc>
          <w:tcPr>
            <w:tcW w:w="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2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83"/>
              </w:rPr>
              <w:t>Segment</w:t>
            </w: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20" w:type="dxa"/>
            <w:vAlign w:val="bottom"/>
          </w:tcPr>
          <w:p>
            <w:pPr>
              <w:spacing w:after="0"/>
              <w:rPr>
                <w:sz w:val="11"/>
                <w:szCs w:val="11"/>
                <w:color w:val="auto"/>
              </w:rPr>
            </w:pPr>
          </w:p>
        </w:tc>
      </w:tr>
      <w:tr>
        <w:trPr>
          <w:trHeight w:val="135"/>
        </w:trPr>
        <w:tc>
          <w:tcPr>
            <w:tcW w:w="20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80" w:type="dxa"/>
            <w:vAlign w:val="bottom"/>
            <w:gridSpan w:val="2"/>
          </w:tcPr>
          <w:p>
            <w:pPr>
              <w:jc w:val="center"/>
              <w:ind w:left="97"/>
              <w:spacing w:after="0" w:line="135" w:lineRule="exact"/>
              <w:rPr>
                <w:sz w:val="20"/>
                <w:szCs w:val="20"/>
                <w:color w:val="auto"/>
              </w:rPr>
            </w:pPr>
            <w:r>
              <w:rPr>
                <w:rFonts w:ascii="Arial" w:cs="Arial" w:eastAsia="Arial" w:hAnsi="Arial"/>
                <w:sz w:val="13"/>
                <w:szCs w:val="13"/>
                <w:b w:val="1"/>
                <w:bCs w:val="1"/>
                <w:color w:val="auto"/>
                <w:w w:val="87"/>
              </w:rPr>
              <w:t>Net Service</w:t>
            </w:r>
          </w:p>
        </w:tc>
        <w:tc>
          <w:tcPr>
            <w:tcW w:w="3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40" w:type="dxa"/>
            <w:vAlign w:val="bottom"/>
            <w:gridSpan w:val="2"/>
          </w:tcPr>
          <w:p>
            <w:pPr>
              <w:jc w:val="center"/>
              <w:ind w:left="137"/>
              <w:spacing w:after="0" w:line="135" w:lineRule="exact"/>
              <w:rPr>
                <w:sz w:val="20"/>
                <w:szCs w:val="20"/>
                <w:color w:val="auto"/>
              </w:rPr>
            </w:pPr>
            <w:r>
              <w:rPr>
                <w:rFonts w:ascii="Arial" w:cs="Arial" w:eastAsia="Arial" w:hAnsi="Arial"/>
                <w:sz w:val="13"/>
                <w:szCs w:val="13"/>
                <w:b w:val="1"/>
                <w:bCs w:val="1"/>
                <w:color w:val="auto"/>
                <w:w w:val="84"/>
              </w:rPr>
              <w:t>Net Service</w:t>
            </w:r>
          </w:p>
        </w:tc>
        <w:tc>
          <w:tcPr>
            <w:tcW w:w="2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2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84"/>
              </w:rPr>
              <w:t>Net Service</w:t>
            </w:r>
          </w:p>
        </w:tc>
        <w:tc>
          <w:tcPr>
            <w:tcW w:w="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2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87"/>
              </w:rPr>
              <w:t>Net Service</w:t>
            </w: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20" w:type="dxa"/>
            <w:vAlign w:val="bottom"/>
          </w:tcPr>
          <w:p>
            <w:pPr>
              <w:spacing w:after="0"/>
              <w:rPr>
                <w:sz w:val="11"/>
                <w:szCs w:val="11"/>
                <w:color w:val="auto"/>
              </w:rPr>
            </w:pPr>
          </w:p>
        </w:tc>
      </w:tr>
      <w:tr>
        <w:trPr>
          <w:trHeight w:val="153"/>
        </w:trPr>
        <w:tc>
          <w:tcPr>
            <w:tcW w:w="2040" w:type="dxa"/>
            <w:vAlign w:val="bottom"/>
            <w:tcBorders>
              <w:bottom w:val="single" w:sz="8" w:color="auto"/>
            </w:tcBorders>
          </w:tcPr>
          <w:p>
            <w:pPr>
              <w:spacing w:after="0"/>
              <w:rPr>
                <w:sz w:val="20"/>
                <w:szCs w:val="20"/>
                <w:color w:val="auto"/>
              </w:rPr>
            </w:pPr>
            <w:r>
              <w:rPr>
                <w:rFonts w:ascii="Arial" w:cs="Arial" w:eastAsia="Arial" w:hAnsi="Arial"/>
                <w:sz w:val="13"/>
                <w:szCs w:val="13"/>
                <w:b w:val="1"/>
                <w:bCs w:val="1"/>
                <w:color w:val="auto"/>
              </w:rPr>
              <w:t>Home Health Segment</w:t>
            </w:r>
          </w:p>
        </w:tc>
        <w:tc>
          <w:tcPr>
            <w:tcW w:w="60" w:type="dxa"/>
            <w:vAlign w:val="bottom"/>
          </w:tcPr>
          <w:p>
            <w:pPr>
              <w:spacing w:after="0"/>
              <w:rPr>
                <w:sz w:val="13"/>
                <w:szCs w:val="13"/>
                <w:color w:val="auto"/>
              </w:rPr>
            </w:pPr>
          </w:p>
        </w:tc>
        <w:tc>
          <w:tcPr>
            <w:tcW w:w="480" w:type="dxa"/>
            <w:vAlign w:val="bottom"/>
            <w:tcBorders>
              <w:bottom w:val="single" w:sz="8" w:color="auto"/>
            </w:tcBorders>
            <w:gridSpan w:val="2"/>
          </w:tcPr>
          <w:p>
            <w:pPr>
              <w:spacing w:after="0"/>
              <w:rPr>
                <w:sz w:val="20"/>
                <w:szCs w:val="20"/>
                <w:color w:val="auto"/>
              </w:rPr>
            </w:pPr>
            <w:r>
              <w:rPr>
                <w:rFonts w:ascii="Arial" w:cs="Arial" w:eastAsia="Arial" w:hAnsi="Arial"/>
                <w:sz w:val="13"/>
                <w:szCs w:val="13"/>
                <w:b w:val="1"/>
                <w:bCs w:val="1"/>
                <w:color w:val="auto"/>
                <w:w w:val="93"/>
              </w:rPr>
              <w:t>Amount</w:t>
            </w:r>
          </w:p>
        </w:tc>
        <w:tc>
          <w:tcPr>
            <w:tcW w:w="160" w:type="dxa"/>
            <w:vAlign w:val="bottom"/>
            <w:tcBorders>
              <w:bottom w:val="single" w:sz="8" w:color="auto"/>
            </w:tcBorders>
          </w:tcPr>
          <w:p>
            <w:pPr>
              <w:spacing w:after="0"/>
              <w:rPr>
                <w:sz w:val="13"/>
                <w:szCs w:val="13"/>
                <w:color w:val="auto"/>
              </w:rPr>
            </w:pPr>
          </w:p>
        </w:tc>
        <w:tc>
          <w:tcPr>
            <w:tcW w:w="62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81"/>
              </w:rPr>
              <w:t>Revenues</w:t>
            </w:r>
          </w:p>
        </w:tc>
        <w:tc>
          <w:tcPr>
            <w:tcW w:w="340" w:type="dxa"/>
            <w:vAlign w:val="bottom"/>
            <w:tcBorders>
              <w:bottom w:val="single" w:sz="8" w:color="auto"/>
            </w:tcBorders>
          </w:tcPr>
          <w:p>
            <w:pPr>
              <w:spacing w:after="0"/>
              <w:rPr>
                <w:sz w:val="13"/>
                <w:szCs w:val="13"/>
                <w:color w:val="auto"/>
              </w:rPr>
            </w:pPr>
          </w:p>
        </w:tc>
        <w:tc>
          <w:tcPr>
            <w:tcW w:w="480" w:type="dxa"/>
            <w:vAlign w:val="bottom"/>
            <w:tcBorders>
              <w:bottom w:val="single" w:sz="8" w:color="auto"/>
            </w:tcBorders>
            <w:gridSpan w:val="2"/>
          </w:tcPr>
          <w:p>
            <w:pPr>
              <w:ind w:left="20"/>
              <w:spacing w:after="0"/>
              <w:rPr>
                <w:sz w:val="20"/>
                <w:szCs w:val="20"/>
                <w:color w:val="auto"/>
              </w:rPr>
            </w:pPr>
            <w:r>
              <w:rPr>
                <w:rFonts w:ascii="Arial" w:cs="Arial" w:eastAsia="Arial" w:hAnsi="Arial"/>
                <w:sz w:val="13"/>
                <w:szCs w:val="13"/>
                <w:b w:val="1"/>
                <w:bCs w:val="1"/>
                <w:color w:val="auto"/>
                <w:w w:val="89"/>
              </w:rPr>
              <w:t>Amount</w:t>
            </w:r>
          </w:p>
        </w:tc>
        <w:tc>
          <w:tcPr>
            <w:tcW w:w="220" w:type="dxa"/>
            <w:vAlign w:val="bottom"/>
            <w:tcBorders>
              <w:bottom w:val="single" w:sz="8" w:color="auto"/>
            </w:tcBorders>
          </w:tcPr>
          <w:p>
            <w:pPr>
              <w:spacing w:after="0"/>
              <w:rPr>
                <w:sz w:val="13"/>
                <w:szCs w:val="13"/>
                <w:color w:val="auto"/>
              </w:rPr>
            </w:pPr>
          </w:p>
        </w:tc>
        <w:tc>
          <w:tcPr>
            <w:tcW w:w="62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84"/>
              </w:rPr>
              <w:t>Revenues</w:t>
            </w:r>
          </w:p>
        </w:tc>
        <w:tc>
          <w:tcPr>
            <w:tcW w:w="28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gridSpan w:val="4"/>
          </w:tcPr>
          <w:p>
            <w:pPr>
              <w:spacing w:after="0"/>
              <w:rPr>
                <w:sz w:val="20"/>
                <w:szCs w:val="20"/>
                <w:color w:val="auto"/>
              </w:rPr>
            </w:pPr>
            <w:r>
              <w:rPr>
                <w:rFonts w:ascii="Arial" w:cs="Arial" w:eastAsia="Arial" w:hAnsi="Arial"/>
                <w:sz w:val="13"/>
                <w:szCs w:val="13"/>
                <w:b w:val="1"/>
                <w:bCs w:val="1"/>
                <w:color w:val="auto"/>
              </w:rPr>
              <w:t>Amount</w:t>
            </w:r>
          </w:p>
        </w:tc>
        <w:tc>
          <w:tcPr>
            <w:tcW w:w="320" w:type="dxa"/>
            <w:vAlign w:val="bottom"/>
            <w:tcBorders>
              <w:bottom w:val="single" w:sz="8" w:color="auto"/>
            </w:tcBorders>
          </w:tcPr>
          <w:p>
            <w:pPr>
              <w:jc w:val="right"/>
              <w:ind w:right="97"/>
              <w:spacing w:after="0"/>
              <w:rPr>
                <w:sz w:val="20"/>
                <w:szCs w:val="20"/>
                <w:color w:val="auto"/>
              </w:rPr>
            </w:pPr>
            <w:r>
              <w:rPr>
                <w:rFonts w:ascii="Arial" w:cs="Arial" w:eastAsia="Arial" w:hAnsi="Arial"/>
                <w:sz w:val="13"/>
                <w:szCs w:val="13"/>
                <w:b w:val="1"/>
                <w:bCs w:val="1"/>
                <w:color w:val="auto"/>
              </w:rPr>
              <w:t>%</w:t>
            </w:r>
          </w:p>
        </w:tc>
        <w:tc>
          <w:tcPr>
            <w:tcW w:w="300" w:type="dxa"/>
            <w:vAlign w:val="bottom"/>
          </w:tcPr>
          <w:p>
            <w:pPr>
              <w:spacing w:after="0"/>
              <w:rPr>
                <w:sz w:val="13"/>
                <w:szCs w:val="13"/>
                <w:color w:val="auto"/>
              </w:rPr>
            </w:pPr>
          </w:p>
        </w:tc>
        <w:tc>
          <w:tcPr>
            <w:tcW w:w="480" w:type="dxa"/>
            <w:vAlign w:val="bottom"/>
            <w:tcBorders>
              <w:bottom w:val="single" w:sz="8" w:color="auto"/>
            </w:tcBorders>
            <w:gridSpan w:val="2"/>
          </w:tcPr>
          <w:p>
            <w:pPr>
              <w:ind w:left="20"/>
              <w:spacing w:after="0"/>
              <w:rPr>
                <w:sz w:val="20"/>
                <w:szCs w:val="20"/>
                <w:color w:val="auto"/>
              </w:rPr>
            </w:pPr>
            <w:r>
              <w:rPr>
                <w:rFonts w:ascii="Arial" w:cs="Arial" w:eastAsia="Arial" w:hAnsi="Arial"/>
                <w:sz w:val="13"/>
                <w:szCs w:val="13"/>
                <w:b w:val="1"/>
                <w:bCs w:val="1"/>
                <w:color w:val="auto"/>
                <w:w w:val="89"/>
              </w:rPr>
              <w:t>Amount</w:t>
            </w:r>
          </w:p>
        </w:tc>
        <w:tc>
          <w:tcPr>
            <w:tcW w:w="180" w:type="dxa"/>
            <w:vAlign w:val="bottom"/>
            <w:tcBorders>
              <w:bottom w:val="single" w:sz="8" w:color="auto"/>
            </w:tcBorders>
          </w:tcPr>
          <w:p>
            <w:pPr>
              <w:spacing w:after="0"/>
              <w:rPr>
                <w:sz w:val="13"/>
                <w:szCs w:val="13"/>
                <w:color w:val="auto"/>
              </w:rPr>
            </w:pPr>
          </w:p>
        </w:tc>
        <w:tc>
          <w:tcPr>
            <w:tcW w:w="62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84"/>
              </w:rPr>
              <w:t>Revenues</w:t>
            </w:r>
          </w:p>
        </w:tc>
        <w:tc>
          <w:tcPr>
            <w:tcW w:w="26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460" w:type="dxa"/>
            <w:vAlign w:val="bottom"/>
            <w:tcBorders>
              <w:bottom w:val="single" w:sz="8" w:color="auto"/>
            </w:tcBorders>
            <w:gridSpan w:val="2"/>
          </w:tcPr>
          <w:p>
            <w:pPr>
              <w:jc w:val="right"/>
              <w:spacing w:after="0"/>
              <w:rPr>
                <w:sz w:val="20"/>
                <w:szCs w:val="20"/>
                <w:color w:val="auto"/>
              </w:rPr>
            </w:pPr>
            <w:r>
              <w:rPr>
                <w:rFonts w:ascii="Arial" w:cs="Arial" w:eastAsia="Arial" w:hAnsi="Arial"/>
                <w:sz w:val="13"/>
                <w:szCs w:val="13"/>
                <w:b w:val="1"/>
                <w:bCs w:val="1"/>
                <w:color w:val="auto"/>
                <w:w w:val="85"/>
              </w:rPr>
              <w:t>Amount</w:t>
            </w:r>
          </w:p>
        </w:tc>
        <w:tc>
          <w:tcPr>
            <w:tcW w:w="220" w:type="dxa"/>
            <w:vAlign w:val="bottom"/>
            <w:tcBorders>
              <w:bottom w:val="single" w:sz="8" w:color="auto"/>
            </w:tcBorders>
          </w:tcPr>
          <w:p>
            <w:pPr>
              <w:spacing w:after="0"/>
              <w:rPr>
                <w:sz w:val="13"/>
                <w:szCs w:val="13"/>
                <w:color w:val="auto"/>
              </w:rPr>
            </w:pPr>
          </w:p>
        </w:tc>
        <w:tc>
          <w:tcPr>
            <w:tcW w:w="62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84"/>
              </w:rPr>
              <w:t>Revenues</w:t>
            </w:r>
          </w:p>
        </w:tc>
        <w:tc>
          <w:tcPr>
            <w:tcW w:w="30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gridSpan w:val="4"/>
          </w:tcPr>
          <w:p>
            <w:pPr>
              <w:spacing w:after="0"/>
              <w:rPr>
                <w:sz w:val="20"/>
                <w:szCs w:val="20"/>
                <w:color w:val="auto"/>
              </w:rPr>
            </w:pPr>
            <w:r>
              <w:rPr>
                <w:rFonts w:ascii="Arial" w:cs="Arial" w:eastAsia="Arial" w:hAnsi="Arial"/>
                <w:sz w:val="13"/>
                <w:szCs w:val="13"/>
                <w:b w:val="1"/>
                <w:bCs w:val="1"/>
                <w:color w:val="auto"/>
              </w:rPr>
              <w:t>Amount</w:t>
            </w:r>
          </w:p>
        </w:tc>
        <w:tc>
          <w:tcPr>
            <w:tcW w:w="320" w:type="dxa"/>
            <w:vAlign w:val="bottom"/>
            <w:tcBorders>
              <w:bottom w:val="single" w:sz="8" w:color="auto"/>
            </w:tcBorders>
          </w:tcPr>
          <w:p>
            <w:pPr>
              <w:jc w:val="right"/>
              <w:ind w:right="117"/>
              <w:spacing w:after="0"/>
              <w:rPr>
                <w:sz w:val="20"/>
                <w:szCs w:val="20"/>
                <w:color w:val="auto"/>
              </w:rPr>
            </w:pPr>
            <w:r>
              <w:rPr>
                <w:rFonts w:ascii="Arial" w:cs="Arial" w:eastAsia="Arial" w:hAnsi="Arial"/>
                <w:sz w:val="13"/>
                <w:szCs w:val="13"/>
                <w:b w:val="1"/>
                <w:bCs w:val="1"/>
                <w:color w:val="auto"/>
              </w:rPr>
              <w:t>%</w:t>
            </w:r>
          </w:p>
        </w:tc>
        <w:tc>
          <w:tcPr>
            <w:tcW w:w="220" w:type="dxa"/>
            <w:vAlign w:val="bottom"/>
          </w:tcPr>
          <w:p>
            <w:pPr>
              <w:spacing w:after="0"/>
              <w:rPr>
                <w:sz w:val="13"/>
                <w:szCs w:val="13"/>
                <w:color w:val="auto"/>
              </w:rPr>
            </w:pPr>
          </w:p>
        </w:tc>
      </w:tr>
      <w:tr>
        <w:trPr>
          <w:trHeight w:val="142"/>
        </w:trPr>
        <w:tc>
          <w:tcPr>
            <w:tcW w:w="20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740" w:type="dxa"/>
            <w:vAlign w:val="bottom"/>
            <w:gridSpan w:val="9"/>
          </w:tcPr>
          <w:p>
            <w:pPr>
              <w:jc w:val="center"/>
              <w:ind w:left="197"/>
              <w:spacing w:after="0" w:line="142" w:lineRule="exact"/>
              <w:rPr>
                <w:sz w:val="20"/>
                <w:szCs w:val="20"/>
                <w:color w:val="auto"/>
              </w:rPr>
            </w:pPr>
            <w:r>
              <w:rPr>
                <w:rFonts w:ascii="Arial" w:cs="Arial" w:eastAsia="Arial" w:hAnsi="Arial"/>
                <w:sz w:val="13"/>
                <w:szCs w:val="13"/>
                <w:b w:val="1"/>
                <w:bCs w:val="1"/>
                <w:color w:val="auto"/>
                <w:w w:val="85"/>
              </w:rPr>
              <w:t>(Amounts in Thousands, Except Percentages)</w:t>
            </w:r>
          </w:p>
        </w:tc>
        <w:tc>
          <w:tcPr>
            <w:tcW w:w="3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340" w:type="dxa"/>
            <w:vAlign w:val="bottom"/>
            <w:gridSpan w:val="12"/>
          </w:tcPr>
          <w:p>
            <w:pPr>
              <w:jc w:val="center"/>
              <w:ind w:right="360"/>
              <w:spacing w:after="0" w:line="142" w:lineRule="exact"/>
              <w:rPr>
                <w:sz w:val="20"/>
                <w:szCs w:val="20"/>
                <w:color w:val="auto"/>
              </w:rPr>
            </w:pPr>
            <w:r>
              <w:rPr>
                <w:rFonts w:ascii="Arial" w:cs="Arial" w:eastAsia="Arial" w:hAnsi="Arial"/>
                <w:sz w:val="13"/>
                <w:szCs w:val="13"/>
                <w:b w:val="1"/>
                <w:bCs w:val="1"/>
                <w:color w:val="auto"/>
                <w:w w:val="85"/>
              </w:rPr>
              <w:t>(Amounts in Thousands, Except Percentages)</w:t>
            </w:r>
          </w:p>
        </w:tc>
        <w:tc>
          <w:tcPr>
            <w:tcW w:w="320" w:type="dxa"/>
            <w:vAlign w:val="bottom"/>
          </w:tcPr>
          <w:p>
            <w:pPr>
              <w:spacing w:after="0"/>
              <w:rPr>
                <w:sz w:val="12"/>
                <w:szCs w:val="12"/>
                <w:color w:val="auto"/>
              </w:rPr>
            </w:pPr>
          </w:p>
        </w:tc>
        <w:tc>
          <w:tcPr>
            <w:tcW w:w="220" w:type="dxa"/>
            <w:vAlign w:val="bottom"/>
          </w:tcPr>
          <w:p>
            <w:pPr>
              <w:spacing w:after="0"/>
              <w:rPr>
                <w:sz w:val="12"/>
                <w:szCs w:val="12"/>
                <w:color w:val="auto"/>
              </w:rPr>
            </w:pPr>
          </w:p>
        </w:tc>
      </w:tr>
      <w:tr>
        <w:trPr>
          <w:trHeight w:val="148"/>
        </w:trPr>
        <w:tc>
          <w:tcPr>
            <w:tcW w:w="2040" w:type="dxa"/>
            <w:vAlign w:val="bottom"/>
            <w:shd w:val="clear" w:color="auto" w:fill="CFF0FC"/>
          </w:tcPr>
          <w:p>
            <w:pPr>
              <w:spacing w:after="0"/>
              <w:rPr>
                <w:sz w:val="20"/>
                <w:szCs w:val="20"/>
                <w:color w:val="auto"/>
              </w:rPr>
            </w:pPr>
            <w:r>
              <w:rPr>
                <w:rFonts w:ascii="Arial" w:cs="Arial" w:eastAsia="Arial" w:hAnsi="Arial"/>
                <w:sz w:val="13"/>
                <w:szCs w:val="13"/>
                <w:b w:val="1"/>
                <w:bCs w:val="1"/>
                <w:color w:val="auto"/>
              </w:rPr>
              <w:t>Operating Results</w:t>
            </w:r>
          </w:p>
        </w:tc>
        <w:tc>
          <w:tcPr>
            <w:tcW w:w="6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40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620" w:type="dxa"/>
            <w:vAlign w:val="bottom"/>
            <w:shd w:val="clear" w:color="auto" w:fill="CFF0FC"/>
          </w:tcPr>
          <w:p>
            <w:pPr>
              <w:spacing w:after="0"/>
              <w:rPr>
                <w:sz w:val="12"/>
                <w:szCs w:val="12"/>
                <w:color w:val="auto"/>
              </w:rPr>
            </w:pPr>
          </w:p>
        </w:tc>
        <w:tc>
          <w:tcPr>
            <w:tcW w:w="3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38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620" w:type="dxa"/>
            <w:vAlign w:val="bottom"/>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c>
          <w:tcPr>
            <w:tcW w:w="2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30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320" w:type="dxa"/>
            <w:vAlign w:val="bottom"/>
            <w:shd w:val="clear" w:color="auto" w:fill="CFF0FC"/>
          </w:tcPr>
          <w:p>
            <w:pPr>
              <w:spacing w:after="0"/>
              <w:rPr>
                <w:sz w:val="12"/>
                <w:szCs w:val="12"/>
                <w:color w:val="auto"/>
              </w:rPr>
            </w:pPr>
          </w:p>
        </w:tc>
        <w:tc>
          <w:tcPr>
            <w:tcW w:w="3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38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62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38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620" w:type="dxa"/>
            <w:vAlign w:val="bottom"/>
            <w:shd w:val="clear" w:color="auto" w:fill="CFF0FC"/>
          </w:tcPr>
          <w:p>
            <w:pPr>
              <w:spacing w:after="0"/>
              <w:rPr>
                <w:sz w:val="12"/>
                <w:szCs w:val="12"/>
                <w:color w:val="auto"/>
              </w:rPr>
            </w:pPr>
          </w:p>
        </w:tc>
        <w:tc>
          <w:tcPr>
            <w:tcW w:w="30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38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32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r>
      <w:tr>
        <w:trPr>
          <w:trHeight w:val="148"/>
        </w:trPr>
        <w:tc>
          <w:tcPr>
            <w:tcW w:w="2040" w:type="dxa"/>
            <w:vAlign w:val="bottom"/>
          </w:tcPr>
          <w:p>
            <w:pPr>
              <w:spacing w:after="0"/>
              <w:rPr>
                <w:sz w:val="20"/>
                <w:szCs w:val="20"/>
                <w:color w:val="auto"/>
              </w:rPr>
            </w:pPr>
            <w:r>
              <w:rPr>
                <w:rFonts w:ascii="Arial" w:cs="Arial" w:eastAsia="Arial" w:hAnsi="Arial"/>
                <w:sz w:val="13"/>
                <w:szCs w:val="13"/>
                <w:color w:val="auto"/>
              </w:rPr>
              <w:t>Net service revenues</w:t>
            </w:r>
          </w:p>
        </w:tc>
        <w:tc>
          <w:tcPr>
            <w:tcW w:w="140" w:type="dxa"/>
            <w:vAlign w:val="bottom"/>
            <w:gridSpan w:val="2"/>
          </w:tcPr>
          <w:p>
            <w:pPr>
              <w:ind w:left="60"/>
              <w:spacing w:after="0"/>
              <w:rPr>
                <w:sz w:val="20"/>
                <w:szCs w:val="20"/>
                <w:color w:val="auto"/>
              </w:rPr>
            </w:pPr>
            <w:r>
              <w:rPr>
                <w:rFonts w:ascii="Arial" w:cs="Arial" w:eastAsia="Arial" w:hAnsi="Arial"/>
                <w:sz w:val="13"/>
                <w:szCs w:val="13"/>
                <w:color w:val="auto"/>
                <w:w w:val="82"/>
              </w:rPr>
              <w:t>$</w:t>
            </w:r>
          </w:p>
        </w:tc>
        <w:tc>
          <w:tcPr>
            <w:tcW w:w="400" w:type="dxa"/>
            <w:vAlign w:val="bottom"/>
          </w:tcPr>
          <w:p>
            <w:pPr>
              <w:jc w:val="right"/>
              <w:spacing w:after="0"/>
              <w:rPr>
                <w:sz w:val="20"/>
                <w:szCs w:val="20"/>
                <w:color w:val="auto"/>
              </w:rPr>
            </w:pPr>
            <w:r>
              <w:rPr>
                <w:rFonts w:ascii="Arial" w:cs="Arial" w:eastAsia="Arial" w:hAnsi="Arial"/>
                <w:sz w:val="13"/>
                <w:szCs w:val="13"/>
                <w:color w:val="auto"/>
              </w:rPr>
              <w:t>3,783</w:t>
            </w:r>
          </w:p>
        </w:tc>
        <w:tc>
          <w:tcPr>
            <w:tcW w:w="780" w:type="dxa"/>
            <w:vAlign w:val="bottom"/>
            <w:gridSpan w:val="2"/>
          </w:tcPr>
          <w:p>
            <w:pPr>
              <w:jc w:val="right"/>
              <w:spacing w:after="0"/>
              <w:rPr>
                <w:sz w:val="20"/>
                <w:szCs w:val="20"/>
                <w:color w:val="auto"/>
              </w:rPr>
            </w:pPr>
            <w:r>
              <w:rPr>
                <w:rFonts w:ascii="Arial" w:cs="Arial" w:eastAsia="Arial" w:hAnsi="Arial"/>
                <w:sz w:val="13"/>
                <w:szCs w:val="13"/>
                <w:color w:val="auto"/>
              </w:rPr>
              <w:t>100.0</w:t>
            </w:r>
          </w:p>
        </w:tc>
        <w:tc>
          <w:tcPr>
            <w:tcW w:w="340" w:type="dxa"/>
            <w:vAlign w:val="bottom"/>
          </w:tcPr>
          <w:p>
            <w:pPr>
              <w:jc w:val="right"/>
              <w:ind w:right="57"/>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20"/>
                <w:szCs w:val="20"/>
                <w:color w:val="auto"/>
              </w:rPr>
            </w:pPr>
            <w:r>
              <w:rPr>
                <w:rFonts w:ascii="Arial" w:cs="Arial" w:eastAsia="Arial" w:hAnsi="Arial"/>
                <w:sz w:val="13"/>
                <w:szCs w:val="13"/>
                <w:color w:val="auto"/>
              </w:rPr>
              <w:t>$</w:t>
            </w:r>
          </w:p>
        </w:tc>
        <w:tc>
          <w:tcPr>
            <w:tcW w:w="380" w:type="dxa"/>
            <w:vAlign w:val="bottom"/>
          </w:tcPr>
          <w:p>
            <w:pPr>
              <w:jc w:val="right"/>
              <w:spacing w:after="0"/>
              <w:rPr>
                <w:sz w:val="20"/>
                <w:szCs w:val="20"/>
                <w:color w:val="auto"/>
              </w:rPr>
            </w:pPr>
            <w:r>
              <w:rPr>
                <w:rFonts w:ascii="Arial" w:cs="Arial" w:eastAsia="Arial" w:hAnsi="Arial"/>
                <w:sz w:val="13"/>
                <w:szCs w:val="13"/>
                <w:color w:val="auto"/>
              </w:rPr>
              <w:t>3,001</w:t>
            </w:r>
          </w:p>
        </w:tc>
        <w:tc>
          <w:tcPr>
            <w:tcW w:w="840" w:type="dxa"/>
            <w:vAlign w:val="bottom"/>
            <w:gridSpan w:val="2"/>
          </w:tcPr>
          <w:p>
            <w:pPr>
              <w:jc w:val="right"/>
              <w:spacing w:after="0"/>
              <w:rPr>
                <w:sz w:val="20"/>
                <w:szCs w:val="20"/>
                <w:color w:val="auto"/>
              </w:rPr>
            </w:pPr>
            <w:r>
              <w:rPr>
                <w:rFonts w:ascii="Arial" w:cs="Arial" w:eastAsia="Arial" w:hAnsi="Arial"/>
                <w:sz w:val="13"/>
                <w:szCs w:val="13"/>
                <w:color w:val="auto"/>
              </w:rPr>
              <w:t>100.0</w:t>
            </w:r>
          </w:p>
        </w:tc>
        <w:tc>
          <w:tcPr>
            <w:tcW w:w="280" w:type="dxa"/>
            <w:vAlign w:val="bottom"/>
          </w:tcPr>
          <w:p>
            <w:pPr>
              <w:jc w:val="right"/>
              <w:ind w:right="17"/>
              <w:spacing w:after="0"/>
              <w:rPr>
                <w:sz w:val="20"/>
                <w:szCs w:val="20"/>
                <w:color w:val="auto"/>
              </w:rPr>
            </w:pPr>
            <w:r>
              <w:rPr>
                <w:rFonts w:ascii="Arial" w:cs="Arial" w:eastAsia="Arial" w:hAnsi="Arial"/>
                <w:sz w:val="13"/>
                <w:szCs w:val="13"/>
                <w:color w:val="auto"/>
              </w:rPr>
              <w:t>%</w:t>
            </w:r>
          </w:p>
        </w:tc>
        <w:tc>
          <w:tcPr>
            <w:tcW w:w="180" w:type="dxa"/>
            <w:vAlign w:val="bottom"/>
            <w:gridSpan w:val="2"/>
          </w:tcPr>
          <w:p>
            <w:pPr>
              <w:ind w:left="20"/>
              <w:spacing w:after="0"/>
              <w:rPr>
                <w:sz w:val="20"/>
                <w:szCs w:val="20"/>
                <w:color w:val="auto"/>
              </w:rPr>
            </w:pPr>
            <w:r>
              <w:rPr>
                <w:rFonts w:ascii="Arial" w:cs="Arial" w:eastAsia="Arial" w:hAnsi="Arial"/>
                <w:sz w:val="13"/>
                <w:szCs w:val="13"/>
                <w:color w:val="auto"/>
              </w:rPr>
              <w:t>$</w:t>
            </w:r>
          </w:p>
        </w:tc>
        <w:tc>
          <w:tcPr>
            <w:tcW w:w="300" w:type="dxa"/>
            <w:vAlign w:val="bottom"/>
          </w:tcPr>
          <w:p>
            <w:pPr>
              <w:jc w:val="right"/>
              <w:spacing w:after="0"/>
              <w:rPr>
                <w:sz w:val="20"/>
                <w:szCs w:val="20"/>
                <w:color w:val="auto"/>
              </w:rPr>
            </w:pPr>
            <w:r>
              <w:rPr>
                <w:rFonts w:ascii="Arial" w:cs="Arial" w:eastAsia="Arial" w:hAnsi="Arial"/>
                <w:sz w:val="13"/>
                <w:szCs w:val="13"/>
                <w:color w:val="auto"/>
              </w:rPr>
              <w:t>782</w:t>
            </w: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20" w:type="dxa"/>
            <w:vAlign w:val="bottom"/>
          </w:tcPr>
          <w:p>
            <w:pPr>
              <w:jc w:val="right"/>
              <w:spacing w:after="0"/>
              <w:rPr>
                <w:sz w:val="20"/>
                <w:szCs w:val="20"/>
                <w:color w:val="auto"/>
              </w:rPr>
            </w:pPr>
            <w:r>
              <w:rPr>
                <w:rFonts w:ascii="Arial" w:cs="Arial" w:eastAsia="Arial" w:hAnsi="Arial"/>
                <w:sz w:val="13"/>
                <w:szCs w:val="13"/>
                <w:color w:val="auto"/>
              </w:rPr>
              <w:t>26.1</w:t>
            </w:r>
          </w:p>
        </w:tc>
        <w:tc>
          <w:tcPr>
            <w:tcW w:w="300" w:type="dxa"/>
            <w:vAlign w:val="bottom"/>
          </w:tcPr>
          <w:p>
            <w:pPr>
              <w:jc w:val="right"/>
              <w:ind w:right="17"/>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20"/>
                <w:szCs w:val="20"/>
                <w:color w:val="auto"/>
              </w:rPr>
            </w:pPr>
            <w:r>
              <w:rPr>
                <w:rFonts w:ascii="Arial" w:cs="Arial" w:eastAsia="Arial" w:hAnsi="Arial"/>
                <w:sz w:val="13"/>
                <w:szCs w:val="13"/>
                <w:color w:val="auto"/>
              </w:rPr>
              <w:t>$</w:t>
            </w:r>
          </w:p>
        </w:tc>
        <w:tc>
          <w:tcPr>
            <w:tcW w:w="380" w:type="dxa"/>
            <w:vAlign w:val="bottom"/>
          </w:tcPr>
          <w:p>
            <w:pPr>
              <w:jc w:val="right"/>
              <w:spacing w:after="0"/>
              <w:rPr>
                <w:sz w:val="20"/>
                <w:szCs w:val="20"/>
                <w:color w:val="auto"/>
              </w:rPr>
            </w:pPr>
            <w:r>
              <w:rPr>
                <w:rFonts w:ascii="Arial" w:cs="Arial" w:eastAsia="Arial" w:hAnsi="Arial"/>
                <w:sz w:val="13"/>
                <w:szCs w:val="13"/>
                <w:color w:val="auto"/>
              </w:rPr>
              <w:t>8,122</w:t>
            </w:r>
          </w:p>
        </w:tc>
        <w:tc>
          <w:tcPr>
            <w:tcW w:w="800" w:type="dxa"/>
            <w:vAlign w:val="bottom"/>
            <w:gridSpan w:val="2"/>
          </w:tcPr>
          <w:p>
            <w:pPr>
              <w:jc w:val="right"/>
              <w:spacing w:after="0"/>
              <w:rPr>
                <w:sz w:val="20"/>
                <w:szCs w:val="20"/>
                <w:color w:val="auto"/>
              </w:rPr>
            </w:pPr>
            <w:r>
              <w:rPr>
                <w:rFonts w:ascii="Arial" w:cs="Arial" w:eastAsia="Arial" w:hAnsi="Arial"/>
                <w:sz w:val="13"/>
                <w:szCs w:val="13"/>
                <w:color w:val="auto"/>
              </w:rPr>
              <w:t>100.0</w:t>
            </w:r>
          </w:p>
        </w:tc>
        <w:tc>
          <w:tcPr>
            <w:tcW w:w="260" w:type="dxa"/>
            <w:vAlign w:val="bottom"/>
          </w:tcPr>
          <w:p>
            <w:pPr>
              <w:jc w:val="right"/>
              <w:spacing w:after="0"/>
              <w:rPr>
                <w:sz w:val="20"/>
                <w:szCs w:val="20"/>
                <w:color w:val="auto"/>
              </w:rPr>
            </w:pPr>
            <w:r>
              <w:rPr>
                <w:rFonts w:ascii="Arial" w:cs="Arial" w:eastAsia="Arial" w:hAnsi="Arial"/>
                <w:sz w:val="13"/>
                <w:szCs w:val="13"/>
                <w:color w:val="auto"/>
              </w:rPr>
              <w:t>%</w:t>
            </w:r>
          </w:p>
        </w:tc>
        <w:tc>
          <w:tcPr>
            <w:tcW w:w="16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380" w:type="dxa"/>
            <w:vAlign w:val="bottom"/>
          </w:tcPr>
          <w:p>
            <w:pPr>
              <w:jc w:val="right"/>
              <w:spacing w:after="0"/>
              <w:rPr>
                <w:sz w:val="20"/>
                <w:szCs w:val="20"/>
                <w:color w:val="auto"/>
              </w:rPr>
            </w:pPr>
            <w:r>
              <w:rPr>
                <w:rFonts w:ascii="Arial" w:cs="Arial" w:eastAsia="Arial" w:hAnsi="Arial"/>
                <w:sz w:val="13"/>
                <w:szCs w:val="13"/>
                <w:color w:val="auto"/>
              </w:rPr>
              <w:t>5,697</w:t>
            </w:r>
          </w:p>
        </w:tc>
        <w:tc>
          <w:tcPr>
            <w:tcW w:w="840" w:type="dxa"/>
            <w:vAlign w:val="bottom"/>
            <w:gridSpan w:val="2"/>
          </w:tcPr>
          <w:p>
            <w:pPr>
              <w:jc w:val="right"/>
              <w:spacing w:after="0"/>
              <w:rPr>
                <w:sz w:val="20"/>
                <w:szCs w:val="20"/>
                <w:color w:val="auto"/>
              </w:rPr>
            </w:pPr>
            <w:r>
              <w:rPr>
                <w:rFonts w:ascii="Arial" w:cs="Arial" w:eastAsia="Arial" w:hAnsi="Arial"/>
                <w:sz w:val="13"/>
                <w:szCs w:val="13"/>
                <w:color w:val="auto"/>
              </w:rPr>
              <w:t>100.0</w:t>
            </w:r>
          </w:p>
        </w:tc>
        <w:tc>
          <w:tcPr>
            <w:tcW w:w="300" w:type="dxa"/>
            <w:vAlign w:val="bottom"/>
          </w:tcPr>
          <w:p>
            <w:pPr>
              <w:jc w:val="right"/>
              <w:ind w:right="17"/>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20"/>
                <w:szCs w:val="20"/>
                <w:color w:val="auto"/>
              </w:rPr>
            </w:pPr>
            <w:r>
              <w:rPr>
                <w:rFonts w:ascii="Arial" w:cs="Arial" w:eastAsia="Arial" w:hAnsi="Arial"/>
                <w:sz w:val="13"/>
                <w:szCs w:val="13"/>
                <w:color w:val="auto"/>
                <w:w w:val="82"/>
              </w:rPr>
              <w:t>$</w:t>
            </w:r>
          </w:p>
        </w:tc>
        <w:tc>
          <w:tcPr>
            <w:tcW w:w="380" w:type="dxa"/>
            <w:vAlign w:val="bottom"/>
          </w:tcPr>
          <w:p>
            <w:pPr>
              <w:jc w:val="right"/>
              <w:spacing w:after="0"/>
              <w:rPr>
                <w:sz w:val="20"/>
                <w:szCs w:val="20"/>
                <w:color w:val="auto"/>
              </w:rPr>
            </w:pPr>
            <w:r>
              <w:rPr>
                <w:rFonts w:ascii="Arial" w:cs="Arial" w:eastAsia="Arial" w:hAnsi="Arial"/>
                <w:sz w:val="13"/>
                <w:szCs w:val="13"/>
                <w:color w:val="auto"/>
              </w:rPr>
              <w:t>2,425</w:t>
            </w: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20" w:type="dxa"/>
            <w:vAlign w:val="bottom"/>
          </w:tcPr>
          <w:p>
            <w:pPr>
              <w:jc w:val="right"/>
              <w:spacing w:after="0"/>
              <w:rPr>
                <w:sz w:val="20"/>
                <w:szCs w:val="20"/>
                <w:color w:val="auto"/>
              </w:rPr>
            </w:pPr>
            <w:r>
              <w:rPr>
                <w:rFonts w:ascii="Arial" w:cs="Arial" w:eastAsia="Arial" w:hAnsi="Arial"/>
                <w:sz w:val="13"/>
                <w:szCs w:val="13"/>
                <w:color w:val="auto"/>
              </w:rPr>
              <w:t>42.6</w:t>
            </w:r>
          </w:p>
        </w:tc>
        <w:tc>
          <w:tcPr>
            <w:tcW w:w="220" w:type="dxa"/>
            <w:vAlign w:val="bottom"/>
          </w:tcPr>
          <w:p>
            <w:pPr>
              <w:jc w:val="right"/>
              <w:spacing w:after="0"/>
              <w:rPr>
                <w:sz w:val="20"/>
                <w:szCs w:val="20"/>
                <w:color w:val="auto"/>
              </w:rPr>
            </w:pPr>
            <w:r>
              <w:rPr>
                <w:rFonts w:ascii="Arial" w:cs="Arial" w:eastAsia="Arial" w:hAnsi="Arial"/>
                <w:sz w:val="13"/>
                <w:szCs w:val="13"/>
                <w:color w:val="auto"/>
              </w:rPr>
              <w:t>%</w:t>
            </w:r>
          </w:p>
        </w:tc>
      </w:tr>
      <w:tr>
        <w:trPr>
          <w:trHeight w:val="148"/>
        </w:trPr>
        <w:tc>
          <w:tcPr>
            <w:tcW w:w="2040" w:type="dxa"/>
            <w:vAlign w:val="bottom"/>
            <w:shd w:val="clear" w:color="auto" w:fill="CFF0FC"/>
          </w:tcPr>
          <w:p>
            <w:pPr>
              <w:spacing w:after="0"/>
              <w:rPr>
                <w:sz w:val="20"/>
                <w:szCs w:val="20"/>
                <w:color w:val="auto"/>
              </w:rPr>
            </w:pPr>
            <w:r>
              <w:rPr>
                <w:rFonts w:ascii="Arial" w:cs="Arial" w:eastAsia="Arial" w:hAnsi="Arial"/>
                <w:sz w:val="13"/>
                <w:szCs w:val="13"/>
                <w:color w:val="auto"/>
              </w:rPr>
              <w:t>Cost of services revenues</w:t>
            </w:r>
          </w:p>
        </w:tc>
        <w:tc>
          <w:tcPr>
            <w:tcW w:w="6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4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2,833</w:t>
            </w:r>
          </w:p>
        </w:tc>
        <w:tc>
          <w:tcPr>
            <w:tcW w:w="780" w:type="dxa"/>
            <w:vAlign w:val="bottom"/>
            <w:gridSpan w:val="2"/>
            <w:shd w:val="clear" w:color="auto" w:fill="CFF0FC"/>
          </w:tcPr>
          <w:p>
            <w:pPr>
              <w:jc w:val="right"/>
              <w:spacing w:after="0"/>
              <w:rPr>
                <w:sz w:val="20"/>
                <w:szCs w:val="20"/>
                <w:color w:val="auto"/>
              </w:rPr>
            </w:pPr>
            <w:r>
              <w:rPr>
                <w:rFonts w:ascii="Arial" w:cs="Arial" w:eastAsia="Arial" w:hAnsi="Arial"/>
                <w:sz w:val="13"/>
                <w:szCs w:val="13"/>
                <w:color w:val="auto"/>
              </w:rPr>
              <w:t>74.9</w:t>
            </w:r>
          </w:p>
        </w:tc>
        <w:tc>
          <w:tcPr>
            <w:tcW w:w="3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3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2,071</w:t>
            </w:r>
          </w:p>
        </w:tc>
        <w:tc>
          <w:tcPr>
            <w:tcW w:w="840" w:type="dxa"/>
            <w:vAlign w:val="bottom"/>
            <w:gridSpan w:val="2"/>
            <w:shd w:val="clear" w:color="auto" w:fill="CFF0FC"/>
          </w:tcPr>
          <w:p>
            <w:pPr>
              <w:jc w:val="right"/>
              <w:spacing w:after="0"/>
              <w:rPr>
                <w:sz w:val="20"/>
                <w:szCs w:val="20"/>
                <w:color w:val="auto"/>
              </w:rPr>
            </w:pPr>
            <w:r>
              <w:rPr>
                <w:rFonts w:ascii="Arial" w:cs="Arial" w:eastAsia="Arial" w:hAnsi="Arial"/>
                <w:sz w:val="13"/>
                <w:szCs w:val="13"/>
                <w:color w:val="auto"/>
              </w:rPr>
              <w:t>69.0</w:t>
            </w:r>
          </w:p>
        </w:tc>
        <w:tc>
          <w:tcPr>
            <w:tcW w:w="280" w:type="dxa"/>
            <w:vAlign w:val="bottom"/>
            <w:shd w:val="clear" w:color="auto" w:fill="CFF0FC"/>
          </w:tcPr>
          <w:p>
            <w:pPr>
              <w:spacing w:after="0"/>
              <w:rPr>
                <w:sz w:val="12"/>
                <w:szCs w:val="12"/>
                <w:color w:val="auto"/>
              </w:rPr>
            </w:pPr>
          </w:p>
        </w:tc>
        <w:tc>
          <w:tcPr>
            <w:tcW w:w="2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3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762</w:t>
            </w:r>
          </w:p>
        </w:tc>
        <w:tc>
          <w:tcPr>
            <w:tcW w:w="16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3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36.8</w:t>
            </w:r>
          </w:p>
        </w:tc>
        <w:tc>
          <w:tcPr>
            <w:tcW w:w="3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3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5,868</w:t>
            </w:r>
          </w:p>
        </w:tc>
        <w:tc>
          <w:tcPr>
            <w:tcW w:w="800" w:type="dxa"/>
            <w:vAlign w:val="bottom"/>
            <w:gridSpan w:val="2"/>
            <w:shd w:val="clear" w:color="auto" w:fill="CFF0FC"/>
          </w:tcPr>
          <w:p>
            <w:pPr>
              <w:jc w:val="right"/>
              <w:spacing w:after="0"/>
              <w:rPr>
                <w:sz w:val="20"/>
                <w:szCs w:val="20"/>
                <w:color w:val="auto"/>
              </w:rPr>
            </w:pPr>
            <w:r>
              <w:rPr>
                <w:rFonts w:ascii="Arial" w:cs="Arial" w:eastAsia="Arial" w:hAnsi="Arial"/>
                <w:sz w:val="13"/>
                <w:szCs w:val="13"/>
                <w:color w:val="auto"/>
              </w:rPr>
              <w:t>72.2</w:t>
            </w:r>
          </w:p>
        </w:tc>
        <w:tc>
          <w:tcPr>
            <w:tcW w:w="26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3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3,985</w:t>
            </w:r>
          </w:p>
        </w:tc>
        <w:tc>
          <w:tcPr>
            <w:tcW w:w="840" w:type="dxa"/>
            <w:vAlign w:val="bottom"/>
            <w:gridSpan w:val="2"/>
            <w:shd w:val="clear" w:color="auto" w:fill="CFF0FC"/>
          </w:tcPr>
          <w:p>
            <w:pPr>
              <w:jc w:val="right"/>
              <w:spacing w:after="0"/>
              <w:rPr>
                <w:sz w:val="20"/>
                <w:szCs w:val="20"/>
                <w:color w:val="auto"/>
              </w:rPr>
            </w:pPr>
            <w:r>
              <w:rPr>
                <w:rFonts w:ascii="Arial" w:cs="Arial" w:eastAsia="Arial" w:hAnsi="Arial"/>
                <w:sz w:val="13"/>
                <w:szCs w:val="13"/>
                <w:color w:val="auto"/>
              </w:rPr>
              <w:t>69.9</w:t>
            </w:r>
          </w:p>
        </w:tc>
        <w:tc>
          <w:tcPr>
            <w:tcW w:w="30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3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1,883</w:t>
            </w:r>
          </w:p>
        </w:tc>
        <w:tc>
          <w:tcPr>
            <w:tcW w:w="18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3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47.3</w:t>
            </w:r>
          </w:p>
        </w:tc>
        <w:tc>
          <w:tcPr>
            <w:tcW w:w="220" w:type="dxa"/>
            <w:vAlign w:val="bottom"/>
            <w:shd w:val="clear" w:color="auto" w:fill="CFF0FC"/>
          </w:tcPr>
          <w:p>
            <w:pPr>
              <w:spacing w:after="0"/>
              <w:rPr>
                <w:sz w:val="12"/>
                <w:szCs w:val="12"/>
                <w:color w:val="auto"/>
              </w:rPr>
            </w:pPr>
          </w:p>
        </w:tc>
      </w:tr>
      <w:tr>
        <w:trPr>
          <w:trHeight w:val="142"/>
        </w:trPr>
        <w:tc>
          <w:tcPr>
            <w:tcW w:w="2040" w:type="dxa"/>
            <w:vAlign w:val="bottom"/>
          </w:tcPr>
          <w:p>
            <w:pPr>
              <w:spacing w:after="0" w:line="142" w:lineRule="exact"/>
              <w:rPr>
                <w:sz w:val="20"/>
                <w:szCs w:val="20"/>
                <w:color w:val="auto"/>
              </w:rPr>
            </w:pPr>
            <w:r>
              <w:rPr>
                <w:rFonts w:ascii="Arial" w:cs="Arial" w:eastAsia="Arial" w:hAnsi="Arial"/>
                <w:sz w:val="13"/>
                <w:szCs w:val="13"/>
                <w:color w:val="auto"/>
              </w:rPr>
              <w:t>Gross profit</w:t>
            </w:r>
          </w:p>
        </w:tc>
        <w:tc>
          <w:tcPr>
            <w:tcW w:w="6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40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3"/>
                <w:szCs w:val="13"/>
                <w:color w:val="auto"/>
              </w:rPr>
              <w:t>950</w:t>
            </w:r>
          </w:p>
        </w:tc>
        <w:tc>
          <w:tcPr>
            <w:tcW w:w="160" w:type="dxa"/>
            <w:vAlign w:val="bottom"/>
          </w:tcPr>
          <w:p>
            <w:pPr>
              <w:spacing w:after="0"/>
              <w:rPr>
                <w:sz w:val="12"/>
                <w:szCs w:val="12"/>
                <w:color w:val="auto"/>
              </w:rPr>
            </w:pPr>
          </w:p>
        </w:tc>
        <w:tc>
          <w:tcPr>
            <w:tcW w:w="62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3"/>
                <w:szCs w:val="13"/>
                <w:color w:val="auto"/>
              </w:rPr>
              <w:t>25.1</w:t>
            </w:r>
          </w:p>
        </w:tc>
        <w:tc>
          <w:tcPr>
            <w:tcW w:w="34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38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3"/>
                <w:szCs w:val="13"/>
                <w:color w:val="auto"/>
              </w:rPr>
              <w:t>930</w:t>
            </w:r>
          </w:p>
        </w:tc>
        <w:tc>
          <w:tcPr>
            <w:tcW w:w="220" w:type="dxa"/>
            <w:vAlign w:val="bottom"/>
          </w:tcPr>
          <w:p>
            <w:pPr>
              <w:spacing w:after="0"/>
              <w:rPr>
                <w:sz w:val="12"/>
                <w:szCs w:val="12"/>
                <w:color w:val="auto"/>
              </w:rPr>
            </w:pPr>
          </w:p>
        </w:tc>
        <w:tc>
          <w:tcPr>
            <w:tcW w:w="62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3"/>
                <w:szCs w:val="13"/>
                <w:color w:val="auto"/>
              </w:rPr>
              <w:t>31.0</w:t>
            </w:r>
          </w:p>
        </w:tc>
        <w:tc>
          <w:tcPr>
            <w:tcW w:w="2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30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3"/>
                <w:szCs w:val="13"/>
                <w:color w:val="auto"/>
              </w:rPr>
              <w:t>20</w:t>
            </w:r>
          </w:p>
        </w:tc>
        <w:tc>
          <w:tcPr>
            <w:tcW w:w="16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32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3"/>
                <w:szCs w:val="13"/>
                <w:color w:val="auto"/>
              </w:rPr>
              <w:t>2.2</w:t>
            </w:r>
          </w:p>
        </w:tc>
        <w:tc>
          <w:tcPr>
            <w:tcW w:w="30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38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3"/>
                <w:szCs w:val="13"/>
                <w:color w:val="auto"/>
              </w:rPr>
              <w:t>2,254</w:t>
            </w:r>
          </w:p>
        </w:tc>
        <w:tc>
          <w:tcPr>
            <w:tcW w:w="180" w:type="dxa"/>
            <w:vAlign w:val="bottom"/>
          </w:tcPr>
          <w:p>
            <w:pPr>
              <w:spacing w:after="0"/>
              <w:rPr>
                <w:sz w:val="12"/>
                <w:szCs w:val="12"/>
                <w:color w:val="auto"/>
              </w:rPr>
            </w:pPr>
          </w:p>
        </w:tc>
        <w:tc>
          <w:tcPr>
            <w:tcW w:w="62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3"/>
                <w:szCs w:val="13"/>
                <w:color w:val="auto"/>
              </w:rPr>
              <w:t>27.8</w:t>
            </w: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38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3"/>
                <w:szCs w:val="13"/>
                <w:color w:val="auto"/>
              </w:rPr>
              <w:t>1,712</w:t>
            </w:r>
          </w:p>
        </w:tc>
        <w:tc>
          <w:tcPr>
            <w:tcW w:w="220" w:type="dxa"/>
            <w:vAlign w:val="bottom"/>
          </w:tcPr>
          <w:p>
            <w:pPr>
              <w:spacing w:after="0"/>
              <w:rPr>
                <w:sz w:val="12"/>
                <w:szCs w:val="12"/>
                <w:color w:val="auto"/>
              </w:rPr>
            </w:pPr>
          </w:p>
        </w:tc>
        <w:tc>
          <w:tcPr>
            <w:tcW w:w="62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3"/>
                <w:szCs w:val="13"/>
                <w:color w:val="auto"/>
              </w:rPr>
              <w:t>30.1</w:t>
            </w:r>
          </w:p>
        </w:tc>
        <w:tc>
          <w:tcPr>
            <w:tcW w:w="30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38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3"/>
                <w:szCs w:val="13"/>
                <w:color w:val="auto"/>
              </w:rPr>
              <w:t>542</w:t>
            </w:r>
          </w:p>
        </w:tc>
        <w:tc>
          <w:tcPr>
            <w:tcW w:w="18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32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3"/>
                <w:szCs w:val="13"/>
                <w:color w:val="auto"/>
              </w:rPr>
              <w:t>31.7</w:t>
            </w:r>
          </w:p>
        </w:tc>
        <w:tc>
          <w:tcPr>
            <w:tcW w:w="220" w:type="dxa"/>
            <w:vAlign w:val="bottom"/>
          </w:tcPr>
          <w:p>
            <w:pPr>
              <w:spacing w:after="0"/>
              <w:rPr>
                <w:sz w:val="12"/>
                <w:szCs w:val="12"/>
                <w:color w:val="auto"/>
              </w:rPr>
            </w:pPr>
          </w:p>
        </w:tc>
      </w:tr>
      <w:tr>
        <w:trPr>
          <w:trHeight w:val="148"/>
        </w:trPr>
        <w:tc>
          <w:tcPr>
            <w:tcW w:w="2040" w:type="dxa"/>
            <w:vAlign w:val="bottom"/>
            <w:shd w:val="clear" w:color="auto" w:fill="CFF0FC"/>
          </w:tcPr>
          <w:p>
            <w:pPr>
              <w:spacing w:after="0"/>
              <w:rPr>
                <w:sz w:val="20"/>
                <w:szCs w:val="20"/>
                <w:color w:val="auto"/>
              </w:rPr>
            </w:pPr>
            <w:r>
              <w:rPr>
                <w:rFonts w:ascii="Arial" w:cs="Arial" w:eastAsia="Arial" w:hAnsi="Arial"/>
                <w:sz w:val="13"/>
                <w:szCs w:val="13"/>
                <w:color w:val="auto"/>
                <w:w w:val="94"/>
              </w:rPr>
              <w:t>General and administrative expenses</w:t>
            </w:r>
          </w:p>
        </w:tc>
        <w:tc>
          <w:tcPr>
            <w:tcW w:w="6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4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883</w:t>
            </w:r>
          </w:p>
        </w:tc>
        <w:tc>
          <w:tcPr>
            <w:tcW w:w="780" w:type="dxa"/>
            <w:vAlign w:val="bottom"/>
            <w:gridSpan w:val="2"/>
            <w:shd w:val="clear" w:color="auto" w:fill="CFF0FC"/>
          </w:tcPr>
          <w:p>
            <w:pPr>
              <w:jc w:val="right"/>
              <w:spacing w:after="0"/>
              <w:rPr>
                <w:sz w:val="20"/>
                <w:szCs w:val="20"/>
                <w:color w:val="auto"/>
              </w:rPr>
            </w:pPr>
            <w:r>
              <w:rPr>
                <w:rFonts w:ascii="Arial" w:cs="Arial" w:eastAsia="Arial" w:hAnsi="Arial"/>
                <w:sz w:val="13"/>
                <w:szCs w:val="13"/>
                <w:color w:val="auto"/>
              </w:rPr>
              <w:t>23.3</w:t>
            </w:r>
          </w:p>
        </w:tc>
        <w:tc>
          <w:tcPr>
            <w:tcW w:w="3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3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656</w:t>
            </w:r>
          </w:p>
        </w:tc>
        <w:tc>
          <w:tcPr>
            <w:tcW w:w="840" w:type="dxa"/>
            <w:vAlign w:val="bottom"/>
            <w:gridSpan w:val="2"/>
            <w:shd w:val="clear" w:color="auto" w:fill="CFF0FC"/>
          </w:tcPr>
          <w:p>
            <w:pPr>
              <w:jc w:val="right"/>
              <w:spacing w:after="0"/>
              <w:rPr>
                <w:sz w:val="20"/>
                <w:szCs w:val="20"/>
                <w:color w:val="auto"/>
              </w:rPr>
            </w:pPr>
            <w:r>
              <w:rPr>
                <w:rFonts w:ascii="Arial" w:cs="Arial" w:eastAsia="Arial" w:hAnsi="Arial"/>
                <w:sz w:val="13"/>
                <w:szCs w:val="13"/>
                <w:color w:val="auto"/>
              </w:rPr>
              <w:t>21.9</w:t>
            </w:r>
          </w:p>
        </w:tc>
        <w:tc>
          <w:tcPr>
            <w:tcW w:w="280" w:type="dxa"/>
            <w:vAlign w:val="bottom"/>
            <w:shd w:val="clear" w:color="auto" w:fill="CFF0FC"/>
          </w:tcPr>
          <w:p>
            <w:pPr>
              <w:spacing w:after="0"/>
              <w:rPr>
                <w:sz w:val="12"/>
                <w:szCs w:val="12"/>
                <w:color w:val="auto"/>
              </w:rPr>
            </w:pPr>
          </w:p>
        </w:tc>
        <w:tc>
          <w:tcPr>
            <w:tcW w:w="2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3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227</w:t>
            </w:r>
          </w:p>
        </w:tc>
        <w:tc>
          <w:tcPr>
            <w:tcW w:w="16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3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34.6</w:t>
            </w:r>
          </w:p>
        </w:tc>
        <w:tc>
          <w:tcPr>
            <w:tcW w:w="3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3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1,905</w:t>
            </w:r>
          </w:p>
        </w:tc>
        <w:tc>
          <w:tcPr>
            <w:tcW w:w="800" w:type="dxa"/>
            <w:vAlign w:val="bottom"/>
            <w:gridSpan w:val="2"/>
            <w:shd w:val="clear" w:color="auto" w:fill="CFF0FC"/>
          </w:tcPr>
          <w:p>
            <w:pPr>
              <w:jc w:val="right"/>
              <w:spacing w:after="0"/>
              <w:rPr>
                <w:sz w:val="20"/>
                <w:szCs w:val="20"/>
                <w:color w:val="auto"/>
              </w:rPr>
            </w:pPr>
            <w:r>
              <w:rPr>
                <w:rFonts w:ascii="Arial" w:cs="Arial" w:eastAsia="Arial" w:hAnsi="Arial"/>
                <w:sz w:val="13"/>
                <w:szCs w:val="13"/>
                <w:color w:val="auto"/>
              </w:rPr>
              <w:t>23.5</w:t>
            </w:r>
          </w:p>
        </w:tc>
        <w:tc>
          <w:tcPr>
            <w:tcW w:w="26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3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1,343</w:t>
            </w:r>
          </w:p>
        </w:tc>
        <w:tc>
          <w:tcPr>
            <w:tcW w:w="840" w:type="dxa"/>
            <w:vAlign w:val="bottom"/>
            <w:gridSpan w:val="2"/>
            <w:shd w:val="clear" w:color="auto" w:fill="CFF0FC"/>
          </w:tcPr>
          <w:p>
            <w:pPr>
              <w:jc w:val="right"/>
              <w:spacing w:after="0"/>
              <w:rPr>
                <w:sz w:val="20"/>
                <w:szCs w:val="20"/>
                <w:color w:val="auto"/>
              </w:rPr>
            </w:pPr>
            <w:r>
              <w:rPr>
                <w:rFonts w:ascii="Arial" w:cs="Arial" w:eastAsia="Arial" w:hAnsi="Arial"/>
                <w:sz w:val="13"/>
                <w:szCs w:val="13"/>
                <w:color w:val="auto"/>
              </w:rPr>
              <w:t>23.6</w:t>
            </w:r>
          </w:p>
        </w:tc>
        <w:tc>
          <w:tcPr>
            <w:tcW w:w="30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3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562</w:t>
            </w:r>
          </w:p>
        </w:tc>
        <w:tc>
          <w:tcPr>
            <w:tcW w:w="18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3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41.8</w:t>
            </w:r>
          </w:p>
        </w:tc>
        <w:tc>
          <w:tcPr>
            <w:tcW w:w="220" w:type="dxa"/>
            <w:vAlign w:val="bottom"/>
            <w:shd w:val="clear" w:color="auto" w:fill="CFF0FC"/>
          </w:tcPr>
          <w:p>
            <w:pPr>
              <w:spacing w:after="0"/>
              <w:rPr>
                <w:sz w:val="12"/>
                <w:szCs w:val="12"/>
                <w:color w:val="auto"/>
              </w:rPr>
            </w:pPr>
          </w:p>
        </w:tc>
      </w:tr>
      <w:tr>
        <w:trPr>
          <w:trHeight w:val="182"/>
        </w:trPr>
        <w:tc>
          <w:tcPr>
            <w:tcW w:w="2040" w:type="dxa"/>
            <w:vAlign w:val="bottom"/>
            <w:tcBorders>
              <w:bottom w:val="single" w:sz="8" w:color="CFF0FC"/>
            </w:tcBorders>
          </w:tcPr>
          <w:p>
            <w:pPr>
              <w:spacing w:after="0" w:line="142" w:lineRule="exact"/>
              <w:rPr>
                <w:sz w:val="20"/>
                <w:szCs w:val="20"/>
                <w:color w:val="auto"/>
              </w:rPr>
            </w:pPr>
            <w:r>
              <w:rPr>
                <w:rFonts w:ascii="Arial" w:cs="Arial" w:eastAsia="Arial" w:hAnsi="Arial"/>
                <w:sz w:val="13"/>
                <w:szCs w:val="13"/>
                <w:color w:val="auto"/>
              </w:rPr>
              <w:t>Segment operating income</w:t>
            </w:r>
          </w:p>
        </w:tc>
        <w:tc>
          <w:tcPr>
            <w:tcW w:w="60" w:type="dxa"/>
            <w:vAlign w:val="bottom"/>
            <w:tcBorders>
              <w:bottom w:val="single" w:sz="8" w:color="CFF0FC"/>
            </w:tcBorders>
          </w:tcPr>
          <w:p>
            <w:pPr>
              <w:spacing w:after="0"/>
              <w:rPr>
                <w:sz w:val="15"/>
                <w:szCs w:val="15"/>
                <w:color w:val="auto"/>
              </w:rPr>
            </w:pPr>
          </w:p>
        </w:tc>
        <w:tc>
          <w:tcPr>
            <w:tcW w:w="80" w:type="dxa"/>
            <w:vAlign w:val="bottom"/>
            <w:tcBorders>
              <w:top w:val="single" w:sz="8" w:color="auto"/>
              <w:bottom w:val="single" w:sz="8" w:color="auto"/>
            </w:tcBorders>
          </w:tcPr>
          <w:p>
            <w:pPr>
              <w:spacing w:after="0" w:line="142" w:lineRule="exact"/>
              <w:rPr>
                <w:sz w:val="20"/>
                <w:szCs w:val="20"/>
                <w:color w:val="auto"/>
              </w:rPr>
            </w:pPr>
            <w:r>
              <w:rPr>
                <w:rFonts w:ascii="Arial" w:cs="Arial" w:eastAsia="Arial" w:hAnsi="Arial"/>
                <w:sz w:val="13"/>
                <w:szCs w:val="13"/>
                <w:color w:val="auto"/>
                <w:w w:val="82"/>
              </w:rPr>
              <w:t>$</w:t>
            </w:r>
          </w:p>
        </w:tc>
        <w:tc>
          <w:tcPr>
            <w:tcW w:w="40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3"/>
                <w:szCs w:val="13"/>
                <w:color w:val="auto"/>
              </w:rPr>
              <w:t>67</w:t>
            </w:r>
          </w:p>
        </w:tc>
        <w:tc>
          <w:tcPr>
            <w:tcW w:w="160" w:type="dxa"/>
            <w:vAlign w:val="bottom"/>
            <w:tcBorders>
              <w:bottom w:val="single" w:sz="8" w:color="CFF0FC"/>
            </w:tcBorders>
          </w:tcPr>
          <w:p>
            <w:pPr>
              <w:spacing w:after="0"/>
              <w:rPr>
                <w:sz w:val="15"/>
                <w:szCs w:val="15"/>
                <w:color w:val="auto"/>
              </w:rPr>
            </w:pPr>
          </w:p>
        </w:tc>
        <w:tc>
          <w:tcPr>
            <w:tcW w:w="62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3"/>
                <w:szCs w:val="13"/>
                <w:color w:val="auto"/>
              </w:rPr>
              <w:t>1.8</w:t>
            </w:r>
          </w:p>
        </w:tc>
        <w:tc>
          <w:tcPr>
            <w:tcW w:w="340" w:type="dxa"/>
            <w:vAlign w:val="bottom"/>
            <w:tcBorders>
              <w:bottom w:val="single" w:sz="8" w:color="CFF0FC"/>
            </w:tcBorders>
          </w:tcPr>
          <w:p>
            <w:pPr>
              <w:jc w:val="right"/>
              <w:ind w:right="57"/>
              <w:spacing w:after="0" w:line="142" w:lineRule="exact"/>
              <w:rPr>
                <w:sz w:val="20"/>
                <w:szCs w:val="20"/>
                <w:color w:val="auto"/>
              </w:rPr>
            </w:pPr>
            <w:r>
              <w:rPr>
                <w:rFonts w:ascii="Arial" w:cs="Arial" w:eastAsia="Arial" w:hAnsi="Arial"/>
                <w:sz w:val="13"/>
                <w:szCs w:val="13"/>
                <w:color w:val="auto"/>
              </w:rPr>
              <w:t>%</w:t>
            </w:r>
          </w:p>
        </w:tc>
        <w:tc>
          <w:tcPr>
            <w:tcW w:w="100" w:type="dxa"/>
            <w:vAlign w:val="bottom"/>
            <w:tcBorders>
              <w:top w:val="single" w:sz="8" w:color="auto"/>
              <w:bottom w:val="single" w:sz="8" w:color="auto"/>
            </w:tcBorders>
          </w:tcPr>
          <w:p>
            <w:pPr>
              <w:spacing w:after="0" w:line="142" w:lineRule="exact"/>
              <w:rPr>
                <w:sz w:val="20"/>
                <w:szCs w:val="20"/>
                <w:color w:val="auto"/>
              </w:rPr>
            </w:pPr>
            <w:r>
              <w:rPr>
                <w:rFonts w:ascii="Arial" w:cs="Arial" w:eastAsia="Arial" w:hAnsi="Arial"/>
                <w:sz w:val="13"/>
                <w:szCs w:val="13"/>
                <w:color w:val="auto"/>
              </w:rPr>
              <w:t>$</w:t>
            </w:r>
          </w:p>
        </w:tc>
        <w:tc>
          <w:tcPr>
            <w:tcW w:w="38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3"/>
                <w:szCs w:val="13"/>
                <w:color w:val="auto"/>
              </w:rPr>
              <w:t>274</w:t>
            </w:r>
          </w:p>
        </w:tc>
        <w:tc>
          <w:tcPr>
            <w:tcW w:w="220" w:type="dxa"/>
            <w:vAlign w:val="bottom"/>
            <w:tcBorders>
              <w:bottom w:val="single" w:sz="8" w:color="CFF0FC"/>
            </w:tcBorders>
          </w:tcPr>
          <w:p>
            <w:pPr>
              <w:spacing w:after="0"/>
              <w:rPr>
                <w:sz w:val="15"/>
                <w:szCs w:val="15"/>
                <w:color w:val="auto"/>
              </w:rPr>
            </w:pPr>
          </w:p>
        </w:tc>
        <w:tc>
          <w:tcPr>
            <w:tcW w:w="62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3"/>
                <w:szCs w:val="13"/>
                <w:color w:val="auto"/>
              </w:rPr>
              <w:t>9.1</w:t>
            </w:r>
          </w:p>
        </w:tc>
        <w:tc>
          <w:tcPr>
            <w:tcW w:w="280" w:type="dxa"/>
            <w:vAlign w:val="bottom"/>
            <w:tcBorders>
              <w:bottom w:val="single" w:sz="8" w:color="CFF0FC"/>
            </w:tcBorders>
          </w:tcPr>
          <w:p>
            <w:pPr>
              <w:jc w:val="right"/>
              <w:ind w:right="17"/>
              <w:spacing w:after="0" w:line="142" w:lineRule="exact"/>
              <w:rPr>
                <w:sz w:val="20"/>
                <w:szCs w:val="20"/>
                <w:color w:val="auto"/>
              </w:rPr>
            </w:pPr>
            <w:r>
              <w:rPr>
                <w:rFonts w:ascii="Arial" w:cs="Arial" w:eastAsia="Arial" w:hAnsi="Arial"/>
                <w:sz w:val="13"/>
                <w:szCs w:val="13"/>
                <w:color w:val="auto"/>
              </w:rPr>
              <w:t>%</w:t>
            </w:r>
          </w:p>
        </w:tc>
        <w:tc>
          <w:tcPr>
            <w:tcW w:w="20" w:type="dxa"/>
            <w:vAlign w:val="bottom"/>
            <w:tcBorders>
              <w:bottom w:val="single" w:sz="8" w:color="CFF0FC"/>
            </w:tcBorders>
          </w:tcPr>
          <w:p>
            <w:pPr>
              <w:spacing w:after="0"/>
              <w:rPr>
                <w:sz w:val="15"/>
                <w:szCs w:val="15"/>
                <w:color w:val="auto"/>
              </w:rPr>
            </w:pPr>
          </w:p>
        </w:tc>
        <w:tc>
          <w:tcPr>
            <w:tcW w:w="160" w:type="dxa"/>
            <w:vAlign w:val="bottom"/>
            <w:tcBorders>
              <w:top w:val="single" w:sz="8" w:color="auto"/>
              <w:bottom w:val="single" w:sz="8" w:color="auto"/>
            </w:tcBorders>
          </w:tcPr>
          <w:p>
            <w:pPr>
              <w:spacing w:after="0" w:line="142" w:lineRule="exact"/>
              <w:rPr>
                <w:sz w:val="20"/>
                <w:szCs w:val="20"/>
                <w:color w:val="auto"/>
              </w:rPr>
            </w:pPr>
            <w:r>
              <w:rPr>
                <w:rFonts w:ascii="Arial" w:cs="Arial" w:eastAsia="Arial" w:hAnsi="Arial"/>
                <w:sz w:val="13"/>
                <w:szCs w:val="13"/>
                <w:color w:val="auto"/>
              </w:rPr>
              <w:t>$</w:t>
            </w:r>
          </w:p>
        </w:tc>
        <w:tc>
          <w:tcPr>
            <w:tcW w:w="30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3"/>
                <w:szCs w:val="13"/>
                <w:color w:val="auto"/>
                <w:w w:val="99"/>
              </w:rPr>
              <w:t>(207</w:t>
            </w:r>
          </w:p>
        </w:tc>
        <w:tc>
          <w:tcPr>
            <w:tcW w:w="160" w:type="dxa"/>
            <w:vAlign w:val="bottom"/>
            <w:tcBorders>
              <w:bottom w:val="single" w:sz="8" w:color="CFF0FC"/>
            </w:tcBorders>
          </w:tcPr>
          <w:p>
            <w:pPr>
              <w:jc w:val="right"/>
              <w:ind w:right="78"/>
              <w:spacing w:after="0"/>
              <w:rPr>
                <w:sz w:val="20"/>
                <w:szCs w:val="20"/>
                <w:color w:val="auto"/>
              </w:rPr>
            </w:pPr>
            <w:r>
              <w:rPr>
                <w:rFonts w:ascii="Arial" w:cs="Arial" w:eastAsia="Arial" w:hAnsi="Arial"/>
                <w:sz w:val="8"/>
                <w:szCs w:val="8"/>
                <w:color w:val="auto"/>
                <w:w w:val="73"/>
              </w:rPr>
              <w:t>)</w:t>
            </w:r>
          </w:p>
        </w:tc>
        <w:tc>
          <w:tcPr>
            <w:tcW w:w="140" w:type="dxa"/>
            <w:vAlign w:val="bottom"/>
            <w:tcBorders>
              <w:top w:val="single" w:sz="8" w:color="auto"/>
              <w:bottom w:val="single" w:sz="8" w:color="auto"/>
            </w:tcBorders>
          </w:tcPr>
          <w:p>
            <w:pPr>
              <w:spacing w:after="0"/>
              <w:rPr>
                <w:sz w:val="15"/>
                <w:szCs w:val="15"/>
                <w:color w:val="auto"/>
              </w:rPr>
            </w:pPr>
          </w:p>
        </w:tc>
        <w:tc>
          <w:tcPr>
            <w:tcW w:w="32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3"/>
                <w:szCs w:val="13"/>
                <w:color w:val="auto"/>
                <w:w w:val="88"/>
              </w:rPr>
              <w:t>(75.5)</w:t>
            </w:r>
          </w:p>
        </w:tc>
        <w:tc>
          <w:tcPr>
            <w:tcW w:w="300" w:type="dxa"/>
            <w:vAlign w:val="bottom"/>
            <w:tcBorders>
              <w:bottom w:val="single" w:sz="8" w:color="CFF0FC"/>
            </w:tcBorders>
          </w:tcPr>
          <w:p>
            <w:pPr>
              <w:jc w:val="right"/>
              <w:ind w:right="17"/>
              <w:spacing w:after="0" w:line="142" w:lineRule="exact"/>
              <w:rPr>
                <w:sz w:val="20"/>
                <w:szCs w:val="20"/>
                <w:color w:val="auto"/>
              </w:rPr>
            </w:pPr>
            <w:r>
              <w:rPr>
                <w:rFonts w:ascii="Arial" w:cs="Arial" w:eastAsia="Arial" w:hAnsi="Arial"/>
                <w:sz w:val="13"/>
                <w:szCs w:val="13"/>
                <w:color w:val="auto"/>
              </w:rPr>
              <w:t>%</w:t>
            </w:r>
          </w:p>
        </w:tc>
        <w:tc>
          <w:tcPr>
            <w:tcW w:w="100" w:type="dxa"/>
            <w:vAlign w:val="bottom"/>
            <w:tcBorders>
              <w:top w:val="single" w:sz="8" w:color="auto"/>
              <w:bottom w:val="single" w:sz="8" w:color="auto"/>
            </w:tcBorders>
          </w:tcPr>
          <w:p>
            <w:pPr>
              <w:spacing w:after="0" w:line="142" w:lineRule="exact"/>
              <w:rPr>
                <w:sz w:val="20"/>
                <w:szCs w:val="20"/>
                <w:color w:val="auto"/>
              </w:rPr>
            </w:pPr>
            <w:r>
              <w:rPr>
                <w:rFonts w:ascii="Arial" w:cs="Arial" w:eastAsia="Arial" w:hAnsi="Arial"/>
                <w:sz w:val="13"/>
                <w:szCs w:val="13"/>
                <w:color w:val="auto"/>
              </w:rPr>
              <w:t>$</w:t>
            </w:r>
          </w:p>
        </w:tc>
        <w:tc>
          <w:tcPr>
            <w:tcW w:w="38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3"/>
                <w:szCs w:val="13"/>
                <w:color w:val="auto"/>
              </w:rPr>
              <w:t>349</w:t>
            </w:r>
          </w:p>
        </w:tc>
        <w:tc>
          <w:tcPr>
            <w:tcW w:w="180" w:type="dxa"/>
            <w:vAlign w:val="bottom"/>
            <w:tcBorders>
              <w:bottom w:val="single" w:sz="8" w:color="CFF0FC"/>
            </w:tcBorders>
          </w:tcPr>
          <w:p>
            <w:pPr>
              <w:spacing w:after="0"/>
              <w:rPr>
                <w:sz w:val="15"/>
                <w:szCs w:val="15"/>
                <w:color w:val="auto"/>
              </w:rPr>
            </w:pPr>
          </w:p>
        </w:tc>
        <w:tc>
          <w:tcPr>
            <w:tcW w:w="62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3"/>
                <w:szCs w:val="13"/>
                <w:color w:val="auto"/>
              </w:rPr>
              <w:t>4.3</w:t>
            </w:r>
          </w:p>
        </w:tc>
        <w:tc>
          <w:tcPr>
            <w:tcW w:w="260" w:type="dxa"/>
            <w:vAlign w:val="bottom"/>
            <w:tcBorders>
              <w:bottom w:val="single" w:sz="8" w:color="CFF0FC"/>
            </w:tcBorders>
          </w:tcPr>
          <w:p>
            <w:pPr>
              <w:jc w:val="right"/>
              <w:spacing w:after="0" w:line="142" w:lineRule="exact"/>
              <w:rPr>
                <w:sz w:val="20"/>
                <w:szCs w:val="20"/>
                <w:color w:val="auto"/>
              </w:rPr>
            </w:pPr>
            <w:r>
              <w:rPr>
                <w:rFonts w:ascii="Arial" w:cs="Arial" w:eastAsia="Arial" w:hAnsi="Arial"/>
                <w:sz w:val="13"/>
                <w:szCs w:val="13"/>
                <w:color w:val="auto"/>
              </w:rPr>
              <w:t>%</w:t>
            </w:r>
          </w:p>
        </w:tc>
        <w:tc>
          <w:tcPr>
            <w:tcW w:w="80" w:type="dxa"/>
            <w:vAlign w:val="bottom"/>
            <w:tcBorders>
              <w:bottom w:val="single" w:sz="8" w:color="CFF0FC"/>
            </w:tcBorders>
          </w:tcPr>
          <w:p>
            <w:pPr>
              <w:spacing w:after="0"/>
              <w:rPr>
                <w:sz w:val="15"/>
                <w:szCs w:val="15"/>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38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3"/>
                <w:szCs w:val="13"/>
                <w:color w:val="auto"/>
              </w:rPr>
              <w:t>369</w:t>
            </w:r>
          </w:p>
        </w:tc>
        <w:tc>
          <w:tcPr>
            <w:tcW w:w="220" w:type="dxa"/>
            <w:vAlign w:val="bottom"/>
            <w:tcBorders>
              <w:bottom w:val="single" w:sz="8" w:color="CFF0FC"/>
            </w:tcBorders>
          </w:tcPr>
          <w:p>
            <w:pPr>
              <w:spacing w:after="0"/>
              <w:rPr>
                <w:sz w:val="15"/>
                <w:szCs w:val="15"/>
                <w:color w:val="auto"/>
              </w:rPr>
            </w:pPr>
          </w:p>
        </w:tc>
        <w:tc>
          <w:tcPr>
            <w:tcW w:w="62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3"/>
                <w:szCs w:val="13"/>
                <w:color w:val="auto"/>
              </w:rPr>
              <w:t>6.5</w:t>
            </w:r>
          </w:p>
        </w:tc>
        <w:tc>
          <w:tcPr>
            <w:tcW w:w="300" w:type="dxa"/>
            <w:vAlign w:val="bottom"/>
            <w:tcBorders>
              <w:bottom w:val="single" w:sz="8" w:color="CFF0FC"/>
            </w:tcBorders>
          </w:tcPr>
          <w:p>
            <w:pPr>
              <w:jc w:val="right"/>
              <w:ind w:right="17"/>
              <w:spacing w:after="0" w:line="142" w:lineRule="exact"/>
              <w:rPr>
                <w:sz w:val="20"/>
                <w:szCs w:val="20"/>
                <w:color w:val="auto"/>
              </w:rPr>
            </w:pPr>
            <w:r>
              <w:rPr>
                <w:rFonts w:ascii="Arial" w:cs="Arial" w:eastAsia="Arial" w:hAnsi="Arial"/>
                <w:sz w:val="13"/>
                <w:szCs w:val="13"/>
                <w:color w:val="auto"/>
              </w:rPr>
              <w:t>%</w:t>
            </w:r>
          </w:p>
        </w:tc>
        <w:tc>
          <w:tcPr>
            <w:tcW w:w="80" w:type="dxa"/>
            <w:vAlign w:val="bottom"/>
            <w:tcBorders>
              <w:top w:val="single" w:sz="8" w:color="auto"/>
              <w:bottom w:val="single" w:sz="8" w:color="auto"/>
            </w:tcBorders>
          </w:tcPr>
          <w:p>
            <w:pPr>
              <w:spacing w:after="0" w:line="142" w:lineRule="exact"/>
              <w:rPr>
                <w:sz w:val="20"/>
                <w:szCs w:val="20"/>
                <w:color w:val="auto"/>
              </w:rPr>
            </w:pPr>
            <w:r>
              <w:rPr>
                <w:rFonts w:ascii="Arial" w:cs="Arial" w:eastAsia="Arial" w:hAnsi="Arial"/>
                <w:sz w:val="13"/>
                <w:szCs w:val="13"/>
                <w:color w:val="auto"/>
                <w:w w:val="82"/>
              </w:rPr>
              <w:t>$</w:t>
            </w:r>
          </w:p>
        </w:tc>
        <w:tc>
          <w:tcPr>
            <w:tcW w:w="38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3"/>
                <w:szCs w:val="13"/>
                <w:color w:val="auto"/>
              </w:rPr>
              <w:t>(20</w:t>
            </w:r>
          </w:p>
        </w:tc>
        <w:tc>
          <w:tcPr>
            <w:tcW w:w="180" w:type="dxa"/>
            <w:vAlign w:val="bottom"/>
            <w:tcBorders>
              <w:bottom w:val="single" w:sz="8" w:color="CFF0FC"/>
            </w:tcBorders>
          </w:tcPr>
          <w:p>
            <w:pPr>
              <w:jc w:val="right"/>
              <w:ind w:right="57"/>
              <w:spacing w:after="0" w:line="142" w:lineRule="exact"/>
              <w:rPr>
                <w:sz w:val="20"/>
                <w:szCs w:val="20"/>
                <w:color w:val="auto"/>
              </w:rPr>
            </w:pPr>
            <w:r>
              <w:rPr>
                <w:rFonts w:ascii="Arial" w:cs="Arial" w:eastAsia="Arial" w:hAnsi="Arial"/>
                <w:sz w:val="13"/>
                <w:szCs w:val="13"/>
                <w:color w:val="auto"/>
                <w:w w:val="91"/>
              </w:rPr>
              <w:t>)</w:t>
            </w:r>
          </w:p>
        </w:tc>
        <w:tc>
          <w:tcPr>
            <w:tcW w:w="140" w:type="dxa"/>
            <w:vAlign w:val="bottom"/>
            <w:tcBorders>
              <w:top w:val="single" w:sz="8" w:color="auto"/>
              <w:bottom w:val="single" w:sz="8" w:color="auto"/>
            </w:tcBorders>
          </w:tcPr>
          <w:p>
            <w:pPr>
              <w:spacing w:after="0"/>
              <w:rPr>
                <w:sz w:val="15"/>
                <w:szCs w:val="15"/>
                <w:color w:val="auto"/>
              </w:rPr>
            </w:pPr>
          </w:p>
        </w:tc>
        <w:tc>
          <w:tcPr>
            <w:tcW w:w="32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3"/>
                <w:szCs w:val="13"/>
                <w:color w:val="auto"/>
              </w:rPr>
              <w:t>(5.4)</w:t>
            </w:r>
          </w:p>
        </w:tc>
        <w:tc>
          <w:tcPr>
            <w:tcW w:w="220" w:type="dxa"/>
            <w:vAlign w:val="bottom"/>
            <w:tcBorders>
              <w:bottom w:val="single" w:sz="8" w:color="CFF0FC"/>
            </w:tcBorders>
          </w:tcPr>
          <w:p>
            <w:pPr>
              <w:jc w:val="right"/>
              <w:spacing w:after="0" w:line="142" w:lineRule="exact"/>
              <w:rPr>
                <w:sz w:val="20"/>
                <w:szCs w:val="20"/>
                <w:color w:val="auto"/>
              </w:rPr>
            </w:pPr>
            <w:r>
              <w:rPr>
                <w:rFonts w:ascii="Arial" w:cs="Arial" w:eastAsia="Arial" w:hAnsi="Arial"/>
                <w:sz w:val="13"/>
                <w:szCs w:val="13"/>
                <w:color w:val="auto"/>
              </w:rPr>
              <w:t>%</w:t>
            </w:r>
          </w:p>
        </w:tc>
      </w:tr>
      <w:tr>
        <w:trPr>
          <w:trHeight w:val="129"/>
        </w:trPr>
        <w:tc>
          <w:tcPr>
            <w:tcW w:w="2040" w:type="dxa"/>
            <w:vAlign w:val="bottom"/>
            <w:shd w:val="clear" w:color="auto" w:fill="CFF0FC"/>
          </w:tcPr>
          <w:p>
            <w:pPr>
              <w:spacing w:after="0" w:line="129" w:lineRule="exact"/>
              <w:rPr>
                <w:sz w:val="20"/>
                <w:szCs w:val="20"/>
                <w:color w:val="auto"/>
              </w:rPr>
            </w:pPr>
            <w:r>
              <w:rPr>
                <w:rFonts w:ascii="Arial" w:cs="Arial" w:eastAsia="Arial" w:hAnsi="Arial"/>
                <w:sz w:val="13"/>
                <w:szCs w:val="13"/>
                <w:b w:val="1"/>
                <w:bCs w:val="1"/>
                <w:color w:val="auto"/>
                <w:w w:val="92"/>
              </w:rPr>
              <w:t>Business Metrics (Actual Numbers)</w:t>
            </w:r>
          </w:p>
        </w:tc>
        <w:tc>
          <w:tcPr>
            <w:tcW w:w="6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40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620" w:type="dxa"/>
            <w:vAlign w:val="bottom"/>
            <w:shd w:val="clear" w:color="auto" w:fill="CFF0FC"/>
          </w:tcPr>
          <w:p>
            <w:pPr>
              <w:spacing w:after="0"/>
              <w:rPr>
                <w:sz w:val="11"/>
                <w:szCs w:val="11"/>
                <w:color w:val="auto"/>
              </w:rPr>
            </w:pPr>
          </w:p>
        </w:tc>
        <w:tc>
          <w:tcPr>
            <w:tcW w:w="34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38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620" w:type="dxa"/>
            <w:vAlign w:val="bottom"/>
            <w:shd w:val="clear" w:color="auto" w:fill="CFF0FC"/>
          </w:tcPr>
          <w:p>
            <w:pPr>
              <w:spacing w:after="0"/>
              <w:rPr>
                <w:sz w:val="11"/>
                <w:szCs w:val="11"/>
                <w:color w:val="auto"/>
              </w:rPr>
            </w:pPr>
          </w:p>
        </w:tc>
        <w:tc>
          <w:tcPr>
            <w:tcW w:w="280" w:type="dxa"/>
            <w:vAlign w:val="bottom"/>
            <w:shd w:val="clear" w:color="auto" w:fill="CFF0FC"/>
          </w:tcPr>
          <w:p>
            <w:pPr>
              <w:spacing w:after="0"/>
              <w:rPr>
                <w:sz w:val="11"/>
                <w:szCs w:val="11"/>
                <w:color w:val="auto"/>
              </w:rPr>
            </w:pPr>
          </w:p>
        </w:tc>
        <w:tc>
          <w:tcPr>
            <w:tcW w:w="2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30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320" w:type="dxa"/>
            <w:vAlign w:val="bottom"/>
            <w:shd w:val="clear" w:color="auto" w:fill="CFF0FC"/>
          </w:tcPr>
          <w:p>
            <w:pPr>
              <w:spacing w:after="0"/>
              <w:rPr>
                <w:sz w:val="11"/>
                <w:szCs w:val="11"/>
                <w:color w:val="auto"/>
              </w:rPr>
            </w:pPr>
          </w:p>
        </w:tc>
        <w:tc>
          <w:tcPr>
            <w:tcW w:w="3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38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620" w:type="dxa"/>
            <w:vAlign w:val="bottom"/>
            <w:shd w:val="clear" w:color="auto" w:fill="CFF0FC"/>
          </w:tcPr>
          <w:p>
            <w:pPr>
              <w:spacing w:after="0"/>
              <w:rPr>
                <w:sz w:val="11"/>
                <w:szCs w:val="11"/>
                <w:color w:val="auto"/>
              </w:rPr>
            </w:pPr>
          </w:p>
        </w:tc>
        <w:tc>
          <w:tcPr>
            <w:tcW w:w="26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38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620" w:type="dxa"/>
            <w:vAlign w:val="bottom"/>
            <w:shd w:val="clear" w:color="auto" w:fill="CFF0FC"/>
          </w:tcPr>
          <w:p>
            <w:pPr>
              <w:spacing w:after="0"/>
              <w:rPr>
                <w:sz w:val="11"/>
                <w:szCs w:val="11"/>
                <w:color w:val="auto"/>
              </w:rPr>
            </w:pPr>
          </w:p>
        </w:tc>
        <w:tc>
          <w:tcPr>
            <w:tcW w:w="30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38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32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r>
      <w:tr>
        <w:trPr>
          <w:trHeight w:val="148"/>
        </w:trPr>
        <w:tc>
          <w:tcPr>
            <w:tcW w:w="2040" w:type="dxa"/>
            <w:vAlign w:val="bottom"/>
          </w:tcPr>
          <w:p>
            <w:pPr>
              <w:spacing w:after="0"/>
              <w:rPr>
                <w:sz w:val="20"/>
                <w:szCs w:val="20"/>
                <w:color w:val="auto"/>
              </w:rPr>
            </w:pPr>
            <w:r>
              <w:rPr>
                <w:rFonts w:ascii="Arial" w:cs="Arial" w:eastAsia="Arial" w:hAnsi="Arial"/>
                <w:sz w:val="13"/>
                <w:szCs w:val="13"/>
                <w:color w:val="auto"/>
              </w:rPr>
              <w:t>Locations at period end</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80" w:type="dxa"/>
            <w:vAlign w:val="bottom"/>
          </w:tcPr>
          <w:p>
            <w:pPr>
              <w:jc w:val="right"/>
              <w:spacing w:after="0"/>
              <w:rPr>
                <w:sz w:val="20"/>
                <w:szCs w:val="20"/>
                <w:color w:val="auto"/>
              </w:rPr>
            </w:pPr>
            <w:r>
              <w:rPr>
                <w:rFonts w:ascii="Arial" w:cs="Arial" w:eastAsia="Arial" w:hAnsi="Arial"/>
                <w:sz w:val="13"/>
                <w:szCs w:val="13"/>
                <w:color w:val="auto"/>
              </w:rPr>
              <w:t>10</w:t>
            </w:r>
          </w:p>
        </w:tc>
        <w:tc>
          <w:tcPr>
            <w:tcW w:w="1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80" w:type="dxa"/>
            <w:vAlign w:val="bottom"/>
          </w:tcPr>
          <w:p>
            <w:pPr>
              <w:jc w:val="right"/>
              <w:spacing w:after="0"/>
              <w:rPr>
                <w:sz w:val="20"/>
                <w:szCs w:val="20"/>
                <w:color w:val="auto"/>
              </w:rPr>
            </w:pPr>
            <w:r>
              <w:rPr>
                <w:rFonts w:ascii="Arial" w:cs="Arial" w:eastAsia="Arial" w:hAnsi="Arial"/>
                <w:sz w:val="13"/>
                <w:szCs w:val="13"/>
                <w:color w:val="auto"/>
              </w:rPr>
              <w:t>10</w:t>
            </w:r>
          </w:p>
        </w:tc>
        <w:tc>
          <w:tcPr>
            <w:tcW w:w="2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20" w:type="dxa"/>
            <w:vAlign w:val="bottom"/>
          </w:tcPr>
          <w:p>
            <w:pPr>
              <w:spacing w:after="0"/>
              <w:rPr>
                <w:sz w:val="12"/>
                <w:szCs w:val="12"/>
                <w:color w:val="auto"/>
              </w:rPr>
            </w:pPr>
          </w:p>
        </w:tc>
      </w:tr>
      <w:tr>
        <w:trPr>
          <w:trHeight w:val="148"/>
        </w:trPr>
        <w:tc>
          <w:tcPr>
            <w:tcW w:w="2040" w:type="dxa"/>
            <w:vAlign w:val="bottom"/>
            <w:shd w:val="clear" w:color="auto" w:fill="CFF0FC"/>
          </w:tcPr>
          <w:p>
            <w:pPr>
              <w:spacing w:after="0"/>
              <w:rPr>
                <w:sz w:val="20"/>
                <w:szCs w:val="20"/>
                <w:color w:val="auto"/>
              </w:rPr>
            </w:pPr>
            <w:r>
              <w:rPr>
                <w:rFonts w:ascii="Arial" w:cs="Arial" w:eastAsia="Arial" w:hAnsi="Arial"/>
                <w:sz w:val="13"/>
                <w:szCs w:val="13"/>
                <w:color w:val="auto"/>
              </w:rPr>
              <w:t xml:space="preserve">New admissions * </w:t>
            </w:r>
            <w:r>
              <w:rPr>
                <w:rFonts w:ascii="Arial" w:cs="Arial" w:eastAsia="Arial" w:hAnsi="Arial"/>
                <w:sz w:val="10"/>
                <w:szCs w:val="10"/>
                <w:color w:val="auto"/>
              </w:rPr>
              <w:t>(1)</w:t>
            </w:r>
          </w:p>
        </w:tc>
        <w:tc>
          <w:tcPr>
            <w:tcW w:w="6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4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1,068</w:t>
            </w:r>
          </w:p>
        </w:tc>
        <w:tc>
          <w:tcPr>
            <w:tcW w:w="160" w:type="dxa"/>
            <w:vAlign w:val="bottom"/>
            <w:shd w:val="clear" w:color="auto" w:fill="CFF0FC"/>
          </w:tcPr>
          <w:p>
            <w:pPr>
              <w:spacing w:after="0"/>
              <w:rPr>
                <w:sz w:val="12"/>
                <w:szCs w:val="12"/>
                <w:color w:val="auto"/>
              </w:rPr>
            </w:pPr>
          </w:p>
        </w:tc>
        <w:tc>
          <w:tcPr>
            <w:tcW w:w="620" w:type="dxa"/>
            <w:vAlign w:val="bottom"/>
            <w:shd w:val="clear" w:color="auto" w:fill="CFF0FC"/>
          </w:tcPr>
          <w:p>
            <w:pPr>
              <w:spacing w:after="0"/>
              <w:rPr>
                <w:sz w:val="12"/>
                <w:szCs w:val="12"/>
                <w:color w:val="auto"/>
              </w:rPr>
            </w:pPr>
          </w:p>
        </w:tc>
        <w:tc>
          <w:tcPr>
            <w:tcW w:w="3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3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700</w:t>
            </w:r>
          </w:p>
        </w:tc>
        <w:tc>
          <w:tcPr>
            <w:tcW w:w="220" w:type="dxa"/>
            <w:vAlign w:val="bottom"/>
            <w:shd w:val="clear" w:color="auto" w:fill="CFF0FC"/>
          </w:tcPr>
          <w:p>
            <w:pPr>
              <w:spacing w:after="0"/>
              <w:rPr>
                <w:sz w:val="12"/>
                <w:szCs w:val="12"/>
                <w:color w:val="auto"/>
              </w:rPr>
            </w:pPr>
          </w:p>
        </w:tc>
        <w:tc>
          <w:tcPr>
            <w:tcW w:w="620" w:type="dxa"/>
            <w:vAlign w:val="bottom"/>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c>
          <w:tcPr>
            <w:tcW w:w="2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3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368</w:t>
            </w:r>
          </w:p>
        </w:tc>
        <w:tc>
          <w:tcPr>
            <w:tcW w:w="16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3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52.6</w:t>
            </w:r>
          </w:p>
        </w:tc>
        <w:tc>
          <w:tcPr>
            <w:tcW w:w="300" w:type="dxa"/>
            <w:vAlign w:val="bottom"/>
            <w:shd w:val="clear" w:color="auto" w:fill="CFF0FC"/>
          </w:tcPr>
          <w:p>
            <w:pPr>
              <w:jc w:val="right"/>
              <w:ind w:right="17"/>
              <w:spacing w:after="0"/>
              <w:rPr>
                <w:sz w:val="20"/>
                <w:szCs w:val="20"/>
                <w:color w:val="auto"/>
              </w:rPr>
            </w:pPr>
            <w:r>
              <w:rPr>
                <w:rFonts w:ascii="Arial" w:cs="Arial" w:eastAsia="Arial" w:hAnsi="Arial"/>
                <w:sz w:val="13"/>
                <w:szCs w:val="13"/>
                <w:color w:val="auto"/>
              </w:rPr>
              <w:t>%</w:t>
            </w:r>
          </w:p>
        </w:tc>
        <w:tc>
          <w:tcPr>
            <w:tcW w:w="100" w:type="dxa"/>
            <w:vAlign w:val="bottom"/>
            <w:shd w:val="clear" w:color="auto" w:fill="CFF0FC"/>
          </w:tcPr>
          <w:p>
            <w:pPr>
              <w:spacing w:after="0"/>
              <w:rPr>
                <w:sz w:val="12"/>
                <w:szCs w:val="12"/>
                <w:color w:val="auto"/>
              </w:rPr>
            </w:pPr>
          </w:p>
        </w:tc>
        <w:tc>
          <w:tcPr>
            <w:tcW w:w="3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2,090</w:t>
            </w:r>
          </w:p>
        </w:tc>
        <w:tc>
          <w:tcPr>
            <w:tcW w:w="180" w:type="dxa"/>
            <w:vAlign w:val="bottom"/>
            <w:shd w:val="clear" w:color="auto" w:fill="CFF0FC"/>
          </w:tcPr>
          <w:p>
            <w:pPr>
              <w:spacing w:after="0"/>
              <w:rPr>
                <w:sz w:val="12"/>
                <w:szCs w:val="12"/>
                <w:color w:val="auto"/>
              </w:rPr>
            </w:pPr>
          </w:p>
        </w:tc>
        <w:tc>
          <w:tcPr>
            <w:tcW w:w="62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3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1,415</w:t>
            </w:r>
          </w:p>
        </w:tc>
        <w:tc>
          <w:tcPr>
            <w:tcW w:w="220" w:type="dxa"/>
            <w:vAlign w:val="bottom"/>
            <w:shd w:val="clear" w:color="auto" w:fill="CFF0FC"/>
          </w:tcPr>
          <w:p>
            <w:pPr>
              <w:spacing w:after="0"/>
              <w:rPr>
                <w:sz w:val="12"/>
                <w:szCs w:val="12"/>
                <w:color w:val="auto"/>
              </w:rPr>
            </w:pPr>
          </w:p>
        </w:tc>
        <w:tc>
          <w:tcPr>
            <w:tcW w:w="620" w:type="dxa"/>
            <w:vAlign w:val="bottom"/>
            <w:shd w:val="clear" w:color="auto" w:fill="CFF0FC"/>
          </w:tcPr>
          <w:p>
            <w:pPr>
              <w:spacing w:after="0"/>
              <w:rPr>
                <w:sz w:val="12"/>
                <w:szCs w:val="12"/>
                <w:color w:val="auto"/>
              </w:rPr>
            </w:pPr>
          </w:p>
        </w:tc>
        <w:tc>
          <w:tcPr>
            <w:tcW w:w="30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3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675</w:t>
            </w:r>
          </w:p>
        </w:tc>
        <w:tc>
          <w:tcPr>
            <w:tcW w:w="18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3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47.7</w:t>
            </w:r>
          </w:p>
        </w:tc>
        <w:tc>
          <w:tcPr>
            <w:tcW w:w="2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r>
      <w:tr>
        <w:trPr>
          <w:trHeight w:val="148"/>
        </w:trPr>
        <w:tc>
          <w:tcPr>
            <w:tcW w:w="2040" w:type="dxa"/>
            <w:vAlign w:val="bottom"/>
          </w:tcPr>
          <w:p>
            <w:pPr>
              <w:spacing w:after="0"/>
              <w:rPr>
                <w:sz w:val="20"/>
                <w:szCs w:val="20"/>
                <w:color w:val="auto"/>
              </w:rPr>
            </w:pPr>
            <w:r>
              <w:rPr>
                <w:rFonts w:ascii="Arial" w:cs="Arial" w:eastAsia="Arial" w:hAnsi="Arial"/>
                <w:sz w:val="13"/>
                <w:szCs w:val="13"/>
                <w:color w:val="auto"/>
              </w:rPr>
              <w:t xml:space="preserve">Recertifications * </w:t>
            </w:r>
            <w:r>
              <w:rPr>
                <w:rFonts w:ascii="Arial" w:cs="Arial" w:eastAsia="Arial" w:hAnsi="Arial"/>
                <w:sz w:val="10"/>
                <w:szCs w:val="10"/>
                <w:color w:val="auto"/>
              </w:rPr>
              <w:t>(2)</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0" w:type="dxa"/>
            <w:vAlign w:val="bottom"/>
          </w:tcPr>
          <w:p>
            <w:pPr>
              <w:jc w:val="right"/>
              <w:spacing w:after="0"/>
              <w:rPr>
                <w:sz w:val="20"/>
                <w:szCs w:val="20"/>
                <w:color w:val="auto"/>
              </w:rPr>
            </w:pPr>
            <w:r>
              <w:rPr>
                <w:rFonts w:ascii="Arial" w:cs="Arial" w:eastAsia="Arial" w:hAnsi="Arial"/>
                <w:sz w:val="13"/>
                <w:szCs w:val="13"/>
                <w:color w:val="auto"/>
              </w:rPr>
              <w:t>689</w:t>
            </w:r>
          </w:p>
        </w:tc>
        <w:tc>
          <w:tcPr>
            <w:tcW w:w="1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80" w:type="dxa"/>
            <w:vAlign w:val="bottom"/>
          </w:tcPr>
          <w:p>
            <w:pPr>
              <w:jc w:val="right"/>
              <w:spacing w:after="0"/>
              <w:rPr>
                <w:sz w:val="20"/>
                <w:szCs w:val="20"/>
                <w:color w:val="auto"/>
              </w:rPr>
            </w:pPr>
            <w:r>
              <w:rPr>
                <w:rFonts w:ascii="Arial" w:cs="Arial" w:eastAsia="Arial" w:hAnsi="Arial"/>
                <w:sz w:val="13"/>
                <w:szCs w:val="13"/>
                <w:color w:val="auto"/>
              </w:rPr>
              <w:t>543</w:t>
            </w:r>
          </w:p>
        </w:tc>
        <w:tc>
          <w:tcPr>
            <w:tcW w:w="2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00" w:type="dxa"/>
            <w:vAlign w:val="bottom"/>
          </w:tcPr>
          <w:p>
            <w:pPr>
              <w:jc w:val="right"/>
              <w:spacing w:after="0"/>
              <w:rPr>
                <w:sz w:val="20"/>
                <w:szCs w:val="20"/>
                <w:color w:val="auto"/>
              </w:rPr>
            </w:pPr>
            <w:r>
              <w:rPr>
                <w:rFonts w:ascii="Arial" w:cs="Arial" w:eastAsia="Arial" w:hAnsi="Arial"/>
                <w:sz w:val="13"/>
                <w:szCs w:val="13"/>
                <w:color w:val="auto"/>
              </w:rPr>
              <w:t>146</w:t>
            </w: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20" w:type="dxa"/>
            <w:vAlign w:val="bottom"/>
          </w:tcPr>
          <w:p>
            <w:pPr>
              <w:jc w:val="right"/>
              <w:spacing w:after="0"/>
              <w:rPr>
                <w:sz w:val="20"/>
                <w:szCs w:val="20"/>
                <w:color w:val="auto"/>
              </w:rPr>
            </w:pPr>
            <w:r>
              <w:rPr>
                <w:rFonts w:ascii="Arial" w:cs="Arial" w:eastAsia="Arial" w:hAnsi="Arial"/>
                <w:sz w:val="13"/>
                <w:szCs w:val="13"/>
                <w:color w:val="auto"/>
              </w:rPr>
              <w:t>26.9</w:t>
            </w: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80" w:type="dxa"/>
            <w:vAlign w:val="bottom"/>
          </w:tcPr>
          <w:p>
            <w:pPr>
              <w:jc w:val="right"/>
              <w:spacing w:after="0"/>
              <w:rPr>
                <w:sz w:val="20"/>
                <w:szCs w:val="20"/>
                <w:color w:val="auto"/>
              </w:rPr>
            </w:pPr>
            <w:r>
              <w:rPr>
                <w:rFonts w:ascii="Arial" w:cs="Arial" w:eastAsia="Arial" w:hAnsi="Arial"/>
                <w:sz w:val="13"/>
                <w:szCs w:val="13"/>
                <w:color w:val="auto"/>
              </w:rPr>
              <w:t>1,399</w:t>
            </w:r>
          </w:p>
        </w:tc>
        <w:tc>
          <w:tcPr>
            <w:tcW w:w="1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80" w:type="dxa"/>
            <w:vAlign w:val="bottom"/>
          </w:tcPr>
          <w:p>
            <w:pPr>
              <w:jc w:val="right"/>
              <w:spacing w:after="0"/>
              <w:rPr>
                <w:sz w:val="20"/>
                <w:szCs w:val="20"/>
                <w:color w:val="auto"/>
              </w:rPr>
            </w:pPr>
            <w:r>
              <w:rPr>
                <w:rFonts w:ascii="Arial" w:cs="Arial" w:eastAsia="Arial" w:hAnsi="Arial"/>
                <w:sz w:val="13"/>
                <w:szCs w:val="13"/>
                <w:color w:val="auto"/>
              </w:rPr>
              <w:t>1,185</w:t>
            </w:r>
          </w:p>
        </w:tc>
        <w:tc>
          <w:tcPr>
            <w:tcW w:w="2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80" w:type="dxa"/>
            <w:vAlign w:val="bottom"/>
          </w:tcPr>
          <w:p>
            <w:pPr>
              <w:jc w:val="right"/>
              <w:spacing w:after="0"/>
              <w:rPr>
                <w:sz w:val="20"/>
                <w:szCs w:val="20"/>
                <w:color w:val="auto"/>
              </w:rPr>
            </w:pPr>
            <w:r>
              <w:rPr>
                <w:rFonts w:ascii="Arial" w:cs="Arial" w:eastAsia="Arial" w:hAnsi="Arial"/>
                <w:sz w:val="13"/>
                <w:szCs w:val="13"/>
                <w:color w:val="auto"/>
              </w:rPr>
              <w:t>214</w:t>
            </w: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20" w:type="dxa"/>
            <w:vAlign w:val="bottom"/>
          </w:tcPr>
          <w:p>
            <w:pPr>
              <w:jc w:val="right"/>
              <w:spacing w:after="0"/>
              <w:rPr>
                <w:sz w:val="20"/>
                <w:szCs w:val="20"/>
                <w:color w:val="auto"/>
              </w:rPr>
            </w:pPr>
            <w:r>
              <w:rPr>
                <w:rFonts w:ascii="Arial" w:cs="Arial" w:eastAsia="Arial" w:hAnsi="Arial"/>
                <w:sz w:val="13"/>
                <w:szCs w:val="13"/>
                <w:color w:val="auto"/>
              </w:rPr>
              <w:t>18.1</w:t>
            </w:r>
          </w:p>
        </w:tc>
        <w:tc>
          <w:tcPr>
            <w:tcW w:w="220" w:type="dxa"/>
            <w:vAlign w:val="bottom"/>
          </w:tcPr>
          <w:p>
            <w:pPr>
              <w:spacing w:after="0"/>
              <w:rPr>
                <w:sz w:val="12"/>
                <w:szCs w:val="12"/>
                <w:color w:val="auto"/>
              </w:rPr>
            </w:pPr>
          </w:p>
        </w:tc>
      </w:tr>
      <w:tr>
        <w:trPr>
          <w:trHeight w:val="149"/>
        </w:trPr>
        <w:tc>
          <w:tcPr>
            <w:tcW w:w="2040" w:type="dxa"/>
            <w:vAlign w:val="bottom"/>
            <w:shd w:val="clear" w:color="auto" w:fill="CFF0FC"/>
          </w:tcPr>
          <w:p>
            <w:pPr>
              <w:spacing w:after="0"/>
              <w:rPr>
                <w:sz w:val="20"/>
                <w:szCs w:val="20"/>
                <w:color w:val="auto"/>
              </w:rPr>
            </w:pPr>
            <w:r>
              <w:rPr>
                <w:rFonts w:ascii="Arial" w:cs="Arial" w:eastAsia="Arial" w:hAnsi="Arial"/>
                <w:sz w:val="13"/>
                <w:szCs w:val="13"/>
                <w:color w:val="auto"/>
              </w:rPr>
              <w:t xml:space="preserve">Total volume * </w:t>
            </w:r>
            <w:r>
              <w:rPr>
                <w:rFonts w:ascii="Arial" w:cs="Arial" w:eastAsia="Arial" w:hAnsi="Arial"/>
                <w:sz w:val="10"/>
                <w:szCs w:val="10"/>
                <w:color w:val="auto"/>
              </w:rPr>
              <w:t>(3)</w:t>
            </w:r>
          </w:p>
        </w:tc>
        <w:tc>
          <w:tcPr>
            <w:tcW w:w="6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4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1,757</w:t>
            </w:r>
          </w:p>
        </w:tc>
        <w:tc>
          <w:tcPr>
            <w:tcW w:w="160" w:type="dxa"/>
            <w:vAlign w:val="bottom"/>
            <w:shd w:val="clear" w:color="auto" w:fill="CFF0FC"/>
          </w:tcPr>
          <w:p>
            <w:pPr>
              <w:spacing w:after="0"/>
              <w:rPr>
                <w:sz w:val="12"/>
                <w:szCs w:val="12"/>
                <w:color w:val="auto"/>
              </w:rPr>
            </w:pPr>
          </w:p>
        </w:tc>
        <w:tc>
          <w:tcPr>
            <w:tcW w:w="620" w:type="dxa"/>
            <w:vAlign w:val="bottom"/>
            <w:shd w:val="clear" w:color="auto" w:fill="CFF0FC"/>
          </w:tcPr>
          <w:p>
            <w:pPr>
              <w:spacing w:after="0"/>
              <w:rPr>
                <w:sz w:val="12"/>
                <w:szCs w:val="12"/>
                <w:color w:val="auto"/>
              </w:rPr>
            </w:pPr>
          </w:p>
        </w:tc>
        <w:tc>
          <w:tcPr>
            <w:tcW w:w="3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3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1,243</w:t>
            </w:r>
          </w:p>
        </w:tc>
        <w:tc>
          <w:tcPr>
            <w:tcW w:w="220" w:type="dxa"/>
            <w:vAlign w:val="bottom"/>
            <w:shd w:val="clear" w:color="auto" w:fill="CFF0FC"/>
          </w:tcPr>
          <w:p>
            <w:pPr>
              <w:spacing w:after="0"/>
              <w:rPr>
                <w:sz w:val="12"/>
                <w:szCs w:val="12"/>
                <w:color w:val="auto"/>
              </w:rPr>
            </w:pPr>
          </w:p>
        </w:tc>
        <w:tc>
          <w:tcPr>
            <w:tcW w:w="620" w:type="dxa"/>
            <w:vAlign w:val="bottom"/>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c>
          <w:tcPr>
            <w:tcW w:w="2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3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514</w:t>
            </w:r>
          </w:p>
        </w:tc>
        <w:tc>
          <w:tcPr>
            <w:tcW w:w="16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3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41.4</w:t>
            </w:r>
          </w:p>
        </w:tc>
        <w:tc>
          <w:tcPr>
            <w:tcW w:w="3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3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3,489</w:t>
            </w:r>
          </w:p>
        </w:tc>
        <w:tc>
          <w:tcPr>
            <w:tcW w:w="180" w:type="dxa"/>
            <w:vAlign w:val="bottom"/>
            <w:shd w:val="clear" w:color="auto" w:fill="CFF0FC"/>
          </w:tcPr>
          <w:p>
            <w:pPr>
              <w:spacing w:after="0"/>
              <w:rPr>
                <w:sz w:val="12"/>
                <w:szCs w:val="12"/>
                <w:color w:val="auto"/>
              </w:rPr>
            </w:pPr>
          </w:p>
        </w:tc>
        <w:tc>
          <w:tcPr>
            <w:tcW w:w="62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3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2,600</w:t>
            </w:r>
          </w:p>
        </w:tc>
        <w:tc>
          <w:tcPr>
            <w:tcW w:w="220" w:type="dxa"/>
            <w:vAlign w:val="bottom"/>
            <w:shd w:val="clear" w:color="auto" w:fill="CFF0FC"/>
          </w:tcPr>
          <w:p>
            <w:pPr>
              <w:spacing w:after="0"/>
              <w:rPr>
                <w:sz w:val="12"/>
                <w:szCs w:val="12"/>
                <w:color w:val="auto"/>
              </w:rPr>
            </w:pPr>
          </w:p>
        </w:tc>
        <w:tc>
          <w:tcPr>
            <w:tcW w:w="620" w:type="dxa"/>
            <w:vAlign w:val="bottom"/>
            <w:shd w:val="clear" w:color="auto" w:fill="CFF0FC"/>
          </w:tcPr>
          <w:p>
            <w:pPr>
              <w:spacing w:after="0"/>
              <w:rPr>
                <w:sz w:val="12"/>
                <w:szCs w:val="12"/>
                <w:color w:val="auto"/>
              </w:rPr>
            </w:pPr>
          </w:p>
        </w:tc>
        <w:tc>
          <w:tcPr>
            <w:tcW w:w="30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3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889</w:t>
            </w:r>
          </w:p>
        </w:tc>
        <w:tc>
          <w:tcPr>
            <w:tcW w:w="18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3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34.2</w:t>
            </w:r>
          </w:p>
        </w:tc>
        <w:tc>
          <w:tcPr>
            <w:tcW w:w="220" w:type="dxa"/>
            <w:vAlign w:val="bottom"/>
            <w:shd w:val="clear" w:color="auto" w:fill="CFF0FC"/>
          </w:tcPr>
          <w:p>
            <w:pPr>
              <w:spacing w:after="0"/>
              <w:rPr>
                <w:sz w:val="12"/>
                <w:szCs w:val="12"/>
                <w:color w:val="auto"/>
              </w:rPr>
            </w:pPr>
          </w:p>
        </w:tc>
      </w:tr>
      <w:tr>
        <w:trPr>
          <w:trHeight w:val="160"/>
        </w:trPr>
        <w:tc>
          <w:tcPr>
            <w:tcW w:w="2040" w:type="dxa"/>
            <w:vAlign w:val="bottom"/>
          </w:tcPr>
          <w:p>
            <w:pPr>
              <w:spacing w:after="0"/>
              <w:rPr>
                <w:sz w:val="20"/>
                <w:szCs w:val="20"/>
                <w:color w:val="auto"/>
              </w:rPr>
            </w:pPr>
            <w:r>
              <w:rPr>
                <w:rFonts w:ascii="Arial" w:cs="Arial" w:eastAsia="Arial" w:hAnsi="Arial"/>
                <w:sz w:val="13"/>
                <w:szCs w:val="13"/>
                <w:color w:val="auto"/>
              </w:rPr>
              <w:t xml:space="preserve">Visits * </w:t>
            </w:r>
            <w:r>
              <w:rPr>
                <w:rFonts w:ascii="Arial" w:cs="Arial" w:eastAsia="Arial" w:hAnsi="Arial"/>
                <w:sz w:val="10"/>
                <w:szCs w:val="10"/>
                <w:color w:val="auto"/>
              </w:rPr>
              <w:t>(4)</w:t>
            </w: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0" w:type="dxa"/>
            <w:vAlign w:val="bottom"/>
          </w:tcPr>
          <w:p>
            <w:pPr>
              <w:jc w:val="right"/>
              <w:spacing w:after="0"/>
              <w:rPr>
                <w:sz w:val="20"/>
                <w:szCs w:val="20"/>
                <w:color w:val="auto"/>
              </w:rPr>
            </w:pPr>
            <w:r>
              <w:rPr>
                <w:rFonts w:ascii="Arial" w:cs="Arial" w:eastAsia="Arial" w:hAnsi="Arial"/>
                <w:sz w:val="13"/>
                <w:szCs w:val="13"/>
                <w:color w:val="auto"/>
                <w:w w:val="90"/>
              </w:rPr>
              <w:t>29,797</w:t>
            </w:r>
          </w:p>
        </w:tc>
        <w:tc>
          <w:tcPr>
            <w:tcW w:w="1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80" w:type="dxa"/>
            <w:vAlign w:val="bottom"/>
          </w:tcPr>
          <w:p>
            <w:pPr>
              <w:jc w:val="right"/>
              <w:spacing w:after="0"/>
              <w:rPr>
                <w:sz w:val="20"/>
                <w:szCs w:val="20"/>
                <w:color w:val="auto"/>
              </w:rPr>
            </w:pPr>
            <w:r>
              <w:rPr>
                <w:rFonts w:ascii="Arial" w:cs="Arial" w:eastAsia="Arial" w:hAnsi="Arial"/>
                <w:sz w:val="13"/>
                <w:szCs w:val="13"/>
                <w:color w:val="auto"/>
                <w:w w:val="85"/>
              </w:rPr>
              <w:t>24,157</w:t>
            </w:r>
          </w:p>
        </w:tc>
        <w:tc>
          <w:tcPr>
            <w:tcW w:w="2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300" w:type="dxa"/>
            <w:vAlign w:val="bottom"/>
          </w:tcPr>
          <w:p>
            <w:pPr>
              <w:jc w:val="right"/>
              <w:spacing w:after="0"/>
              <w:rPr>
                <w:sz w:val="20"/>
                <w:szCs w:val="20"/>
                <w:color w:val="auto"/>
              </w:rPr>
            </w:pPr>
            <w:r>
              <w:rPr>
                <w:rFonts w:ascii="Arial" w:cs="Arial" w:eastAsia="Arial" w:hAnsi="Arial"/>
                <w:sz w:val="13"/>
                <w:szCs w:val="13"/>
                <w:color w:val="auto"/>
                <w:w w:val="79"/>
              </w:rPr>
              <w:t>5,640</w:t>
            </w:r>
          </w:p>
        </w:tc>
        <w:tc>
          <w:tcPr>
            <w:tcW w:w="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320" w:type="dxa"/>
            <w:vAlign w:val="bottom"/>
          </w:tcPr>
          <w:p>
            <w:pPr>
              <w:jc w:val="right"/>
              <w:spacing w:after="0"/>
              <w:rPr>
                <w:sz w:val="20"/>
                <w:szCs w:val="20"/>
                <w:color w:val="auto"/>
              </w:rPr>
            </w:pPr>
            <w:r>
              <w:rPr>
                <w:rFonts w:ascii="Arial" w:cs="Arial" w:eastAsia="Arial" w:hAnsi="Arial"/>
                <w:sz w:val="13"/>
                <w:szCs w:val="13"/>
                <w:color w:val="auto"/>
              </w:rPr>
              <w:t>23.3</w:t>
            </w:r>
          </w:p>
        </w:tc>
        <w:tc>
          <w:tcPr>
            <w:tcW w:w="300" w:type="dxa"/>
            <w:vAlign w:val="bottom"/>
          </w:tcPr>
          <w:p>
            <w:pPr>
              <w:jc w:val="right"/>
              <w:ind w:right="17"/>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3"/>
                <w:szCs w:val="13"/>
                <w:color w:val="auto"/>
              </w:rPr>
            </w:pPr>
          </w:p>
        </w:tc>
        <w:tc>
          <w:tcPr>
            <w:tcW w:w="380" w:type="dxa"/>
            <w:vAlign w:val="bottom"/>
          </w:tcPr>
          <w:p>
            <w:pPr>
              <w:jc w:val="right"/>
              <w:spacing w:after="0"/>
              <w:rPr>
                <w:sz w:val="20"/>
                <w:szCs w:val="20"/>
                <w:color w:val="auto"/>
              </w:rPr>
            </w:pPr>
            <w:r>
              <w:rPr>
                <w:rFonts w:ascii="Arial" w:cs="Arial" w:eastAsia="Arial" w:hAnsi="Arial"/>
                <w:sz w:val="13"/>
                <w:szCs w:val="13"/>
                <w:color w:val="auto"/>
                <w:w w:val="85"/>
              </w:rPr>
              <w:t>63,507</w:t>
            </w:r>
          </w:p>
        </w:tc>
        <w:tc>
          <w:tcPr>
            <w:tcW w:w="1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80" w:type="dxa"/>
            <w:vAlign w:val="bottom"/>
          </w:tcPr>
          <w:p>
            <w:pPr>
              <w:jc w:val="right"/>
              <w:spacing w:after="0"/>
              <w:rPr>
                <w:sz w:val="20"/>
                <w:szCs w:val="20"/>
                <w:color w:val="auto"/>
              </w:rPr>
            </w:pPr>
            <w:r>
              <w:rPr>
                <w:rFonts w:ascii="Arial" w:cs="Arial" w:eastAsia="Arial" w:hAnsi="Arial"/>
                <w:sz w:val="13"/>
                <w:szCs w:val="13"/>
                <w:color w:val="auto"/>
                <w:w w:val="85"/>
              </w:rPr>
              <w:t>43,711</w:t>
            </w:r>
          </w:p>
        </w:tc>
        <w:tc>
          <w:tcPr>
            <w:tcW w:w="2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80" w:type="dxa"/>
            <w:vAlign w:val="bottom"/>
          </w:tcPr>
          <w:p>
            <w:pPr>
              <w:jc w:val="right"/>
              <w:spacing w:after="0"/>
              <w:rPr>
                <w:sz w:val="20"/>
                <w:szCs w:val="20"/>
                <w:color w:val="auto"/>
              </w:rPr>
            </w:pPr>
            <w:r>
              <w:rPr>
                <w:rFonts w:ascii="Arial" w:cs="Arial" w:eastAsia="Arial" w:hAnsi="Arial"/>
                <w:sz w:val="13"/>
                <w:szCs w:val="13"/>
                <w:color w:val="auto"/>
                <w:w w:val="90"/>
              </w:rPr>
              <w:t>19,796</w:t>
            </w:r>
          </w:p>
        </w:tc>
        <w:tc>
          <w:tcPr>
            <w:tcW w:w="1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320" w:type="dxa"/>
            <w:vAlign w:val="bottom"/>
          </w:tcPr>
          <w:p>
            <w:pPr>
              <w:jc w:val="right"/>
              <w:spacing w:after="0"/>
              <w:rPr>
                <w:sz w:val="20"/>
                <w:szCs w:val="20"/>
                <w:color w:val="auto"/>
              </w:rPr>
            </w:pPr>
            <w:r>
              <w:rPr>
                <w:rFonts w:ascii="Arial" w:cs="Arial" w:eastAsia="Arial" w:hAnsi="Arial"/>
                <w:sz w:val="13"/>
                <w:szCs w:val="13"/>
                <w:color w:val="auto"/>
              </w:rPr>
              <w:t>45.3</w:t>
            </w:r>
          </w:p>
        </w:tc>
        <w:tc>
          <w:tcPr>
            <w:tcW w:w="220" w:type="dxa"/>
            <w:vAlign w:val="bottom"/>
          </w:tcPr>
          <w:p>
            <w:pPr>
              <w:jc w:val="right"/>
              <w:spacing w:after="0"/>
              <w:rPr>
                <w:sz w:val="20"/>
                <w:szCs w:val="20"/>
                <w:color w:val="auto"/>
              </w:rPr>
            </w:pPr>
            <w:r>
              <w:rPr>
                <w:rFonts w:ascii="Arial" w:cs="Arial" w:eastAsia="Arial" w:hAnsi="Arial"/>
                <w:sz w:val="13"/>
                <w:szCs w:val="13"/>
                <w:color w:val="auto"/>
              </w:rPr>
              <w:t>%</w:t>
            </w:r>
          </w:p>
        </w:tc>
      </w:tr>
    </w:tbl>
    <w:p>
      <w:pPr>
        <w:spacing w:after="0" w:line="181" w:lineRule="exact"/>
        <w:rPr>
          <w:sz w:val="20"/>
          <w:szCs w:val="20"/>
          <w:color w:val="auto"/>
        </w:rPr>
      </w:pPr>
    </w:p>
    <w:p>
      <w:pPr>
        <w:ind w:left="480" w:hanging="472"/>
        <w:spacing w:after="0"/>
        <w:tabs>
          <w:tab w:leader="none" w:pos="480" w:val="left"/>
        </w:tabs>
        <w:numPr>
          <w:ilvl w:val="0"/>
          <w:numId w:val="11"/>
        </w:numPr>
        <w:rPr>
          <w:rFonts w:ascii="Arial" w:cs="Arial" w:eastAsia="Arial" w:hAnsi="Arial"/>
          <w:sz w:val="16"/>
          <w:szCs w:val="16"/>
          <w:color w:val="auto"/>
        </w:rPr>
      </w:pPr>
      <w:r>
        <w:rPr>
          <w:rFonts w:ascii="Arial" w:cs="Arial" w:eastAsia="Arial" w:hAnsi="Arial"/>
          <w:sz w:val="16"/>
          <w:szCs w:val="16"/>
          <w:color w:val="auto"/>
        </w:rPr>
        <w:t>Represents new patients during the period.</w:t>
      </w:r>
    </w:p>
    <w:p>
      <w:pPr>
        <w:spacing w:after="0" w:line="99" w:lineRule="exact"/>
        <w:rPr>
          <w:rFonts w:ascii="Arial" w:cs="Arial" w:eastAsia="Arial" w:hAnsi="Arial"/>
          <w:sz w:val="16"/>
          <w:szCs w:val="16"/>
          <w:color w:val="auto"/>
        </w:rPr>
      </w:pPr>
    </w:p>
    <w:p>
      <w:pPr>
        <w:ind w:left="480" w:right="160" w:hanging="472"/>
        <w:spacing w:after="0" w:line="328" w:lineRule="auto"/>
        <w:tabs>
          <w:tab w:leader="none" w:pos="480" w:val="left"/>
        </w:tabs>
        <w:numPr>
          <w:ilvl w:val="0"/>
          <w:numId w:val="11"/>
        </w:numPr>
        <w:rPr>
          <w:rFonts w:ascii="Arial" w:cs="Arial" w:eastAsia="Arial" w:hAnsi="Arial"/>
          <w:sz w:val="15"/>
          <w:szCs w:val="15"/>
          <w:color w:val="auto"/>
        </w:rPr>
      </w:pPr>
      <w:r>
        <w:rPr>
          <w:rFonts w:ascii="Arial" w:cs="Arial" w:eastAsia="Arial" w:hAnsi="Arial"/>
          <w:sz w:val="15"/>
          <w:szCs w:val="15"/>
          <w:color w:val="auto"/>
        </w:rPr>
        <w:t>A home health certification period is an episode of care that begins with a start of care visit and continues for 60 days. If at the end of the initial episode of care, the patient continues to require home health services, a recertification is required. This represents the number of recertifications during the period.</w:t>
      </w:r>
    </w:p>
    <w:p>
      <w:pPr>
        <w:spacing w:after="0" w:line="1" w:lineRule="exact"/>
        <w:rPr>
          <w:rFonts w:ascii="Arial" w:cs="Arial" w:eastAsia="Arial" w:hAnsi="Arial"/>
          <w:sz w:val="15"/>
          <w:szCs w:val="15"/>
          <w:color w:val="auto"/>
        </w:rPr>
      </w:pPr>
    </w:p>
    <w:p>
      <w:pPr>
        <w:ind w:left="480" w:hanging="472"/>
        <w:spacing w:after="0"/>
        <w:tabs>
          <w:tab w:leader="none" w:pos="480" w:val="left"/>
        </w:tabs>
        <w:numPr>
          <w:ilvl w:val="0"/>
          <w:numId w:val="11"/>
        </w:numPr>
        <w:rPr>
          <w:rFonts w:ascii="Arial" w:cs="Arial" w:eastAsia="Arial" w:hAnsi="Arial"/>
          <w:sz w:val="16"/>
          <w:szCs w:val="16"/>
          <w:color w:val="auto"/>
        </w:rPr>
      </w:pPr>
      <w:r>
        <w:rPr>
          <w:rFonts w:ascii="Arial" w:cs="Arial" w:eastAsia="Arial" w:hAnsi="Arial"/>
          <w:sz w:val="16"/>
          <w:szCs w:val="16"/>
          <w:color w:val="auto"/>
        </w:rPr>
        <w:t>Total volume is total admissions and total recertifications in the period.</w:t>
      </w:r>
    </w:p>
    <w:p>
      <w:pPr>
        <w:spacing w:after="0" w:line="86" w:lineRule="exact"/>
        <w:rPr>
          <w:rFonts w:ascii="Arial" w:cs="Arial" w:eastAsia="Arial" w:hAnsi="Arial"/>
          <w:sz w:val="16"/>
          <w:szCs w:val="16"/>
          <w:color w:val="auto"/>
        </w:rPr>
      </w:pPr>
    </w:p>
    <w:p>
      <w:pPr>
        <w:ind w:left="480" w:hanging="472"/>
        <w:spacing w:after="0"/>
        <w:tabs>
          <w:tab w:leader="none" w:pos="480" w:val="left"/>
        </w:tabs>
        <w:numPr>
          <w:ilvl w:val="0"/>
          <w:numId w:val="11"/>
        </w:numPr>
        <w:rPr>
          <w:rFonts w:ascii="Arial" w:cs="Arial" w:eastAsia="Arial" w:hAnsi="Arial"/>
          <w:sz w:val="16"/>
          <w:szCs w:val="16"/>
          <w:color w:val="auto"/>
        </w:rPr>
      </w:pPr>
      <w:r>
        <w:rPr>
          <w:rFonts w:ascii="Arial" w:cs="Arial" w:eastAsia="Arial" w:hAnsi="Arial"/>
          <w:sz w:val="16"/>
          <w:szCs w:val="16"/>
          <w:color w:val="auto"/>
        </w:rPr>
        <w:t>Represents number of services to patients in the period.</w:t>
      </w:r>
    </w:p>
    <w:p>
      <w:pPr>
        <w:spacing w:after="0" w:line="86" w:lineRule="exact"/>
        <w:rPr>
          <w:sz w:val="20"/>
          <w:szCs w:val="20"/>
          <w:color w:val="auto"/>
        </w:rPr>
      </w:pPr>
    </w:p>
    <w:p>
      <w:pPr>
        <w:ind w:left="480" w:right="40" w:hanging="472"/>
        <w:spacing w:after="0" w:line="268" w:lineRule="auto"/>
        <w:tabs>
          <w:tab w:leader="none" w:pos="480" w:val="left"/>
        </w:tabs>
        <w:numPr>
          <w:ilvl w:val="0"/>
          <w:numId w:val="12"/>
        </w:numPr>
        <w:rPr>
          <w:rFonts w:ascii="Arial" w:cs="Arial" w:eastAsia="Arial" w:hAnsi="Arial"/>
          <w:sz w:val="16"/>
          <w:szCs w:val="16"/>
          <w:color w:val="auto"/>
        </w:rPr>
      </w:pPr>
      <w:r>
        <w:rPr>
          <w:rFonts w:ascii="Arial" w:cs="Arial" w:eastAsia="Arial" w:hAnsi="Arial"/>
          <w:sz w:val="16"/>
          <w:szCs w:val="16"/>
          <w:color w:val="auto"/>
        </w:rPr>
        <w:t>Management deems these metrics to be key performance indicators. Management uses these metrics to monitor our performance, both in our existing operations and acquisitions. Many of these metrics serve as the basis of reported revenues and assessment of these, provide direct correlation to the results of operations from period to period and facilitate comparison with the results of our peers. Historical trends established in these metrics can be used to evaluate current operating results, identify trends affecting our business, determine the allocation of resources and assess the quality and potential variability of our cash flows and earnings. We believe they are useful to investors in evaluating and understanding our business but should not be used solely in assessing the Company’s performance. These key performance indicators should not be considered superior to, as a substitute for or as an alternative to, and should be considered in conjunction with, the GAAP financial measures presented herein to fully evaluate and understand the business as a whole. These measures may not be comparable to similarly-titled performance indicators used by other companies.</w:t>
      </w:r>
    </w:p>
    <w:p>
      <w:pPr>
        <w:spacing w:after="0" w:line="120" w:lineRule="exact"/>
        <w:rPr>
          <w:sz w:val="20"/>
          <w:szCs w:val="20"/>
          <w:color w:val="auto"/>
        </w:rPr>
      </w:pPr>
    </w:p>
    <w:p>
      <w:pPr>
        <w:ind w:right="460" w:firstLine="476"/>
        <w:spacing w:after="0" w:line="291" w:lineRule="auto"/>
        <w:rPr>
          <w:sz w:val="20"/>
          <w:szCs w:val="20"/>
          <w:color w:val="auto"/>
        </w:rPr>
      </w:pPr>
      <w:r>
        <w:rPr>
          <w:rFonts w:ascii="Arial" w:cs="Arial" w:eastAsia="Arial" w:hAnsi="Arial"/>
          <w:sz w:val="16"/>
          <w:szCs w:val="16"/>
          <w:color w:val="auto"/>
        </w:rPr>
        <w:t>Home health generates net service revenues by providing home health services on a short-term, intermittent or episodic basis to individuals, generally to treat an illness or injury. Net service revenues from Medicare accounted for 79.6% and 81.2%, managed care organizations accounted for</w:t>
      </w:r>
    </w:p>
    <w:p>
      <w:pPr>
        <w:ind w:right="80"/>
        <w:spacing w:after="0" w:line="255" w:lineRule="auto"/>
        <w:rPr>
          <w:sz w:val="20"/>
          <w:szCs w:val="20"/>
          <w:color w:val="auto"/>
        </w:rPr>
      </w:pPr>
      <w:r>
        <w:rPr>
          <w:rFonts w:ascii="Arial" w:cs="Arial" w:eastAsia="Arial" w:hAnsi="Arial"/>
          <w:sz w:val="18"/>
          <w:szCs w:val="18"/>
          <w:color w:val="auto"/>
        </w:rPr>
        <w:t>18.2% and 15.9% and other accounted for 2.2% and 2.9% for the three months ended June 30, 2020 and 2019, respectively. Net service revenues from Medicare accounted for 79.8% and 81.4%, managed care organizations accounted for 18.4% and 15.6% and other accounted for 1.8% and 3.0% for the six months ended June 30, 2020 and 2019, respectively.</w:t>
      </w:r>
    </w:p>
    <w:p>
      <w:pPr>
        <w:spacing w:after="0" w:line="136" w:lineRule="exact"/>
        <w:rPr>
          <w:sz w:val="20"/>
          <w:szCs w:val="20"/>
          <w:color w:val="auto"/>
        </w:rPr>
      </w:pPr>
    </w:p>
    <w:p>
      <w:pPr>
        <w:ind w:right="200" w:firstLine="476"/>
        <w:spacing w:after="0" w:line="263" w:lineRule="auto"/>
        <w:rPr>
          <w:sz w:val="20"/>
          <w:szCs w:val="20"/>
          <w:color w:val="auto"/>
        </w:rPr>
      </w:pPr>
      <w:r>
        <w:rPr>
          <w:rFonts w:ascii="Arial" w:cs="Arial" w:eastAsia="Arial" w:hAnsi="Arial"/>
          <w:sz w:val="18"/>
          <w:szCs w:val="18"/>
          <w:color w:val="auto"/>
        </w:rPr>
        <w:t>Net service revenues increased by $0.8 million and $2.4 million for the three and six months ended June 30, 2020 compared to the three and six months ended June 30, 2019. For the three and six months ended June 30, 2020, net service revenues increased primarily due to an increase in total visits partially related to the acquisition of Alliance on August 1, 2019.</w:t>
      </w:r>
    </w:p>
    <w:p>
      <w:pPr>
        <w:spacing w:after="0" w:line="130" w:lineRule="exact"/>
        <w:rPr>
          <w:sz w:val="20"/>
          <w:szCs w:val="20"/>
          <w:color w:val="auto"/>
        </w:rPr>
      </w:pPr>
    </w:p>
    <w:p>
      <w:pPr>
        <w:ind w:right="100" w:firstLine="476"/>
        <w:spacing w:after="0" w:line="279" w:lineRule="auto"/>
        <w:rPr>
          <w:sz w:val="20"/>
          <w:szCs w:val="20"/>
          <w:color w:val="auto"/>
        </w:rPr>
      </w:pPr>
      <w:r>
        <w:rPr>
          <w:rFonts w:ascii="Arial" w:cs="Arial" w:eastAsia="Arial" w:hAnsi="Arial"/>
          <w:sz w:val="17"/>
          <w:szCs w:val="17"/>
          <w:color w:val="auto"/>
        </w:rPr>
        <w:t>Gross profit, expressed as a percentage of net service revenues was 25.1% and 31.0% for the three months ended June 30, 2020 and 2019, respectively, and 27.8% and 30.1%, for the six months ended June 30, 2020 and 2019, respectively. For the three and six months ended June 30, 2020, the decrease of gross profit as a percentage of net service revenues was due to an increase of direct employee wages, taxes and benefit costs of 5.8% and 2.6% as a percentage of net service revenues compared to the three and six months ended June 30, 2019.</w:t>
      </w:r>
    </w:p>
    <w:p>
      <w:pPr>
        <w:spacing w:after="0" w:line="117" w:lineRule="exact"/>
        <w:rPr>
          <w:sz w:val="20"/>
          <w:szCs w:val="20"/>
          <w:color w:val="auto"/>
        </w:rPr>
      </w:pPr>
    </w:p>
    <w:p>
      <w:pPr>
        <w:ind w:right="60" w:firstLine="476"/>
        <w:spacing w:after="0" w:line="254" w:lineRule="auto"/>
        <w:rPr>
          <w:sz w:val="20"/>
          <w:szCs w:val="20"/>
          <w:color w:val="auto"/>
        </w:rPr>
      </w:pPr>
      <w:r>
        <w:rPr>
          <w:rFonts w:ascii="Arial" w:cs="Arial" w:eastAsia="Arial" w:hAnsi="Arial"/>
          <w:sz w:val="18"/>
          <w:szCs w:val="18"/>
          <w:color w:val="auto"/>
        </w:rPr>
        <w:t>The home health segment’s general and administrative expenses consist of administrative employee wages, taxes and benefit costs, rent, information technology and office expenses. General and administrative expenses, expressed as a percentage of net service revenues was 23.3% and 21.9%, respectively, for the three months ended June 30, 2020 and 2019, respectively, and 23.5% and 23.6% for the six months ended June 30, 2020 and 2019, respectively. The increase in general and administrative expenses was primarily due to acquisitions that resulted in a $0.3 million and $0.5 million increase in administrative employee wages, taxes and benefit costs for the three and six months ended June 30, 2020. The home health segment’s operating income was $0.1 million and $0.3 million for the three months ended June 30, 2020 and 2019, respectively, and $0.3 million and $0.4 million for the six months ended June 30, 2020 and 2019, respectively.</w:t>
      </w:r>
    </w:p>
    <w:p>
      <w:pPr>
        <w:spacing w:after="0" w:line="19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223520</wp:posOffset>
            </wp:positionV>
            <wp:extent cx="7132320" cy="171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2" w:name="page33"/>
    <w:bookmarkEnd w:id="32"/>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5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Liquidity and Capital Resources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Overview</w:t>
      </w:r>
    </w:p>
    <w:p>
      <w:pPr>
        <w:spacing w:after="0" w:line="77" w:lineRule="exact"/>
        <w:rPr>
          <w:sz w:val="20"/>
          <w:szCs w:val="20"/>
          <w:color w:val="auto"/>
        </w:rPr>
      </w:pPr>
    </w:p>
    <w:p>
      <w:pPr>
        <w:ind w:right="400" w:firstLine="476"/>
        <w:spacing w:after="0" w:line="277" w:lineRule="auto"/>
        <w:rPr>
          <w:sz w:val="20"/>
          <w:szCs w:val="20"/>
          <w:color w:val="auto"/>
        </w:rPr>
      </w:pPr>
      <w:r>
        <w:rPr>
          <w:rFonts w:ascii="Arial" w:cs="Arial" w:eastAsia="Arial" w:hAnsi="Arial"/>
          <w:sz w:val="18"/>
          <w:szCs w:val="18"/>
          <w:color w:val="auto"/>
        </w:rPr>
        <w:t>Our primary sources of liquidity are cash on hand and cash from operations. At June 30, 2020 and December 31, 2019, we had cash balances of $158.5 million and $111.7 million, respectively.</w:t>
      </w:r>
    </w:p>
    <w:p>
      <w:pPr>
        <w:spacing w:after="0" w:line="143" w:lineRule="exact"/>
        <w:rPr>
          <w:sz w:val="20"/>
          <w:szCs w:val="20"/>
          <w:color w:val="auto"/>
        </w:rPr>
      </w:pPr>
    </w:p>
    <w:p>
      <w:pPr>
        <w:ind w:right="420" w:firstLine="476"/>
        <w:spacing w:after="0" w:line="279" w:lineRule="auto"/>
        <w:rPr>
          <w:sz w:val="20"/>
          <w:szCs w:val="20"/>
          <w:color w:val="auto"/>
        </w:rPr>
      </w:pPr>
      <w:r>
        <w:rPr>
          <w:rFonts w:ascii="Arial" w:cs="Arial" w:eastAsia="Arial" w:hAnsi="Arial"/>
          <w:sz w:val="17"/>
          <w:szCs w:val="17"/>
          <w:color w:val="auto"/>
        </w:rPr>
        <w:t>During the three and six months ended June 30, 2020, we did not draw on the term loan. As of June 30, 2020, we had a total of $43.5 million in revolving loans, with an interest rate of 1.92% and $18.6 million of term loans, with an interest rate of 1.93%, outstanding on our credit facility. After giving effect to the amount drawn on our credit facility, approximately $9.6 million of outstanding letters of credit and borrowing limits based on an advance multiple of adjusted EBITDA, we had $223.5 million available for borrowing under our revolving credit loan facility.</w:t>
      </w:r>
    </w:p>
    <w:p>
      <w:pPr>
        <w:spacing w:after="0" w:line="117" w:lineRule="exact"/>
        <w:rPr>
          <w:sz w:val="20"/>
          <w:szCs w:val="20"/>
          <w:color w:val="auto"/>
        </w:rPr>
      </w:pPr>
    </w:p>
    <w:p>
      <w:pPr>
        <w:ind w:right="80" w:firstLine="476"/>
        <w:spacing w:after="0" w:line="259" w:lineRule="auto"/>
        <w:rPr>
          <w:sz w:val="20"/>
          <w:szCs w:val="20"/>
          <w:color w:val="auto"/>
        </w:rPr>
      </w:pPr>
      <w:r>
        <w:rPr>
          <w:rFonts w:ascii="Arial" w:cs="Arial" w:eastAsia="Arial" w:hAnsi="Arial"/>
          <w:sz w:val="18"/>
          <w:szCs w:val="18"/>
          <w:color w:val="auto"/>
        </w:rPr>
        <w:t>At December 31, 2019, we had a total of $43.4 million revolving credit loans, with an interest rate of 3.44%, and $18.9 million term loans, with an interest rate of 3.45%, outstanding on our credit facility. After giving effect to the amount drawn on our credit facility, approximately $10.0 million of outstanding letters of credit and borrowing limits based on an advance multiple of adjusted EBITDA, we had $191.4 million available for borrowing under our revolving credit loan facility.</w:t>
      </w:r>
    </w:p>
    <w:p>
      <w:pPr>
        <w:spacing w:after="0" w:line="133" w:lineRule="exact"/>
        <w:rPr>
          <w:sz w:val="20"/>
          <w:szCs w:val="20"/>
          <w:color w:val="auto"/>
        </w:rPr>
      </w:pPr>
    </w:p>
    <w:p>
      <w:pPr>
        <w:ind w:right="320" w:firstLine="476"/>
        <w:spacing w:after="0" w:line="257" w:lineRule="auto"/>
        <w:rPr>
          <w:sz w:val="20"/>
          <w:szCs w:val="20"/>
          <w:color w:val="auto"/>
        </w:rPr>
      </w:pPr>
      <w:r>
        <w:rPr>
          <w:rFonts w:ascii="Arial" w:cs="Arial" w:eastAsia="Arial" w:hAnsi="Arial"/>
          <w:sz w:val="18"/>
          <w:szCs w:val="18"/>
          <w:color w:val="auto"/>
        </w:rPr>
        <w:t>Cash flows from operating activities represent the inflow of cash from our payor clients and the outflow of cash for payroll and payroll taxes, operating expenses, interest and taxes. Due to its revenue deficiencies as well as budget and financing issues, from time to time the state of Illinois has reimbursed us on a delayed basis with respect to our various agreements including with our largest payor, the Illinois Department on Aging. The open receivable balance from the Illinois Department on Aging decreased by $8.7 million from $37.6 million as of December 31, 2019 to $28.9 million as of June 30, 2020.</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Amended and Restated Senior Secured Credit Facility</w:t>
      </w:r>
    </w:p>
    <w:p>
      <w:pPr>
        <w:spacing w:after="0" w:line="90" w:lineRule="exact"/>
        <w:rPr>
          <w:sz w:val="20"/>
          <w:szCs w:val="20"/>
          <w:color w:val="auto"/>
        </w:rPr>
      </w:pPr>
    </w:p>
    <w:p>
      <w:pPr>
        <w:ind w:firstLine="476"/>
        <w:spacing w:after="0" w:line="268" w:lineRule="auto"/>
        <w:rPr>
          <w:sz w:val="20"/>
          <w:szCs w:val="20"/>
          <w:color w:val="auto"/>
        </w:rPr>
      </w:pPr>
      <w:r>
        <w:rPr>
          <w:rFonts w:ascii="Arial" w:cs="Arial" w:eastAsia="Arial" w:hAnsi="Arial"/>
          <w:sz w:val="17"/>
          <w:szCs w:val="17"/>
          <w:color w:val="auto"/>
        </w:rPr>
        <w:t>On October 31, 2018, we amended and restated our Existing Credit Agreement, with certain lenders and Capital One, National Association as a lender and swing line lender and as agent for all lenders. This amended and restated credit facility totals $269.6 million, inclusive of a $250.0 million revolving loan and a $19.6 million delayed draw term loan and is evidenced by the Credit Agreement. This amended and restated credit facility amended and restated our existing senior secured credit facility totaling $250.0 million. The maturity of this amended and restated credit facility is May 8, 2023, with borrowing under the delayed draw term loan available until June 30, 2019, as extended pursuant to the consent letter, dated January 30, 2019, executed by the Required Lenders (as defined in the Credit Agreement). Interest on our amended and restated credit facility may be payable at (x) the sum of (i) an applicable margin ranging from 0.75% to 1.50% based on the applicable senior net leverage ratio plus (ii) a base rate equal to the greatest of (a) the rate of interest last quoted by The Wall Street Journal as the “prime rate,” (b) the sum of the federal funds rate plus a margin of 0.50% and (c) the sum of the adjusted LIBOR that would be applicable to a loan with an interest period of one month advanced on the applicable day (not to be less than 0.00%) plus a margin of 1.00% or (y) the sum of (i) an applicable margin ranging from 1.75% to 2.50% based on the applicable senior net leverage ratio plus (ii) the offered rate per annum for similar dollar deposits for the applicable interest period that appears on Reuters Screen LIBOR01 Page (not to be less than zero). Swing loans may not be LIBOR loans. The availability of additional draws under this amended and restated credit facility is conditioned, among other things, upon (after giving effect to such draws) the Total Net Leverage Ratio (as defined in the Credit Agreement) not exceeding 3.75:1.00. In certain circumstances, in connection with a Material Acquisition (as defined in the Credit Agreement), we can elect to increase our Total Net Leverage Ratio compliance covenant to 4.25:1.00 for the then current fiscal quarter and the three succeeding fiscal quarters. In connection with this amended and restated credit facility, we incurred approximately $0.9 million of debt issuance costs.</w:t>
      </w:r>
    </w:p>
    <w:p>
      <w:pPr>
        <w:spacing w:after="0" w:line="126" w:lineRule="exact"/>
        <w:rPr>
          <w:sz w:val="20"/>
          <w:szCs w:val="20"/>
          <w:color w:val="auto"/>
        </w:rPr>
      </w:pPr>
    </w:p>
    <w:p>
      <w:pPr>
        <w:ind w:right="20" w:firstLine="476"/>
        <w:spacing w:after="0" w:line="275" w:lineRule="auto"/>
        <w:rPr>
          <w:sz w:val="20"/>
          <w:szCs w:val="20"/>
          <w:color w:val="auto"/>
        </w:rPr>
      </w:pPr>
      <w:r>
        <w:rPr>
          <w:rFonts w:ascii="Arial" w:cs="Arial" w:eastAsia="Arial" w:hAnsi="Arial"/>
          <w:sz w:val="17"/>
          <w:szCs w:val="17"/>
          <w:color w:val="auto"/>
        </w:rPr>
        <w:t>Addus HealthCare is the borrower, and its parent, Holdings, and substantially all of Holdings’ subsidiaries are guarantors under this amended and restated credit facility, and it is secured by a first priority security interest in all of our and the other credit parties’ current and future tangible and intangible assets, including the shares of stock of the borrower and subsidiaries. The Credit Agreement contains affirmative and negative covenants customary for credit facilities of this type, including the timely delivery of audited financial statements, limitations on us with respect to liens, indebtedness, guaranties, investments, distributions, mergers and acquisitions and dispositions of assets.</w:t>
      </w:r>
    </w:p>
    <w:p>
      <w:pPr>
        <w:spacing w:after="0" w:line="122" w:lineRule="exact"/>
        <w:rPr>
          <w:sz w:val="20"/>
          <w:szCs w:val="20"/>
          <w:color w:val="auto"/>
        </w:rPr>
      </w:pPr>
    </w:p>
    <w:p>
      <w:pPr>
        <w:ind w:right="200" w:firstLine="476"/>
        <w:spacing w:after="0" w:line="277" w:lineRule="auto"/>
        <w:rPr>
          <w:sz w:val="20"/>
          <w:szCs w:val="20"/>
          <w:color w:val="auto"/>
        </w:rPr>
      </w:pPr>
      <w:r>
        <w:rPr>
          <w:rFonts w:ascii="Arial" w:cs="Arial" w:eastAsia="Arial" w:hAnsi="Arial"/>
          <w:sz w:val="18"/>
          <w:szCs w:val="18"/>
          <w:color w:val="auto"/>
        </w:rPr>
        <w:t>We pay a fee ranging from 0.20% to 0.35% based on the applicable senior net leverage ratio times the unused portion of the revolving loan portion of the amended and restated credit facility.</w:t>
      </w:r>
    </w:p>
    <w:p>
      <w:pPr>
        <w:spacing w:after="0" w:line="116" w:lineRule="exact"/>
        <w:rPr>
          <w:sz w:val="20"/>
          <w:szCs w:val="20"/>
          <w:color w:val="auto"/>
        </w:rPr>
      </w:pPr>
    </w:p>
    <w:p>
      <w:pPr>
        <w:ind w:right="60" w:firstLine="476"/>
        <w:spacing w:after="0" w:line="289" w:lineRule="auto"/>
        <w:rPr>
          <w:sz w:val="20"/>
          <w:szCs w:val="20"/>
          <w:color w:val="auto"/>
        </w:rPr>
      </w:pPr>
      <w:r>
        <w:rPr>
          <w:rFonts w:ascii="Arial" w:cs="Arial" w:eastAsia="Arial" w:hAnsi="Arial"/>
          <w:sz w:val="16"/>
          <w:szCs w:val="16"/>
          <w:color w:val="auto"/>
        </w:rPr>
        <w:t>The Credit Agreement contains customary affirmative covenants regarding, among other things, the maintenance of records, compliance with laws, maintenance of permits, maintenance of insurance and property and payment of taxes. The Credit Agreement also contains certain customary financial covenants and negative covenants that, among other things, include a requirement to maintain a minimum Interest Coverage Ratio (as defined in the Credit Agreement), a requirement to stay below a maximum Total Net Leverage Ratio (as defined in the Credit Agreement) and a requirement to stay below a maximum permitted amount of capital expenditures, as well as restrictions on guarantees, indebtedness, liens, investments and loans, subject to customary carve outs, a restriction on dividends (provided that Addus HealthCare may make distributions to us in an amount that does not exceed $7.5 million in any year absent of an event of default, plus limited exceptions for tax and administrative distributions), a restriction on the ability to consummate acquisitions (without the consent of the lenders) under our credit facility subject to compliance with the Total Net Leverage Ratio (as defined in the Credit Agreement), restrictions on mergers, dispositions of assets, and affiliate transactions, and restrictions on fundamental changes and lines of business.</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223520</wp:posOffset>
            </wp:positionV>
            <wp:extent cx="7132320" cy="171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3" w:name="page34"/>
    <w:bookmarkEnd w:id="33"/>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91" w:lineRule="exact"/>
        <w:rPr>
          <w:sz w:val="20"/>
          <w:szCs w:val="20"/>
          <w:color w:val="auto"/>
        </w:rPr>
      </w:pPr>
    </w:p>
    <w:p>
      <w:pPr>
        <w:ind w:right="220" w:firstLine="476"/>
        <w:spacing w:after="0" w:line="257" w:lineRule="auto"/>
        <w:rPr>
          <w:sz w:val="20"/>
          <w:szCs w:val="20"/>
          <w:color w:val="auto"/>
        </w:rPr>
      </w:pPr>
      <w:r>
        <w:rPr>
          <w:rFonts w:ascii="Arial" w:cs="Arial" w:eastAsia="Arial" w:hAnsi="Arial"/>
          <w:sz w:val="18"/>
          <w:szCs w:val="18"/>
          <w:color w:val="auto"/>
        </w:rPr>
        <w:t>At June 30, 2020, we were in compliance with our financial covenants under the Credit Agreement. However, we were unable to timely file our Annual Report on Form 10-K, which would have included our audited financial statements for the year ended December 31, 2019. The Company is required to deliver annual audited financial statements under the affirmative covenants of its Credit Agreement. The Company obtained consent from the Required Lenders (as defined in the Credit Agreement) to extend the timeline of the audited financials for the year ended December 31, 2019 to not later than October 31, 2020.</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Flows</w:t>
      </w:r>
    </w:p>
    <w:p>
      <w:pPr>
        <w:spacing w:after="0" w:line="90" w:lineRule="exact"/>
        <w:rPr>
          <w:sz w:val="20"/>
          <w:szCs w:val="20"/>
          <w:color w:val="auto"/>
        </w:rPr>
      </w:pPr>
    </w:p>
    <w:p>
      <w:pPr>
        <w:ind w:left="480"/>
        <w:spacing w:after="0"/>
        <w:rPr>
          <w:sz w:val="20"/>
          <w:szCs w:val="20"/>
          <w:color w:val="auto"/>
        </w:rPr>
      </w:pPr>
      <w:r>
        <w:rPr>
          <w:rFonts w:ascii="Arial" w:cs="Arial" w:eastAsia="Arial" w:hAnsi="Arial"/>
          <w:sz w:val="18"/>
          <w:szCs w:val="18"/>
          <w:color w:val="auto"/>
        </w:rPr>
        <w:t>The following table summarizes changes in our cash flows for the six months ended June 30, 2020 and 2019:</w:t>
      </w: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7720" w:type="dxa"/>
            <w:vAlign w:val="bottom"/>
          </w:tcPr>
          <w:p>
            <w:pPr>
              <w:spacing w:after="0"/>
              <w:rPr>
                <w:sz w:val="18"/>
                <w:szCs w:val="18"/>
                <w:color w:val="auto"/>
              </w:rPr>
            </w:pPr>
          </w:p>
        </w:tc>
        <w:tc>
          <w:tcPr>
            <w:tcW w:w="3520" w:type="dxa"/>
            <w:vAlign w:val="bottom"/>
            <w:gridSpan w:val="5"/>
          </w:tcPr>
          <w:p>
            <w:pPr>
              <w:jc w:val="center"/>
              <w:ind w:right="120"/>
              <w:spacing w:after="0"/>
              <w:rPr>
                <w:sz w:val="20"/>
                <w:szCs w:val="20"/>
                <w:color w:val="auto"/>
              </w:rPr>
            </w:pPr>
            <w:r>
              <w:rPr>
                <w:rFonts w:ascii="Arial" w:cs="Arial" w:eastAsia="Arial" w:hAnsi="Arial"/>
                <w:sz w:val="16"/>
                <w:szCs w:val="16"/>
                <w:b w:val="1"/>
                <w:bCs w:val="1"/>
                <w:color w:val="auto"/>
                <w:w w:val="91"/>
              </w:rPr>
              <w:t>For the Six Months Ended June 30,</w:t>
            </w:r>
          </w:p>
        </w:tc>
      </w:tr>
      <w:tr>
        <w:trPr>
          <w:trHeight w:val="210"/>
        </w:trPr>
        <w:tc>
          <w:tcPr>
            <w:tcW w:w="7720" w:type="dxa"/>
            <w:vAlign w:val="bottom"/>
          </w:tcPr>
          <w:p>
            <w:pPr>
              <w:spacing w:after="0"/>
              <w:rPr>
                <w:sz w:val="18"/>
                <w:szCs w:val="18"/>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2020</w:t>
            </w:r>
          </w:p>
        </w:tc>
        <w:tc>
          <w:tcPr>
            <w:tcW w:w="740" w:type="dxa"/>
            <w:vAlign w:val="bottom"/>
            <w:tcBorders>
              <w:top w:val="single" w:sz="8" w:color="auto"/>
              <w:bottom w:val="single" w:sz="8" w:color="auto"/>
            </w:tcBorders>
          </w:tcPr>
          <w:p>
            <w:pPr>
              <w:spacing w:after="0"/>
              <w:rPr>
                <w:sz w:val="18"/>
                <w:szCs w:val="18"/>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2019</w:t>
            </w:r>
          </w:p>
        </w:tc>
        <w:tc>
          <w:tcPr>
            <w:tcW w:w="600" w:type="dxa"/>
            <w:vAlign w:val="bottom"/>
            <w:tcBorders>
              <w:top w:val="single" w:sz="8" w:color="auto"/>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r>
      <w:tr>
        <w:trPr>
          <w:trHeight w:val="210"/>
        </w:trPr>
        <w:tc>
          <w:tcPr>
            <w:tcW w:w="7720" w:type="dxa"/>
            <w:vAlign w:val="bottom"/>
          </w:tcPr>
          <w:p>
            <w:pPr>
              <w:spacing w:after="0"/>
              <w:rPr>
                <w:sz w:val="18"/>
                <w:szCs w:val="18"/>
                <w:color w:val="auto"/>
              </w:rPr>
            </w:pPr>
          </w:p>
        </w:tc>
        <w:tc>
          <w:tcPr>
            <w:tcW w:w="2800" w:type="dxa"/>
            <w:vAlign w:val="bottom"/>
            <w:gridSpan w:val="3"/>
          </w:tcPr>
          <w:p>
            <w:pPr>
              <w:jc w:val="center"/>
              <w:ind w:left="517"/>
              <w:spacing w:after="0"/>
              <w:rPr>
                <w:sz w:val="20"/>
                <w:szCs w:val="20"/>
                <w:color w:val="auto"/>
              </w:rPr>
            </w:pPr>
            <w:r>
              <w:rPr>
                <w:rFonts w:ascii="Arial" w:cs="Arial" w:eastAsia="Arial" w:hAnsi="Arial"/>
                <w:sz w:val="16"/>
                <w:szCs w:val="16"/>
                <w:b w:val="1"/>
                <w:bCs w:val="1"/>
                <w:color w:val="auto"/>
                <w:w w:val="91"/>
              </w:rPr>
              <w:t>(Amounts in Thousands)</w:t>
            </w:r>
          </w:p>
        </w:tc>
        <w:tc>
          <w:tcPr>
            <w:tcW w:w="60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32"/>
        </w:trPr>
        <w:tc>
          <w:tcPr>
            <w:tcW w:w="7720" w:type="dxa"/>
            <w:vAlign w:val="bottom"/>
            <w:shd w:val="clear" w:color="auto" w:fill="CFF0FC"/>
          </w:tcPr>
          <w:p>
            <w:pPr>
              <w:spacing w:after="0"/>
              <w:rPr>
                <w:sz w:val="20"/>
                <w:szCs w:val="20"/>
                <w:color w:val="auto"/>
              </w:rPr>
            </w:pPr>
            <w:r>
              <w:rPr>
                <w:rFonts w:ascii="Arial" w:cs="Arial" w:eastAsia="Arial" w:hAnsi="Arial"/>
                <w:sz w:val="18"/>
                <w:szCs w:val="18"/>
                <w:color w:val="auto"/>
              </w:rPr>
              <w:t>Net cash provided by (used in) operating activities</w:t>
            </w:r>
          </w:p>
        </w:tc>
        <w:tc>
          <w:tcPr>
            <w:tcW w:w="1000" w:type="dxa"/>
            <w:vAlign w:val="bottom"/>
            <w:shd w:val="clear" w:color="auto" w:fill="CFF0FC"/>
          </w:tcPr>
          <w:p>
            <w:pPr>
              <w:jc w:val="right"/>
              <w:ind w:right="817"/>
              <w:spacing w:after="0"/>
              <w:rPr>
                <w:sz w:val="20"/>
                <w:szCs w:val="20"/>
                <w:color w:val="auto"/>
              </w:rPr>
            </w:pPr>
            <w:r>
              <w:rPr>
                <w:rFonts w:ascii="Arial" w:cs="Arial" w:eastAsia="Arial" w:hAnsi="Arial"/>
                <w:sz w:val="18"/>
                <w:szCs w:val="18"/>
                <w:color w:val="auto"/>
                <w:w w:val="79"/>
              </w:rPr>
              <w:t>$</w:t>
            </w:r>
          </w:p>
        </w:tc>
        <w:tc>
          <w:tcPr>
            <w:tcW w:w="740" w:type="dxa"/>
            <w:vAlign w:val="bottom"/>
            <w:shd w:val="clear" w:color="auto" w:fill="CFF0FC"/>
          </w:tcPr>
          <w:p>
            <w:pPr>
              <w:jc w:val="right"/>
              <w:ind w:right="110"/>
              <w:spacing w:after="0"/>
              <w:rPr>
                <w:sz w:val="20"/>
                <w:szCs w:val="20"/>
                <w:color w:val="auto"/>
              </w:rPr>
            </w:pPr>
            <w:r>
              <w:rPr>
                <w:rFonts w:ascii="Arial" w:cs="Arial" w:eastAsia="Arial" w:hAnsi="Arial"/>
                <w:sz w:val="18"/>
                <w:szCs w:val="18"/>
                <w:color w:val="auto"/>
                <w:w w:val="94"/>
              </w:rPr>
              <w:t>50,887</w:t>
            </w:r>
          </w:p>
        </w:tc>
        <w:tc>
          <w:tcPr>
            <w:tcW w:w="1060" w:type="dxa"/>
            <w:vAlign w:val="bottom"/>
            <w:shd w:val="clear" w:color="auto" w:fill="CFF0FC"/>
          </w:tcPr>
          <w:p>
            <w:pPr>
              <w:jc w:val="right"/>
              <w:ind w:right="775"/>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(4,078)</w:t>
            </w:r>
          </w:p>
        </w:tc>
      </w:tr>
      <w:tr>
        <w:trPr>
          <w:trHeight w:val="229"/>
        </w:trPr>
        <w:tc>
          <w:tcPr>
            <w:tcW w:w="7720" w:type="dxa"/>
            <w:vAlign w:val="bottom"/>
          </w:tcPr>
          <w:p>
            <w:pPr>
              <w:spacing w:after="0"/>
              <w:rPr>
                <w:sz w:val="20"/>
                <w:szCs w:val="20"/>
                <w:color w:val="auto"/>
              </w:rPr>
            </w:pPr>
            <w:r>
              <w:rPr>
                <w:rFonts w:ascii="Arial" w:cs="Arial" w:eastAsia="Arial" w:hAnsi="Arial"/>
                <w:sz w:val="18"/>
                <w:szCs w:val="18"/>
                <w:color w:val="auto"/>
              </w:rPr>
              <w:t>Net cash used in investing activities</w:t>
            </w:r>
          </w:p>
        </w:tc>
        <w:tc>
          <w:tcPr>
            <w:tcW w:w="1000" w:type="dxa"/>
            <w:vAlign w:val="bottom"/>
          </w:tcPr>
          <w:p>
            <w:pPr>
              <w:spacing w:after="0"/>
              <w:rPr>
                <w:sz w:val="19"/>
                <w:szCs w:val="19"/>
                <w:color w:val="auto"/>
              </w:rPr>
            </w:pPr>
          </w:p>
        </w:tc>
        <w:tc>
          <w:tcPr>
            <w:tcW w:w="740" w:type="dxa"/>
            <w:vAlign w:val="bottom"/>
          </w:tcPr>
          <w:p>
            <w:pPr>
              <w:jc w:val="right"/>
              <w:ind w:right="30"/>
              <w:spacing w:after="0"/>
              <w:rPr>
                <w:sz w:val="20"/>
                <w:szCs w:val="20"/>
                <w:color w:val="auto"/>
              </w:rPr>
            </w:pPr>
            <w:r>
              <w:rPr>
                <w:rFonts w:ascii="Arial" w:cs="Arial" w:eastAsia="Arial" w:hAnsi="Arial"/>
                <w:sz w:val="18"/>
                <w:szCs w:val="18"/>
                <w:color w:val="auto"/>
              </w:rPr>
              <w:t>(4,965)</w:t>
            </w:r>
          </w:p>
        </w:tc>
        <w:tc>
          <w:tcPr>
            <w:tcW w:w="1060" w:type="dxa"/>
            <w:vAlign w:val="bottom"/>
          </w:tcPr>
          <w:p>
            <w:pPr>
              <w:spacing w:after="0"/>
              <w:rPr>
                <w:sz w:val="19"/>
                <w:szCs w:val="19"/>
                <w:color w:val="auto"/>
              </w:rPr>
            </w:pPr>
          </w:p>
        </w:tc>
        <w:tc>
          <w:tcPr>
            <w:tcW w:w="720" w:type="dxa"/>
            <w:vAlign w:val="bottom"/>
            <w:gridSpan w:val="2"/>
          </w:tcPr>
          <w:p>
            <w:pPr>
              <w:jc w:val="right"/>
              <w:ind w:right="60"/>
              <w:spacing w:after="0"/>
              <w:rPr>
                <w:sz w:val="20"/>
                <w:szCs w:val="20"/>
                <w:color w:val="auto"/>
              </w:rPr>
            </w:pPr>
            <w:r>
              <w:rPr>
                <w:rFonts w:ascii="Arial" w:cs="Arial" w:eastAsia="Arial" w:hAnsi="Arial"/>
                <w:sz w:val="18"/>
                <w:szCs w:val="18"/>
                <w:color w:val="auto"/>
                <w:w w:val="95"/>
              </w:rPr>
              <w:t>(31,804)</w:t>
            </w:r>
          </w:p>
        </w:tc>
      </w:tr>
      <w:tr>
        <w:trPr>
          <w:trHeight w:val="230"/>
        </w:trPr>
        <w:tc>
          <w:tcPr>
            <w:tcW w:w="7720" w:type="dxa"/>
            <w:vAlign w:val="bottom"/>
            <w:shd w:val="clear" w:color="auto" w:fill="CFF0FC"/>
          </w:tcPr>
          <w:p>
            <w:pPr>
              <w:spacing w:after="0"/>
              <w:rPr>
                <w:sz w:val="20"/>
                <w:szCs w:val="20"/>
                <w:color w:val="auto"/>
              </w:rPr>
            </w:pPr>
            <w:r>
              <w:rPr>
                <w:rFonts w:ascii="Arial" w:cs="Arial" w:eastAsia="Arial" w:hAnsi="Arial"/>
                <w:sz w:val="18"/>
                <w:szCs w:val="18"/>
                <w:color w:val="auto"/>
              </w:rPr>
              <w:t>Net cash provided by financing activities</w:t>
            </w:r>
          </w:p>
        </w:tc>
        <w:tc>
          <w:tcPr>
            <w:tcW w:w="1000" w:type="dxa"/>
            <w:vAlign w:val="bottom"/>
            <w:shd w:val="clear" w:color="auto" w:fill="CFF0FC"/>
          </w:tcPr>
          <w:p>
            <w:pPr>
              <w:spacing w:after="0"/>
              <w:rPr>
                <w:sz w:val="19"/>
                <w:szCs w:val="19"/>
                <w:color w:val="auto"/>
              </w:rPr>
            </w:pPr>
          </w:p>
        </w:tc>
        <w:tc>
          <w:tcPr>
            <w:tcW w:w="740" w:type="dxa"/>
            <w:vAlign w:val="bottom"/>
            <w:shd w:val="clear" w:color="auto" w:fill="CFF0FC"/>
          </w:tcPr>
          <w:p>
            <w:pPr>
              <w:jc w:val="right"/>
              <w:ind w:right="110"/>
              <w:spacing w:after="0"/>
              <w:rPr>
                <w:sz w:val="20"/>
                <w:szCs w:val="20"/>
                <w:color w:val="auto"/>
              </w:rPr>
            </w:pPr>
            <w:r>
              <w:rPr>
                <w:rFonts w:ascii="Arial" w:cs="Arial" w:eastAsia="Arial" w:hAnsi="Arial"/>
                <w:sz w:val="18"/>
                <w:szCs w:val="18"/>
                <w:color w:val="auto"/>
              </w:rPr>
              <w:t>913</w:t>
            </w:r>
          </w:p>
        </w:tc>
        <w:tc>
          <w:tcPr>
            <w:tcW w:w="1060" w:type="dxa"/>
            <w:vAlign w:val="bottom"/>
            <w:shd w:val="clear" w:color="auto" w:fill="CFF0FC"/>
          </w:tcPr>
          <w:p>
            <w:pPr>
              <w:spacing w:after="0"/>
              <w:rPr>
                <w:sz w:val="19"/>
                <w:szCs w:val="19"/>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20,268</w:t>
            </w:r>
          </w:p>
        </w:tc>
        <w:tc>
          <w:tcPr>
            <w:tcW w:w="120" w:type="dxa"/>
            <w:vAlign w:val="bottom"/>
            <w:shd w:val="clear" w:color="auto" w:fill="CFF0FC"/>
          </w:tcPr>
          <w:p>
            <w:pPr>
              <w:spacing w:after="0"/>
              <w:rPr>
                <w:sz w:val="19"/>
                <w:szCs w:val="19"/>
                <w:color w:val="auto"/>
              </w:rPr>
            </w:pPr>
          </w:p>
        </w:tc>
      </w:tr>
    </w:tbl>
    <w:p>
      <w:pPr>
        <w:spacing w:after="0" w:line="25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Six Months Ended June 30, 2020 Compared to Six Months Ended June 30, 2019</w:t>
      </w:r>
    </w:p>
    <w:p>
      <w:pPr>
        <w:spacing w:after="0" w:line="77" w:lineRule="exact"/>
        <w:rPr>
          <w:sz w:val="20"/>
          <w:szCs w:val="20"/>
          <w:color w:val="auto"/>
        </w:rPr>
      </w:pPr>
    </w:p>
    <w:p>
      <w:pPr>
        <w:ind w:right="20" w:firstLine="476"/>
        <w:spacing w:after="0" w:line="263" w:lineRule="auto"/>
        <w:rPr>
          <w:sz w:val="20"/>
          <w:szCs w:val="20"/>
          <w:color w:val="auto"/>
        </w:rPr>
      </w:pPr>
      <w:r>
        <w:rPr>
          <w:rFonts w:ascii="Arial" w:cs="Arial" w:eastAsia="Arial" w:hAnsi="Arial"/>
          <w:sz w:val="18"/>
          <w:szCs w:val="18"/>
          <w:color w:val="auto"/>
        </w:rPr>
        <w:t>Net cash provided by operating activities was $50.9 million for the six months ended June 30, 2020, compared to net cash used by operating activities of $4.1 million for the same period in 2019. The increase in cash provided by operations was primarily due to decreases in accounts receivable for the state of New York and a decrease in days sales outstanding (“DSO”) as discussed below.</w:t>
      </w:r>
    </w:p>
    <w:p>
      <w:pPr>
        <w:spacing w:after="0" w:line="130" w:lineRule="exact"/>
        <w:rPr>
          <w:sz w:val="20"/>
          <w:szCs w:val="20"/>
          <w:color w:val="auto"/>
        </w:rPr>
      </w:pPr>
    </w:p>
    <w:p>
      <w:pPr>
        <w:ind w:right="140" w:firstLine="476"/>
        <w:spacing w:after="0" w:line="257" w:lineRule="auto"/>
        <w:rPr>
          <w:sz w:val="20"/>
          <w:szCs w:val="20"/>
          <w:color w:val="auto"/>
        </w:rPr>
      </w:pPr>
      <w:r>
        <w:rPr>
          <w:rFonts w:ascii="Arial" w:cs="Arial" w:eastAsia="Arial" w:hAnsi="Arial"/>
          <w:sz w:val="18"/>
          <w:szCs w:val="18"/>
          <w:color w:val="auto"/>
        </w:rPr>
        <w:t>Net cash used in investing activities was $5.0 million for the six months ended June 30, 2020 compared to cash used in investing activities of $31.8 million for the six months ended June 30, 2019. Our investing activities for the six months ended June 30, 2020 consisted of $4.8 million in purchases of property and equipment primarily related to investments in our technology infrastructure. Our investing activities for the six months ended June 30, 2019 consisted of $29.9 million primarily for the acquisition of VIP and $2.0 million in purchases of property and equipment primarily related to our ongoing investments in our technology infrastructure.</w:t>
      </w:r>
    </w:p>
    <w:p>
      <w:pPr>
        <w:spacing w:after="0" w:line="134" w:lineRule="exact"/>
        <w:rPr>
          <w:sz w:val="20"/>
          <w:szCs w:val="20"/>
          <w:color w:val="auto"/>
        </w:rPr>
      </w:pPr>
    </w:p>
    <w:p>
      <w:pPr>
        <w:jc w:val="both"/>
        <w:ind w:right="100" w:firstLine="476"/>
        <w:spacing w:after="0" w:line="286" w:lineRule="auto"/>
        <w:rPr>
          <w:sz w:val="20"/>
          <w:szCs w:val="20"/>
          <w:color w:val="auto"/>
        </w:rPr>
      </w:pPr>
      <w:r>
        <w:rPr>
          <w:rFonts w:ascii="Arial" w:cs="Arial" w:eastAsia="Arial" w:hAnsi="Arial"/>
          <w:sz w:val="17"/>
          <w:szCs w:val="17"/>
          <w:color w:val="auto"/>
        </w:rPr>
        <w:t>Net cash provided by financing activities related to cash received from the exercise of stock options of $0.9 for the six months ended June 30, 2020. Our financing activities for the six months ended June 30, 2019 were borrowings of approximately $19.6 million on the delayed draw term loan portion of our credit facility to fund, in part, the VIP acquisition and $0.7 million in cash received from the exercise of stock options.</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Outstanding Accounts Receivable</w:t>
      </w:r>
    </w:p>
    <w:p>
      <w:pPr>
        <w:spacing w:after="0" w:line="77" w:lineRule="exact"/>
        <w:rPr>
          <w:sz w:val="20"/>
          <w:szCs w:val="20"/>
          <w:color w:val="auto"/>
        </w:rPr>
      </w:pPr>
    </w:p>
    <w:p>
      <w:pPr>
        <w:ind w:right="200" w:firstLine="476"/>
        <w:spacing w:after="0" w:line="296" w:lineRule="auto"/>
        <w:rPr>
          <w:sz w:val="20"/>
          <w:szCs w:val="20"/>
          <w:color w:val="auto"/>
        </w:rPr>
      </w:pPr>
      <w:r>
        <w:rPr>
          <w:rFonts w:ascii="Arial" w:cs="Arial" w:eastAsia="Arial" w:hAnsi="Arial"/>
          <w:sz w:val="16"/>
          <w:szCs w:val="16"/>
          <w:color w:val="auto"/>
        </w:rPr>
        <w:t>Gross accounts receivable as of June 30, 2020 and December 31, 2019 were approximately $126.4 million and $150.6 million, respectively. Outstanding accounts receivable, net of allowance, decreased by $23.3 million as of June 30, 2020 as compared to December 31, 2019. Accounts receivable for the Illinois Department on Aging decreased approximately $8.7 million during the quarter ended June 30, 2020. Our collection procedures include review of account aging and direct contact with our payors. We have historically not used collection agencies. An uncollectible amount is written off to the allowance account after reasonable collection efforts have been exhausted. We received a bonus payment of $6.8 million in May of 2020.</w:t>
      </w:r>
    </w:p>
    <w:p>
      <w:pPr>
        <w:spacing w:after="0" w:line="107" w:lineRule="exact"/>
        <w:rPr>
          <w:sz w:val="20"/>
          <w:szCs w:val="20"/>
          <w:color w:val="auto"/>
        </w:rPr>
      </w:pPr>
    </w:p>
    <w:p>
      <w:pPr>
        <w:ind w:right="120" w:firstLine="476"/>
        <w:spacing w:after="0" w:line="275" w:lineRule="auto"/>
        <w:rPr>
          <w:sz w:val="20"/>
          <w:szCs w:val="20"/>
          <w:color w:val="auto"/>
        </w:rPr>
      </w:pPr>
      <w:r>
        <w:rPr>
          <w:rFonts w:ascii="Arial" w:cs="Arial" w:eastAsia="Arial" w:hAnsi="Arial"/>
          <w:sz w:val="17"/>
          <w:szCs w:val="17"/>
          <w:color w:val="auto"/>
        </w:rPr>
        <w:t>We calculate our DSO by taking the trade accounts receivable outstanding, net of allowance for doubtful accounts, divided by the net service revenues for the last quarter, multiplied by the number of days in that quarter. Our DSOs were 62 days and 72 days at June 30, 2020 and December 31, 2019, respectively. The DSOs for our largest payor, the Illinois Department on Aging, at June 30, 2020 and December 31, 2019 were 64 days and 78 days, respectively. We may not receive payments on a consistent basis in the near term and our DSOs and the DSO for the Illinois Department on Aging may increase despite the state of Illinois’s enactment of state budgets for fiscal years 2020 and 2021.</w:t>
      </w:r>
    </w:p>
    <w:p>
      <w:pPr>
        <w:spacing w:after="0" w:line="122" w:lineRule="exact"/>
        <w:rPr>
          <w:sz w:val="20"/>
          <w:szCs w:val="20"/>
          <w:color w:val="auto"/>
        </w:rPr>
      </w:pPr>
    </w:p>
    <w:p>
      <w:pPr>
        <w:ind w:right="20" w:firstLine="476"/>
        <w:spacing w:after="0" w:line="269" w:lineRule="auto"/>
        <w:rPr>
          <w:sz w:val="20"/>
          <w:szCs w:val="20"/>
          <w:color w:val="auto"/>
        </w:rPr>
      </w:pPr>
      <w:r>
        <w:rPr>
          <w:rFonts w:ascii="Arial" w:cs="Arial" w:eastAsia="Arial" w:hAnsi="Arial"/>
          <w:sz w:val="17"/>
          <w:szCs w:val="17"/>
          <w:color w:val="auto"/>
        </w:rPr>
        <w:t>The economic slowdown caused by the COVID-19 pandemic poses significant risks to states’ budgets for the 2021 fiscal year, which began July 1 in most states. Depending on the severity and length of a downturn, sales tax collections and income tax withholdings could continue to be depressed in fiscal 2021 and, potentially, future fiscal years. States could face significant fiscal challenges and may have no choice but to revise their revenue forecasts and adjust their budgets for fiscal 2021 and, potentially, future fiscal years, accordingly. In New York, which started its fiscal year April 1, the state comptroller recently estimated that the state would collect at least $10 billion less than originally forecasted, the first year-to-year cut since 2011. The current New York fiscal plan authorizes the state to issue up to $8 billion in short-term bonds to provide funds in case of reduced revenues during the fiscal year, tentatively scheduled for October 2020, December 2020 and March 2021. It also allows two state authorities to provide the state with a $3 billion line of credit in the new fiscal year. As the state continues to deal with lower levels of funding due to the COVID-19 virus, the state implemented a 1% reduction to all Medicaid providers effective January 1, 2020. The recently passed budget included an additional 0.5% reduction to the Medicaid rate which also allows the governor to make any additional changes needed as the budget year progresses.</w:t>
      </w:r>
    </w:p>
    <w:p>
      <w:pPr>
        <w:spacing w:after="0" w:line="131" w:lineRule="exact"/>
        <w:rPr>
          <w:sz w:val="20"/>
          <w:szCs w:val="20"/>
          <w:color w:val="auto"/>
        </w:rPr>
      </w:pPr>
    </w:p>
    <w:p>
      <w:pPr>
        <w:ind w:right="120" w:firstLine="476"/>
        <w:spacing w:after="0" w:line="263" w:lineRule="auto"/>
        <w:rPr>
          <w:sz w:val="20"/>
          <w:szCs w:val="20"/>
          <w:color w:val="auto"/>
        </w:rPr>
      </w:pPr>
      <w:r>
        <w:rPr>
          <w:rFonts w:ascii="Arial" w:cs="Arial" w:eastAsia="Arial" w:hAnsi="Arial"/>
          <w:sz w:val="18"/>
          <w:szCs w:val="18"/>
          <w:color w:val="auto"/>
        </w:rPr>
        <w:t>Congress could provide additional relief with additional stimulus and relief legislation, including extension of unemployment benefits and relief for states. We cannot determine the impact that COVID-19 may have on states budgets for 2021 or beyond, however, such impacts could have a material adverse effect on our financial condition, results of operations and cash flows.</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223520</wp:posOffset>
            </wp:positionV>
            <wp:extent cx="7132320" cy="171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4" w:name="page35"/>
    <w:bookmarkEnd w:id="34"/>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5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Off-Balance Sheet Arrangements</w:t>
      </w:r>
    </w:p>
    <w:p>
      <w:pPr>
        <w:spacing w:after="0" w:line="90" w:lineRule="exact"/>
        <w:rPr>
          <w:sz w:val="20"/>
          <w:szCs w:val="20"/>
          <w:color w:val="auto"/>
        </w:rPr>
      </w:pPr>
    </w:p>
    <w:p>
      <w:pPr>
        <w:ind w:left="480"/>
        <w:spacing w:after="0"/>
        <w:rPr>
          <w:sz w:val="20"/>
          <w:szCs w:val="20"/>
          <w:color w:val="auto"/>
        </w:rPr>
      </w:pPr>
      <w:r>
        <w:rPr>
          <w:rFonts w:ascii="Arial" w:cs="Arial" w:eastAsia="Arial" w:hAnsi="Arial"/>
          <w:sz w:val="18"/>
          <w:szCs w:val="18"/>
          <w:color w:val="auto"/>
        </w:rPr>
        <w:t>As of June 30, 2020, we did not have any off-balance sheet guarantees or arrangements with unconsolidated entities.</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Critical Accounting Policies and Estimates</w:t>
      </w:r>
    </w:p>
    <w:p>
      <w:pPr>
        <w:spacing w:after="0" w:line="77" w:lineRule="exact"/>
        <w:rPr>
          <w:sz w:val="20"/>
          <w:szCs w:val="20"/>
          <w:color w:val="auto"/>
        </w:rPr>
      </w:pPr>
    </w:p>
    <w:p>
      <w:pPr>
        <w:ind w:left="480"/>
        <w:spacing w:after="0"/>
        <w:rPr>
          <w:sz w:val="20"/>
          <w:szCs w:val="20"/>
          <w:color w:val="auto"/>
        </w:rPr>
      </w:pPr>
      <w:r>
        <w:rPr>
          <w:rFonts w:ascii="Arial" w:cs="Arial" w:eastAsia="Arial" w:hAnsi="Arial"/>
          <w:sz w:val="17"/>
          <w:szCs w:val="17"/>
          <w:color w:val="auto"/>
        </w:rPr>
        <w:t>There have been no material changes to our critical accounting policies and estimates previously disclosed under the caption “Management’s</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Discussion and Analysis of Financial Condition and Results of Operations — Critical Accounting Policies and Estimates” set forth in Part II, Item 7 of our</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Annual Report on Form 10-K for the period ended December 31, 2019, filed on August 10, 2020.</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Recently Issued Accounting Pronouncements</w:t>
      </w:r>
    </w:p>
    <w:p>
      <w:pPr>
        <w:spacing w:after="0" w:line="77" w:lineRule="exact"/>
        <w:rPr>
          <w:sz w:val="20"/>
          <w:szCs w:val="20"/>
          <w:color w:val="auto"/>
        </w:rPr>
      </w:pPr>
    </w:p>
    <w:p>
      <w:pPr>
        <w:ind w:left="480"/>
        <w:spacing w:after="0"/>
        <w:rPr>
          <w:sz w:val="20"/>
          <w:szCs w:val="20"/>
          <w:color w:val="auto"/>
        </w:rPr>
      </w:pPr>
      <w:r>
        <w:rPr>
          <w:rFonts w:ascii="Arial" w:cs="Arial" w:eastAsia="Arial" w:hAnsi="Arial"/>
          <w:sz w:val="18"/>
          <w:szCs w:val="18"/>
          <w:color w:val="auto"/>
        </w:rPr>
        <w:t>Refer to Note 2 to the Notes to Consolidated Financial Statements for further discussion.</w:t>
      </w:r>
    </w:p>
    <w:p>
      <w:pPr>
        <w:spacing w:after="0" w:line="230" w:lineRule="exact"/>
        <w:rPr>
          <w:sz w:val="20"/>
          <w:szCs w:val="20"/>
          <w:color w:val="auto"/>
        </w:rPr>
      </w:pPr>
    </w:p>
    <w:p>
      <w:pPr>
        <w:jc w:val="center"/>
        <w:ind w:right="-99"/>
        <w:spacing w:after="0"/>
        <w:rPr>
          <w:sz w:val="20"/>
          <w:szCs w:val="20"/>
          <w:color w:val="auto"/>
        </w:rPr>
      </w:pPr>
      <w:r>
        <w:rPr>
          <w:rFonts w:ascii="Arial" w:cs="Arial" w:eastAsia="Arial" w:hAnsi="Arial"/>
          <w:sz w:val="16"/>
          <w:szCs w:val="16"/>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223520</wp:posOffset>
            </wp:positionV>
            <wp:extent cx="7132320" cy="171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60"/>
          </w:cols>
          <w:pgMar w:left="320" w:top="121" w:right="419" w:bottom="1440" w:gutter="0" w:footer="0" w:header="0"/>
        </w:sectPr>
      </w:pPr>
    </w:p>
    <w:bookmarkStart w:id="35" w:name="page36"/>
    <w:bookmarkEnd w:id="35"/>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81" w:lineRule="exact"/>
        <w:rPr>
          <w:sz w:val="20"/>
          <w:szCs w:val="20"/>
          <w:color w:val="auto"/>
        </w:rPr>
      </w:pPr>
    </w:p>
    <w:p>
      <w:pPr>
        <w:ind w:right="20" w:firstLine="476"/>
        <w:spacing w:after="0" w:line="275" w:lineRule="auto"/>
        <w:rPr>
          <w:sz w:val="20"/>
          <w:szCs w:val="20"/>
          <w:color w:val="auto"/>
        </w:rPr>
      </w:pPr>
      <w:r>
        <w:rPr>
          <w:rFonts w:ascii="Arial" w:cs="Arial" w:eastAsia="Arial" w:hAnsi="Arial"/>
          <w:sz w:val="17"/>
          <w:szCs w:val="17"/>
          <w:color w:val="auto"/>
        </w:rPr>
        <w:t>We are exposed to market risk associated with changes in interest rates on our variable rate long-term debt. As of June 30, 2020, we had outstanding borrowings of approximately $62.1 million on our credit facility, all of such borrowings were subject to variable interest rates. If the variable rates on this debt were 100 basis points higher than the rate applicable to the borrowing during the three and six months period ended June 30, 2020, our net income would have decreased by $0.1 million, or $0.01 per diluted share and $0.3 million, or $0.02 per diluted share, for the respective periods. We do not currently have any derivative or hedging arrangements, or other known exposures, to changes in interest rates.</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Evaluation of Disclosure Controls and Procedures</w:t>
      </w:r>
    </w:p>
    <w:p>
      <w:pPr>
        <w:spacing w:after="0" w:line="117" w:lineRule="exact"/>
        <w:rPr>
          <w:sz w:val="20"/>
          <w:szCs w:val="20"/>
          <w:color w:val="auto"/>
        </w:rPr>
      </w:pPr>
    </w:p>
    <w:p>
      <w:pPr>
        <w:ind w:firstLine="476"/>
        <w:spacing w:after="0" w:line="288" w:lineRule="auto"/>
        <w:rPr>
          <w:sz w:val="20"/>
          <w:szCs w:val="20"/>
          <w:color w:val="auto"/>
        </w:rPr>
      </w:pPr>
      <w:r>
        <w:rPr>
          <w:rFonts w:ascii="Arial" w:cs="Arial" w:eastAsia="Arial" w:hAnsi="Arial"/>
          <w:sz w:val="16"/>
          <w:szCs w:val="16"/>
          <w:color w:val="auto"/>
        </w:rPr>
        <w:t>Our management, with the participation of our Chief Executive Officer and our Chief Financial Officer, evaluated the effectiveness of our disclosure controls and procedures as of June 30, 2020. The term “disclosure controls and procedures,” as defined in Rules 13a-15(e) and 15d-15(e) under the Securities Exchange Act of 1934, as amended (the “Exchange Act”) means controls and other procedures of an issuer that are designed to ensure that information required to be disclosed by an issuer in the reports that it files or submits under the Exchange Act, is recorded, processed, summarized, and reported within the time periods specified in the Securities and Exchange Commission’s rules and forms. Disclosure controls and procedures include, without limitation, controls and procedures designed to ensure that information required to be disclosed by an issuer in the reports that it files or submits under the Exchange Act is accumulated and communicated to the issuer’s management, including its principal executive and principal financial officers, or persons performing similar functions, as appropriate to allow timely decisions regarding required disclosure. Management recognizes that any controls and procedures, no matter how well designed and operated, can provide only reasonable assurance of achieving their objectives and management necessarily applies its judgment in evaluating the cost-benefit relationship of possible controls and procedures.</w:t>
      </w:r>
    </w:p>
    <w:p>
      <w:pPr>
        <w:spacing w:after="0" w:line="114" w:lineRule="exact"/>
        <w:rPr>
          <w:sz w:val="20"/>
          <w:szCs w:val="20"/>
          <w:color w:val="auto"/>
        </w:rPr>
      </w:pPr>
    </w:p>
    <w:p>
      <w:pPr>
        <w:ind w:right="240" w:firstLine="476"/>
        <w:spacing w:after="0" w:line="263" w:lineRule="auto"/>
        <w:rPr>
          <w:sz w:val="20"/>
          <w:szCs w:val="20"/>
          <w:color w:val="auto"/>
        </w:rPr>
      </w:pPr>
      <w:r>
        <w:rPr>
          <w:rFonts w:ascii="Arial" w:cs="Arial" w:eastAsia="Arial" w:hAnsi="Arial"/>
          <w:sz w:val="18"/>
          <w:szCs w:val="18"/>
          <w:color w:val="auto"/>
        </w:rPr>
        <w:t>Based on the evaluation of our disclosure controls and procedures, our Chief Executive Officer and Chief Financial Officer concluded that our disclosure controls and procedures were not effective as of June 30, 2020 due to the material weaknesses in internal control over financial reporting that were disclosed in our Annual Report on Form 10-K for the fiscal year ended December 31, 2019.</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Changes in Internal Control Over Financial Reporting</w:t>
      </w:r>
    </w:p>
    <w:p>
      <w:pPr>
        <w:spacing w:after="0" w:line="77" w:lineRule="exact"/>
        <w:rPr>
          <w:sz w:val="20"/>
          <w:szCs w:val="20"/>
          <w:color w:val="auto"/>
        </w:rPr>
      </w:pPr>
    </w:p>
    <w:p>
      <w:pPr>
        <w:ind w:right="80" w:firstLine="476"/>
        <w:spacing w:after="0" w:line="277" w:lineRule="auto"/>
        <w:rPr>
          <w:sz w:val="20"/>
          <w:szCs w:val="20"/>
          <w:color w:val="auto"/>
        </w:rPr>
      </w:pPr>
      <w:r>
        <w:rPr>
          <w:rFonts w:ascii="Arial" w:cs="Arial" w:eastAsia="Arial" w:hAnsi="Arial"/>
          <w:sz w:val="18"/>
          <w:szCs w:val="18"/>
          <w:color w:val="auto"/>
        </w:rPr>
        <w:t>We continue to integrate application changes and acquisitions processes into our established internal control environment to effectively manage our risk and financial reporting efforts.</w:t>
      </w:r>
    </w:p>
    <w:p>
      <w:pPr>
        <w:spacing w:after="0" w:line="116" w:lineRule="exact"/>
        <w:rPr>
          <w:sz w:val="20"/>
          <w:szCs w:val="20"/>
          <w:color w:val="auto"/>
        </w:rPr>
      </w:pPr>
    </w:p>
    <w:p>
      <w:pPr>
        <w:jc w:val="both"/>
        <w:ind w:right="180" w:firstLine="476"/>
        <w:spacing w:after="0" w:line="263" w:lineRule="auto"/>
        <w:rPr>
          <w:sz w:val="20"/>
          <w:szCs w:val="20"/>
          <w:color w:val="auto"/>
        </w:rPr>
      </w:pPr>
      <w:r>
        <w:rPr>
          <w:rFonts w:ascii="Arial" w:cs="Arial" w:eastAsia="Arial" w:hAnsi="Arial"/>
          <w:sz w:val="18"/>
          <w:szCs w:val="18"/>
          <w:color w:val="auto"/>
        </w:rPr>
        <w:t>There were no changes in our internal control over financial reporting identified in connection with the evaluation required by Rule 13a-15(d) and 15d-15(d) of the Exchange Act that occurred during the quarter ended June 30, 2020 that have materially affected, or are reasonably likely to materially affect, our internal control over financial reporting.</w:t>
      </w:r>
    </w:p>
    <w:p>
      <w:pPr>
        <w:spacing w:after="0" w:line="188" w:lineRule="exact"/>
        <w:rPr>
          <w:sz w:val="20"/>
          <w:szCs w:val="20"/>
          <w:color w:val="auto"/>
        </w:rPr>
      </w:pPr>
    </w:p>
    <w:p>
      <w:pPr>
        <w:jc w:val="center"/>
        <w:ind w:right="-59"/>
        <w:spacing w:after="0"/>
        <w:rPr>
          <w:sz w:val="20"/>
          <w:szCs w:val="20"/>
          <w:color w:val="auto"/>
        </w:rPr>
      </w:pPr>
      <w:r>
        <w:rPr>
          <w:rFonts w:ascii="Arial" w:cs="Arial" w:eastAsia="Arial" w:hAnsi="Arial"/>
          <w:sz w:val="16"/>
          <w:szCs w:val="16"/>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223520</wp:posOffset>
            </wp:positionV>
            <wp:extent cx="7132320" cy="171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20" w:top="121" w:right="399" w:bottom="1440" w:gutter="0" w:footer="0" w:header="0"/>
        </w:sectPr>
      </w:pPr>
    </w:p>
    <w:bookmarkStart w:id="36" w:name="page37"/>
    <w:bookmarkEnd w:id="36"/>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2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PART II – OTHER INFORMATION</w:t>
      </w:r>
    </w:p>
    <w:p>
      <w:pPr>
        <w:spacing w:after="0" w:line="171" w:lineRule="exact"/>
        <w:rPr>
          <w:sz w:val="20"/>
          <w:szCs w:val="20"/>
          <w:color w:val="auto"/>
        </w:rPr>
      </w:pPr>
    </w:p>
    <w:p>
      <w:pPr>
        <w:spacing w:after="0"/>
        <w:tabs>
          <w:tab w:leader="none" w:pos="76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5"/>
          <w:szCs w:val="15"/>
          <w:b w:val="1"/>
          <w:bCs w:val="1"/>
          <w:color w:val="auto"/>
        </w:rPr>
        <w:t>Legal Proceedings</w:t>
      </w:r>
    </w:p>
    <w:p>
      <w:pPr>
        <w:spacing w:after="0" w:line="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Legal Proceedings</w:t>
      </w:r>
    </w:p>
    <w:p>
      <w:pPr>
        <w:spacing w:after="0" w:line="90" w:lineRule="exact"/>
        <w:rPr>
          <w:sz w:val="20"/>
          <w:szCs w:val="20"/>
          <w:color w:val="auto"/>
        </w:rPr>
      </w:pPr>
    </w:p>
    <w:p>
      <w:pPr>
        <w:ind w:right="320" w:firstLine="476"/>
        <w:spacing w:after="0" w:line="342" w:lineRule="auto"/>
        <w:rPr>
          <w:sz w:val="20"/>
          <w:szCs w:val="20"/>
          <w:color w:val="auto"/>
        </w:rPr>
      </w:pPr>
      <w:r>
        <w:rPr>
          <w:rFonts w:ascii="Arial" w:cs="Arial" w:eastAsia="Arial" w:hAnsi="Arial"/>
          <w:sz w:val="16"/>
          <w:szCs w:val="16"/>
          <w:color w:val="auto"/>
        </w:rPr>
        <w:t>From time to time, we are subject to legal and/or administrative proceedings incidental to our business. It is the opinion of management that the outcome of pending legal and/or administrative proceedings will not have a material effect on our financial position and results of operations.</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81" w:lineRule="exact"/>
        <w:rPr>
          <w:sz w:val="20"/>
          <w:szCs w:val="20"/>
          <w:color w:val="auto"/>
        </w:rPr>
      </w:pPr>
    </w:p>
    <w:p>
      <w:pPr>
        <w:ind w:firstLine="476"/>
        <w:spacing w:after="0" w:line="301" w:lineRule="auto"/>
        <w:rPr>
          <w:sz w:val="20"/>
          <w:szCs w:val="20"/>
          <w:color w:val="auto"/>
        </w:rPr>
      </w:pPr>
      <w:r>
        <w:rPr>
          <w:rFonts w:ascii="Arial" w:cs="Arial" w:eastAsia="Arial" w:hAnsi="Arial"/>
          <w:sz w:val="16"/>
          <w:szCs w:val="16"/>
          <w:color w:val="auto"/>
        </w:rPr>
        <w:t>Investing in our common stock involves a high degree of risk. You should carefully consider the risk factors discussed under the caption “Risk Factors” set forth in Part I, Item 1A, of our Annual Report on Form 10-K for the year ended December 31, 2019. There have been no material changes to the risk factors previously disclosed under the caption “Risk Factors” in our Annual Report on Form 10-K. Additional risks and uncertainties not currently known to us or that we currently deem to be immaterial also may materially adversely affect our business, financial condition or operating results.</w:t>
      </w:r>
    </w:p>
    <w:p>
      <w:pPr>
        <w:spacing w:after="0" w:line="167" w:lineRule="exact"/>
        <w:rPr>
          <w:sz w:val="20"/>
          <w:szCs w:val="20"/>
          <w:color w:val="auto"/>
        </w:rPr>
      </w:pPr>
    </w:p>
    <w:p>
      <w:pPr>
        <w:spacing w:after="0"/>
        <w:tabs>
          <w:tab w:leader="none" w:pos="76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5"/>
          <w:szCs w:val="15"/>
          <w:b w:val="1"/>
          <w:bCs w:val="1"/>
          <w:color w:val="auto"/>
        </w:rPr>
        <w:t>Unregistered Sales of Equity Securities and Use of Proceeds</w:t>
      </w:r>
    </w:p>
    <w:p>
      <w:pPr>
        <w:spacing w:after="0" w:line="81" w:lineRule="exact"/>
        <w:rPr>
          <w:sz w:val="20"/>
          <w:szCs w:val="20"/>
          <w:color w:val="auto"/>
        </w:rPr>
      </w:pPr>
    </w:p>
    <w:p>
      <w:pPr>
        <w:ind w:left="480"/>
        <w:spacing w:after="0"/>
        <w:rPr>
          <w:sz w:val="20"/>
          <w:szCs w:val="20"/>
          <w:color w:val="auto"/>
        </w:rPr>
      </w:pPr>
      <w:r>
        <w:rPr>
          <w:rFonts w:ascii="Arial" w:cs="Arial" w:eastAsia="Arial" w:hAnsi="Arial"/>
          <w:sz w:val="18"/>
          <w:szCs w:val="18"/>
          <w:color w:val="auto"/>
        </w:rPr>
        <w:t>None.</w:t>
      </w:r>
    </w:p>
    <w:p>
      <w:pPr>
        <w:spacing w:after="0" w:line="248" w:lineRule="exact"/>
        <w:rPr>
          <w:sz w:val="20"/>
          <w:szCs w:val="20"/>
          <w:color w:val="auto"/>
        </w:rPr>
      </w:pPr>
    </w:p>
    <w:p>
      <w:pPr>
        <w:spacing w:after="0"/>
        <w:tabs>
          <w:tab w:leader="none" w:pos="76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b w:val="1"/>
          <w:bCs w:val="1"/>
          <w:color w:val="auto"/>
        </w:rPr>
        <w:t>Defaults Upon Senior Securities</w:t>
      </w:r>
    </w:p>
    <w:p>
      <w:pPr>
        <w:spacing w:after="0" w:line="81" w:lineRule="exact"/>
        <w:rPr>
          <w:sz w:val="20"/>
          <w:szCs w:val="20"/>
          <w:color w:val="auto"/>
        </w:rPr>
      </w:pPr>
    </w:p>
    <w:p>
      <w:pPr>
        <w:ind w:left="480"/>
        <w:spacing w:after="0"/>
        <w:rPr>
          <w:sz w:val="20"/>
          <w:szCs w:val="20"/>
          <w:color w:val="auto"/>
        </w:rPr>
      </w:pPr>
      <w:r>
        <w:rPr>
          <w:rFonts w:ascii="Arial" w:cs="Arial" w:eastAsia="Arial" w:hAnsi="Arial"/>
          <w:sz w:val="18"/>
          <w:szCs w:val="18"/>
          <w:color w:val="auto"/>
        </w:rPr>
        <w:t>None.</w:t>
      </w:r>
    </w:p>
    <w:p>
      <w:pPr>
        <w:spacing w:after="0" w:line="235" w:lineRule="exact"/>
        <w:rPr>
          <w:sz w:val="20"/>
          <w:szCs w:val="20"/>
          <w:color w:val="auto"/>
        </w:rPr>
      </w:pPr>
    </w:p>
    <w:p>
      <w:pPr>
        <w:spacing w:after="0"/>
        <w:tabs>
          <w:tab w:leader="none" w:pos="76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5"/>
          <w:szCs w:val="15"/>
          <w:b w:val="1"/>
          <w:bCs w:val="1"/>
          <w:color w:val="auto"/>
        </w:rPr>
        <w:t>Mine Safety Disclosures</w:t>
      </w:r>
    </w:p>
    <w:p>
      <w:pPr>
        <w:spacing w:after="0" w:line="81" w:lineRule="exact"/>
        <w:rPr>
          <w:sz w:val="20"/>
          <w:szCs w:val="20"/>
          <w:color w:val="auto"/>
        </w:rPr>
      </w:pPr>
    </w:p>
    <w:p>
      <w:pPr>
        <w:ind w:left="480"/>
        <w:spacing w:after="0"/>
        <w:rPr>
          <w:sz w:val="20"/>
          <w:szCs w:val="20"/>
          <w:color w:val="auto"/>
        </w:rPr>
      </w:pPr>
      <w:r>
        <w:rPr>
          <w:rFonts w:ascii="Arial" w:cs="Arial" w:eastAsia="Arial" w:hAnsi="Arial"/>
          <w:sz w:val="18"/>
          <w:szCs w:val="18"/>
          <w:color w:val="auto"/>
        </w:rPr>
        <w:t>None.</w:t>
      </w:r>
    </w:p>
    <w:p>
      <w:pPr>
        <w:spacing w:after="0" w:line="235" w:lineRule="exact"/>
        <w:rPr>
          <w:sz w:val="20"/>
          <w:szCs w:val="20"/>
          <w:color w:val="auto"/>
        </w:rPr>
      </w:pPr>
    </w:p>
    <w:p>
      <w:pPr>
        <w:spacing w:after="0"/>
        <w:tabs>
          <w:tab w:leader="none" w:pos="76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7"/>
          <w:szCs w:val="17"/>
          <w:b w:val="1"/>
          <w:bCs w:val="1"/>
          <w:color w:val="auto"/>
        </w:rPr>
        <w:t>Other Information</w:t>
      </w:r>
    </w:p>
    <w:p>
      <w:pPr>
        <w:spacing w:after="0" w:line="81" w:lineRule="exact"/>
        <w:rPr>
          <w:sz w:val="20"/>
          <w:szCs w:val="20"/>
          <w:color w:val="auto"/>
        </w:rPr>
      </w:pPr>
    </w:p>
    <w:p>
      <w:pPr>
        <w:ind w:left="480"/>
        <w:spacing w:after="0"/>
        <w:rPr>
          <w:sz w:val="20"/>
          <w:szCs w:val="20"/>
          <w:color w:val="auto"/>
        </w:rPr>
      </w:pPr>
      <w:r>
        <w:rPr>
          <w:rFonts w:ascii="Arial" w:cs="Arial" w:eastAsia="Arial" w:hAnsi="Arial"/>
          <w:sz w:val="18"/>
          <w:szCs w:val="18"/>
          <w:color w:val="auto"/>
        </w:rPr>
        <w:t>None.</w:t>
      </w:r>
    </w:p>
    <w:p>
      <w:pPr>
        <w:spacing w:after="0" w:line="230" w:lineRule="exact"/>
        <w:rPr>
          <w:sz w:val="20"/>
          <w:szCs w:val="20"/>
          <w:color w:val="auto"/>
        </w:rPr>
      </w:pPr>
    </w:p>
    <w:p>
      <w:pPr>
        <w:jc w:val="center"/>
        <w:ind w:right="-119"/>
        <w:spacing w:after="0"/>
        <w:rPr>
          <w:sz w:val="20"/>
          <w:szCs w:val="20"/>
          <w:color w:val="auto"/>
        </w:rPr>
      </w:pPr>
      <w:r>
        <w:rPr>
          <w:rFonts w:ascii="Arial" w:cs="Arial" w:eastAsia="Arial" w:hAnsi="Arial"/>
          <w:sz w:val="16"/>
          <w:szCs w:val="16"/>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223520</wp:posOffset>
            </wp:positionV>
            <wp:extent cx="7132320" cy="171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40"/>
          </w:cols>
          <w:pgMar w:left="320" w:top="121" w:right="439" w:bottom="1440" w:gutter="0" w:footer="0" w:header="0"/>
        </w:sectPr>
      </w:pPr>
    </w:p>
    <w:bookmarkStart w:id="37" w:name="page38"/>
    <w:bookmarkEnd w:id="37"/>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40" w:type="dxa"/>
            <w:vAlign w:val="bottom"/>
          </w:tcPr>
          <w:p>
            <w:pPr>
              <w:spacing w:after="0"/>
              <w:rPr>
                <w:sz w:val="20"/>
                <w:szCs w:val="20"/>
                <w:color w:val="auto"/>
              </w:rPr>
            </w:pPr>
            <w:r>
              <w:rPr>
                <w:rFonts w:ascii="Arial" w:cs="Arial" w:eastAsia="Arial" w:hAnsi="Arial"/>
                <w:sz w:val="18"/>
                <w:szCs w:val="18"/>
                <w:b w:val="1"/>
                <w:bCs w:val="1"/>
                <w:color w:val="auto"/>
              </w:rPr>
              <w:t>Item 6.</w:t>
            </w:r>
          </w:p>
        </w:tc>
        <w:tc>
          <w:tcPr>
            <w:tcW w:w="10480" w:type="dxa"/>
            <w:vAlign w:val="bottom"/>
            <w:gridSpan w:val="13"/>
          </w:tcPr>
          <w:p>
            <w:pPr>
              <w:ind w:left="40"/>
              <w:spacing w:after="0"/>
              <w:rPr>
                <w:sz w:val="20"/>
                <w:szCs w:val="20"/>
                <w:color w:val="auto"/>
              </w:rPr>
            </w:pPr>
            <w:r>
              <w:rPr>
                <w:rFonts w:ascii="Arial" w:cs="Arial" w:eastAsia="Arial" w:hAnsi="Arial"/>
                <w:sz w:val="18"/>
                <w:szCs w:val="18"/>
                <w:b w:val="1"/>
                <w:bCs w:val="1"/>
                <w:color w:val="auto"/>
              </w:rPr>
              <w:t>Exhibits</w:t>
            </w:r>
          </w:p>
        </w:tc>
      </w:tr>
      <w:tr>
        <w:trPr>
          <w:trHeight w:val="378"/>
        </w:trPr>
        <w:tc>
          <w:tcPr>
            <w:tcW w:w="740" w:type="dxa"/>
            <w:vAlign w:val="bottom"/>
          </w:tcPr>
          <w:p>
            <w:pPr>
              <w:jc w:val="right"/>
              <w:ind w:right="330"/>
              <w:spacing w:after="0"/>
              <w:rPr>
                <w:sz w:val="20"/>
                <w:szCs w:val="20"/>
                <w:color w:val="auto"/>
              </w:rPr>
            </w:pPr>
            <w:r>
              <w:rPr>
                <w:rFonts w:ascii="Arial" w:cs="Arial" w:eastAsia="Arial" w:hAnsi="Arial"/>
                <w:sz w:val="18"/>
                <w:szCs w:val="18"/>
                <w:color w:val="auto"/>
              </w:rPr>
              <w:t>3.1</w:t>
            </w:r>
          </w:p>
        </w:tc>
        <w:tc>
          <w:tcPr>
            <w:tcW w:w="220" w:type="dxa"/>
            <w:vAlign w:val="bottom"/>
          </w:tcPr>
          <w:p>
            <w:pPr>
              <w:spacing w:after="0"/>
              <w:rPr>
                <w:sz w:val="24"/>
                <w:szCs w:val="24"/>
                <w:color w:val="auto"/>
              </w:rPr>
            </w:pPr>
          </w:p>
        </w:tc>
        <w:tc>
          <w:tcPr>
            <w:tcW w:w="10200" w:type="dxa"/>
            <w:vAlign w:val="bottom"/>
            <w:tcBorders>
              <w:bottom w:val="single" w:sz="8" w:color="0000EE"/>
            </w:tcBorders>
            <w:gridSpan w:val="10"/>
          </w:tcPr>
          <w:p>
            <w:pPr>
              <w:spacing w:after="0"/>
              <w:rPr>
                <w:rFonts w:ascii="Arial" w:cs="Arial" w:eastAsia="Arial" w:hAnsi="Arial"/>
                <w:sz w:val="18"/>
                <w:szCs w:val="18"/>
                <w:color w:val="0000EE"/>
                <w:w w:val="90"/>
              </w:rPr>
            </w:pPr>
            <w:hyperlink r:id="rId63">
              <w:r>
                <w:rPr>
                  <w:rFonts w:ascii="Arial" w:cs="Arial" w:eastAsia="Arial" w:hAnsi="Arial"/>
                  <w:sz w:val="18"/>
                  <w:szCs w:val="18"/>
                  <w:color w:val="0000EE"/>
                  <w:w w:val="90"/>
                </w:rPr>
                <w:t>Amended and Restated Certificate of Incorporation of the Company dated as of October 27, 2009 (filed on November 20, 2009 as Exhibit 3.1</w:t>
              </w:r>
            </w:hyperlink>
          </w:p>
        </w:tc>
        <w:tc>
          <w:tcPr>
            <w:tcW w:w="60" w:type="dxa"/>
            <w:vAlign w:val="bottom"/>
            <w:gridSpan w:val="2"/>
          </w:tcPr>
          <w:p>
            <w:pPr>
              <w:spacing w:after="0"/>
              <w:rPr>
                <w:sz w:val="24"/>
                <w:szCs w:val="24"/>
                <w:color w:val="auto"/>
              </w:rPr>
            </w:pPr>
          </w:p>
        </w:tc>
      </w:tr>
      <w:tr>
        <w:trPr>
          <w:trHeight w:val="196"/>
        </w:trPr>
        <w:tc>
          <w:tcPr>
            <w:tcW w:w="7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260" w:type="dxa"/>
            <w:vAlign w:val="bottom"/>
            <w:gridSpan w:val="12"/>
          </w:tcPr>
          <w:p>
            <w:pPr>
              <w:spacing w:after="0" w:line="196" w:lineRule="exact"/>
              <w:rPr>
                <w:rFonts w:ascii="Arial" w:cs="Arial" w:eastAsia="Arial" w:hAnsi="Arial"/>
                <w:sz w:val="18"/>
                <w:szCs w:val="18"/>
                <w:color w:val="0000EE"/>
              </w:rPr>
            </w:pPr>
            <w:hyperlink r:id="rId63">
              <w:r>
                <w:rPr>
                  <w:rFonts w:ascii="Arial" w:cs="Arial" w:eastAsia="Arial" w:hAnsi="Arial"/>
                  <w:sz w:val="18"/>
                  <w:szCs w:val="18"/>
                  <w:color w:val="0000EE"/>
                </w:rPr>
                <w:t>to the Company’s Quarterly Report on Form 10-Q (File No. 001-34504) and incorporated by reference herein).</w:t>
              </w:r>
            </w:hyperlink>
          </w:p>
        </w:tc>
      </w:tr>
      <w:tr>
        <w:trPr>
          <w:trHeight w:val="20"/>
        </w:trPr>
        <w:tc>
          <w:tcPr>
            <w:tcW w:w="7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860" w:type="dxa"/>
            <w:vAlign w:val="bottom"/>
            <w:shd w:val="clear" w:color="auto" w:fill="0000EE"/>
          </w:tcPr>
          <w:p>
            <w:pPr>
              <w:spacing w:after="0" w:line="20" w:lineRule="exact"/>
              <w:rPr>
                <w:sz w:val="1"/>
                <w:szCs w:val="1"/>
                <w:color w:val="auto"/>
              </w:rPr>
            </w:pPr>
          </w:p>
        </w:tc>
        <w:tc>
          <w:tcPr>
            <w:tcW w:w="1680" w:type="dxa"/>
            <w:vAlign w:val="bottom"/>
            <w:shd w:val="clear" w:color="auto" w:fill="0000EE"/>
          </w:tcPr>
          <w:p>
            <w:pPr>
              <w:spacing w:after="0" w:line="20" w:lineRule="exact"/>
              <w:rPr>
                <w:sz w:val="1"/>
                <w:szCs w:val="1"/>
                <w:color w:val="auto"/>
              </w:rPr>
            </w:pPr>
          </w:p>
        </w:tc>
        <w:tc>
          <w:tcPr>
            <w:tcW w:w="2840" w:type="dxa"/>
            <w:vAlign w:val="bottom"/>
            <w:shd w:val="clear" w:color="auto" w:fill="0000EE"/>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77"/>
        </w:trPr>
        <w:tc>
          <w:tcPr>
            <w:tcW w:w="740" w:type="dxa"/>
            <w:vAlign w:val="bottom"/>
          </w:tcPr>
          <w:p>
            <w:pPr>
              <w:jc w:val="right"/>
              <w:ind w:right="330"/>
              <w:spacing w:after="0"/>
              <w:rPr>
                <w:sz w:val="20"/>
                <w:szCs w:val="20"/>
                <w:color w:val="auto"/>
              </w:rPr>
            </w:pPr>
            <w:r>
              <w:rPr>
                <w:rFonts w:ascii="Arial" w:cs="Arial" w:eastAsia="Arial" w:hAnsi="Arial"/>
                <w:sz w:val="18"/>
                <w:szCs w:val="18"/>
                <w:color w:val="auto"/>
              </w:rPr>
              <w:t>3.2</w:t>
            </w:r>
          </w:p>
        </w:tc>
        <w:tc>
          <w:tcPr>
            <w:tcW w:w="220" w:type="dxa"/>
            <w:vAlign w:val="bottom"/>
          </w:tcPr>
          <w:p>
            <w:pPr>
              <w:spacing w:after="0"/>
              <w:rPr>
                <w:sz w:val="24"/>
                <w:szCs w:val="24"/>
                <w:color w:val="auto"/>
              </w:rPr>
            </w:pPr>
          </w:p>
        </w:tc>
        <w:tc>
          <w:tcPr>
            <w:tcW w:w="10140" w:type="dxa"/>
            <w:vAlign w:val="bottom"/>
            <w:tcBorders>
              <w:bottom w:val="single" w:sz="8" w:color="0000EE"/>
            </w:tcBorders>
            <w:gridSpan w:val="9"/>
          </w:tcPr>
          <w:p>
            <w:pPr>
              <w:spacing w:after="0"/>
              <w:rPr>
                <w:rFonts w:ascii="Arial" w:cs="Arial" w:eastAsia="Arial" w:hAnsi="Arial"/>
                <w:sz w:val="18"/>
                <w:szCs w:val="18"/>
                <w:color w:val="0000EE"/>
                <w:w w:val="90"/>
              </w:rPr>
            </w:pPr>
            <w:hyperlink r:id="rId64">
              <w:r>
                <w:rPr>
                  <w:rFonts w:ascii="Arial" w:cs="Arial" w:eastAsia="Arial" w:hAnsi="Arial"/>
                  <w:sz w:val="18"/>
                  <w:szCs w:val="18"/>
                  <w:color w:val="0000EE"/>
                  <w:w w:val="90"/>
                </w:rPr>
                <w:t>Amended and Restated Bylaws of the Company, as amended by the First Amendment to the Amended and Restated Bylaws (filed on May 9,</w:t>
              </w:r>
            </w:hyperlink>
          </w:p>
        </w:tc>
        <w:tc>
          <w:tcPr>
            <w:tcW w:w="120" w:type="dxa"/>
            <w:vAlign w:val="bottom"/>
            <w:gridSpan w:val="3"/>
          </w:tcPr>
          <w:p>
            <w:pPr>
              <w:spacing w:after="0"/>
              <w:rPr>
                <w:sz w:val="24"/>
                <w:szCs w:val="24"/>
                <w:color w:val="auto"/>
              </w:rPr>
            </w:pPr>
          </w:p>
        </w:tc>
      </w:tr>
      <w:tr>
        <w:trPr>
          <w:trHeight w:val="237"/>
        </w:trPr>
        <w:tc>
          <w:tcPr>
            <w:tcW w:w="7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260" w:type="dxa"/>
            <w:vAlign w:val="bottom"/>
            <w:gridSpan w:val="12"/>
          </w:tcPr>
          <w:p>
            <w:pPr>
              <w:spacing w:after="0"/>
              <w:rPr>
                <w:rFonts w:ascii="Arial" w:cs="Arial" w:eastAsia="Arial" w:hAnsi="Arial"/>
                <w:sz w:val="18"/>
                <w:szCs w:val="18"/>
                <w:u w:val="single" w:color="auto"/>
                <w:color w:val="0000EE"/>
                <w:w w:val="98"/>
              </w:rPr>
            </w:pPr>
            <w:hyperlink r:id="rId64">
              <w:r>
                <w:rPr>
                  <w:rFonts w:ascii="Arial" w:cs="Arial" w:eastAsia="Arial" w:hAnsi="Arial"/>
                  <w:sz w:val="18"/>
                  <w:szCs w:val="18"/>
                  <w:u w:val="single" w:color="auto"/>
                  <w:color w:val="0000EE"/>
                  <w:w w:val="98"/>
                </w:rPr>
                <w:t>2013 as Exhibit 3.2 to the Company’s Quarterly Report on Form 10-Q (File No. 001-34504) and incorporated by reference herein).</w:t>
              </w:r>
            </w:hyperlink>
          </w:p>
        </w:tc>
      </w:tr>
      <w:tr>
        <w:trPr>
          <w:trHeight w:val="256"/>
        </w:trPr>
        <w:tc>
          <w:tcPr>
            <w:tcW w:w="740" w:type="dxa"/>
            <w:vAlign w:val="bottom"/>
          </w:tcPr>
          <w:p>
            <w:pPr>
              <w:jc w:val="right"/>
              <w:ind w:right="330"/>
              <w:spacing w:after="0"/>
              <w:rPr>
                <w:sz w:val="20"/>
                <w:szCs w:val="20"/>
                <w:color w:val="auto"/>
              </w:rPr>
            </w:pPr>
            <w:r>
              <w:rPr>
                <w:rFonts w:ascii="Arial" w:cs="Arial" w:eastAsia="Arial" w:hAnsi="Arial"/>
                <w:sz w:val="18"/>
                <w:szCs w:val="18"/>
                <w:color w:val="auto"/>
              </w:rPr>
              <w:t>4.1</w:t>
            </w:r>
          </w:p>
        </w:tc>
        <w:tc>
          <w:tcPr>
            <w:tcW w:w="220" w:type="dxa"/>
            <w:vAlign w:val="bottom"/>
          </w:tcPr>
          <w:p>
            <w:pPr>
              <w:spacing w:after="0"/>
              <w:rPr>
                <w:sz w:val="22"/>
                <w:szCs w:val="22"/>
                <w:color w:val="auto"/>
              </w:rPr>
            </w:pPr>
          </w:p>
        </w:tc>
        <w:tc>
          <w:tcPr>
            <w:tcW w:w="10260" w:type="dxa"/>
            <w:vAlign w:val="bottom"/>
            <w:tcBorders>
              <w:bottom w:val="single" w:sz="8" w:color="0000EE"/>
            </w:tcBorders>
            <w:gridSpan w:val="12"/>
          </w:tcPr>
          <w:p>
            <w:pPr>
              <w:spacing w:after="0"/>
              <w:rPr>
                <w:rFonts w:ascii="Arial" w:cs="Arial" w:eastAsia="Arial" w:hAnsi="Arial"/>
                <w:sz w:val="18"/>
                <w:szCs w:val="18"/>
                <w:color w:val="0000EE"/>
                <w:w w:val="91"/>
              </w:rPr>
            </w:pPr>
            <w:hyperlink r:id="rId65">
              <w:r>
                <w:rPr>
                  <w:rFonts w:ascii="Arial" w:cs="Arial" w:eastAsia="Arial" w:hAnsi="Arial"/>
                  <w:sz w:val="18"/>
                  <w:szCs w:val="18"/>
                  <w:color w:val="0000EE"/>
                  <w:w w:val="91"/>
                </w:rPr>
                <w:t>Form of Common Stock Certificate (filed on October 2, 2009 as Exhibit 4.1 to Amendment No. 4 to the Company’s Registration Statement on</w:t>
              </w:r>
            </w:hyperlink>
          </w:p>
        </w:tc>
      </w:tr>
      <w:tr>
        <w:trPr>
          <w:trHeight w:val="196"/>
        </w:trPr>
        <w:tc>
          <w:tcPr>
            <w:tcW w:w="7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260" w:type="dxa"/>
            <w:vAlign w:val="bottom"/>
            <w:gridSpan w:val="12"/>
          </w:tcPr>
          <w:p>
            <w:pPr>
              <w:spacing w:after="0" w:line="196" w:lineRule="exact"/>
              <w:rPr>
                <w:rFonts w:ascii="Arial" w:cs="Arial" w:eastAsia="Arial" w:hAnsi="Arial"/>
                <w:sz w:val="18"/>
                <w:szCs w:val="18"/>
                <w:color w:val="0000EE"/>
              </w:rPr>
            </w:pPr>
            <w:hyperlink r:id="rId65">
              <w:r>
                <w:rPr>
                  <w:rFonts w:ascii="Arial" w:cs="Arial" w:eastAsia="Arial" w:hAnsi="Arial"/>
                  <w:sz w:val="18"/>
                  <w:szCs w:val="18"/>
                  <w:color w:val="0000EE"/>
                </w:rPr>
                <w:t>Form S-1 (File No. 333-160634) and incorporated by reference herein).</w:t>
              </w:r>
            </w:hyperlink>
          </w:p>
        </w:tc>
      </w:tr>
      <w:tr>
        <w:trPr>
          <w:trHeight w:val="20"/>
        </w:trPr>
        <w:tc>
          <w:tcPr>
            <w:tcW w:w="7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860" w:type="dxa"/>
            <w:vAlign w:val="bottom"/>
            <w:shd w:val="clear" w:color="auto" w:fill="0000EE"/>
          </w:tcPr>
          <w:p>
            <w:pPr>
              <w:spacing w:after="0" w:line="20" w:lineRule="exact"/>
              <w:rPr>
                <w:sz w:val="1"/>
                <w:szCs w:val="1"/>
                <w:color w:val="auto"/>
              </w:rPr>
            </w:pPr>
          </w:p>
        </w:tc>
        <w:tc>
          <w:tcPr>
            <w:tcW w:w="1680" w:type="dxa"/>
            <w:vAlign w:val="bottom"/>
            <w:shd w:val="clear" w:color="auto" w:fill="0000EE"/>
          </w:tcPr>
          <w:p>
            <w:pPr>
              <w:spacing w:after="0" w:line="20" w:lineRule="exact"/>
              <w:rPr>
                <w:sz w:val="1"/>
                <w:szCs w:val="1"/>
                <w:color w:val="auto"/>
              </w:rPr>
            </w:pPr>
          </w:p>
        </w:tc>
        <w:tc>
          <w:tcPr>
            <w:tcW w:w="42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77"/>
        </w:trPr>
        <w:tc>
          <w:tcPr>
            <w:tcW w:w="740" w:type="dxa"/>
            <w:vAlign w:val="bottom"/>
          </w:tcPr>
          <w:p>
            <w:pPr>
              <w:jc w:val="right"/>
              <w:ind w:right="330"/>
              <w:spacing w:after="0"/>
              <w:rPr>
                <w:sz w:val="20"/>
                <w:szCs w:val="20"/>
                <w:color w:val="auto"/>
              </w:rPr>
            </w:pPr>
            <w:r>
              <w:rPr>
                <w:rFonts w:ascii="Arial" w:cs="Arial" w:eastAsia="Arial" w:hAnsi="Arial"/>
                <w:sz w:val="18"/>
                <w:szCs w:val="18"/>
                <w:color w:val="auto"/>
                <w:w w:val="85"/>
              </w:rPr>
              <w:t>31.1</w:t>
            </w:r>
          </w:p>
        </w:tc>
        <w:tc>
          <w:tcPr>
            <w:tcW w:w="220" w:type="dxa"/>
            <w:vAlign w:val="bottom"/>
          </w:tcPr>
          <w:p>
            <w:pPr>
              <w:spacing w:after="0"/>
              <w:rPr>
                <w:sz w:val="24"/>
                <w:szCs w:val="24"/>
                <w:color w:val="auto"/>
              </w:rPr>
            </w:pPr>
          </w:p>
        </w:tc>
        <w:tc>
          <w:tcPr>
            <w:tcW w:w="10260" w:type="dxa"/>
            <w:vAlign w:val="bottom"/>
            <w:gridSpan w:val="12"/>
          </w:tcPr>
          <w:p>
            <w:pPr>
              <w:spacing w:after="0"/>
              <w:rPr>
                <w:rFonts w:ascii="Arial" w:cs="Arial" w:eastAsia="Arial" w:hAnsi="Arial"/>
                <w:sz w:val="18"/>
                <w:szCs w:val="18"/>
                <w:color w:val="0000EE"/>
                <w:w w:val="99"/>
              </w:rPr>
            </w:pPr>
            <w:hyperlink w:anchor="page40">
              <w:r>
                <w:rPr>
                  <w:rFonts w:ascii="Arial" w:cs="Arial" w:eastAsia="Arial" w:hAnsi="Arial"/>
                  <w:sz w:val="18"/>
                  <w:szCs w:val="18"/>
                  <w:color w:val="0000EE"/>
                  <w:w w:val="99"/>
                </w:rPr>
                <w:t>Certification of Chief Executive Officer Pursuant to Rule 13a-14(a) of the Securities Exchange Act of 1934 as Adopted Pursuant to</w:t>
              </w:r>
            </w:hyperlink>
          </w:p>
        </w:tc>
      </w:tr>
      <w:tr>
        <w:trPr>
          <w:trHeight w:val="196"/>
        </w:trPr>
        <w:tc>
          <w:tcPr>
            <w:tcW w:w="7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460" w:type="dxa"/>
            <w:vAlign w:val="bottom"/>
            <w:tcBorders>
              <w:top w:val="single" w:sz="8" w:color="0000EE"/>
              <w:bottom w:val="single" w:sz="8" w:color="0000EE"/>
            </w:tcBorders>
            <w:gridSpan w:val="3"/>
          </w:tcPr>
          <w:p>
            <w:pPr>
              <w:spacing w:after="0" w:line="196" w:lineRule="exact"/>
              <w:rPr>
                <w:rFonts w:ascii="Arial" w:cs="Arial" w:eastAsia="Arial" w:hAnsi="Arial"/>
                <w:sz w:val="18"/>
                <w:szCs w:val="18"/>
                <w:color w:val="0000EE"/>
                <w:w w:val="90"/>
              </w:rPr>
            </w:pPr>
            <w:hyperlink w:anchor="page40">
              <w:r>
                <w:rPr>
                  <w:rFonts w:ascii="Arial" w:cs="Arial" w:eastAsia="Arial" w:hAnsi="Arial"/>
                  <w:sz w:val="18"/>
                  <w:szCs w:val="18"/>
                  <w:color w:val="0000EE"/>
                  <w:w w:val="90"/>
                </w:rPr>
                <w:t>Section 302 of the Sarbanes-Oxley Act of 2002.</w:t>
              </w:r>
            </w:hyperlink>
          </w:p>
        </w:tc>
        <w:tc>
          <w:tcPr>
            <w:tcW w:w="5980" w:type="dxa"/>
            <w:vAlign w:val="bottom"/>
            <w:tcBorders>
              <w:top w:val="single" w:sz="8" w:color="0000EE"/>
            </w:tcBorders>
            <w:gridSpan w:val="4"/>
          </w:tcPr>
          <w:p>
            <w:pPr>
              <w:spacing w:after="0"/>
              <w:rPr>
                <w:sz w:val="17"/>
                <w:szCs w:val="17"/>
                <w:color w:val="auto"/>
              </w:rPr>
            </w:pPr>
          </w:p>
        </w:tc>
        <w:tc>
          <w:tcPr>
            <w:tcW w:w="820" w:type="dxa"/>
            <w:vAlign w:val="bottom"/>
            <w:gridSpan w:val="5"/>
          </w:tcPr>
          <w:p>
            <w:pPr>
              <w:spacing w:after="0"/>
              <w:rPr>
                <w:sz w:val="17"/>
                <w:szCs w:val="17"/>
                <w:color w:val="auto"/>
              </w:rPr>
            </w:pPr>
          </w:p>
        </w:tc>
      </w:tr>
      <w:tr>
        <w:trPr>
          <w:trHeight w:val="277"/>
        </w:trPr>
        <w:tc>
          <w:tcPr>
            <w:tcW w:w="740" w:type="dxa"/>
            <w:vAlign w:val="bottom"/>
          </w:tcPr>
          <w:p>
            <w:pPr>
              <w:jc w:val="right"/>
              <w:ind w:right="330"/>
              <w:spacing w:after="0"/>
              <w:rPr>
                <w:sz w:val="20"/>
                <w:szCs w:val="20"/>
                <w:color w:val="auto"/>
              </w:rPr>
            </w:pPr>
            <w:r>
              <w:rPr>
                <w:rFonts w:ascii="Arial" w:cs="Arial" w:eastAsia="Arial" w:hAnsi="Arial"/>
                <w:sz w:val="18"/>
                <w:szCs w:val="18"/>
                <w:color w:val="auto"/>
                <w:w w:val="85"/>
              </w:rPr>
              <w:t>31.2</w:t>
            </w:r>
          </w:p>
        </w:tc>
        <w:tc>
          <w:tcPr>
            <w:tcW w:w="220" w:type="dxa"/>
            <w:vAlign w:val="bottom"/>
          </w:tcPr>
          <w:p>
            <w:pPr>
              <w:spacing w:after="0"/>
              <w:rPr>
                <w:sz w:val="24"/>
                <w:szCs w:val="24"/>
                <w:color w:val="auto"/>
              </w:rPr>
            </w:pPr>
          </w:p>
        </w:tc>
        <w:tc>
          <w:tcPr>
            <w:tcW w:w="9400" w:type="dxa"/>
            <w:vAlign w:val="bottom"/>
            <w:tcBorders>
              <w:bottom w:val="single" w:sz="8" w:color="0000EE"/>
            </w:tcBorders>
            <w:gridSpan w:val="6"/>
          </w:tcPr>
          <w:p>
            <w:pPr>
              <w:spacing w:after="0"/>
              <w:rPr>
                <w:rFonts w:ascii="Arial" w:cs="Arial" w:eastAsia="Arial" w:hAnsi="Arial"/>
                <w:sz w:val="18"/>
                <w:szCs w:val="18"/>
                <w:color w:val="0000EE"/>
                <w:w w:val="91"/>
              </w:rPr>
            </w:pPr>
            <w:hyperlink w:anchor="page41">
              <w:r>
                <w:rPr>
                  <w:rFonts w:ascii="Arial" w:cs="Arial" w:eastAsia="Arial" w:hAnsi="Arial"/>
                  <w:sz w:val="18"/>
                  <w:szCs w:val="18"/>
                  <w:color w:val="0000EE"/>
                  <w:w w:val="91"/>
                </w:rPr>
                <w:t>Certification of Chief Financial Officer Pursuant to Rule 13a-14(a) of the Securities Exchange Act of 1934 as Adopted Pursuant to</w:t>
              </w:r>
            </w:hyperlink>
          </w:p>
        </w:tc>
        <w:tc>
          <w:tcPr>
            <w:tcW w:w="860" w:type="dxa"/>
            <w:vAlign w:val="bottom"/>
            <w:gridSpan w:val="6"/>
          </w:tcPr>
          <w:p>
            <w:pPr>
              <w:spacing w:after="0"/>
              <w:rPr>
                <w:sz w:val="24"/>
                <w:szCs w:val="24"/>
                <w:color w:val="auto"/>
              </w:rPr>
            </w:pPr>
          </w:p>
        </w:tc>
      </w:tr>
      <w:tr>
        <w:trPr>
          <w:trHeight w:val="196"/>
        </w:trPr>
        <w:tc>
          <w:tcPr>
            <w:tcW w:w="7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460" w:type="dxa"/>
            <w:vAlign w:val="bottom"/>
            <w:tcBorders>
              <w:bottom w:val="single" w:sz="8" w:color="0000EE"/>
            </w:tcBorders>
            <w:gridSpan w:val="3"/>
          </w:tcPr>
          <w:p>
            <w:pPr>
              <w:spacing w:after="0" w:line="196" w:lineRule="exact"/>
              <w:rPr>
                <w:rFonts w:ascii="Arial" w:cs="Arial" w:eastAsia="Arial" w:hAnsi="Arial"/>
                <w:sz w:val="18"/>
                <w:szCs w:val="18"/>
                <w:color w:val="0000EE"/>
                <w:w w:val="90"/>
              </w:rPr>
            </w:pPr>
            <w:hyperlink w:anchor="page41">
              <w:r>
                <w:rPr>
                  <w:rFonts w:ascii="Arial" w:cs="Arial" w:eastAsia="Arial" w:hAnsi="Arial"/>
                  <w:sz w:val="18"/>
                  <w:szCs w:val="18"/>
                  <w:color w:val="0000EE"/>
                  <w:w w:val="90"/>
                </w:rPr>
                <w:t>Section 302 of the Sarbanes-Oxley Act of 2002.</w:t>
              </w:r>
            </w:hyperlink>
          </w:p>
        </w:tc>
        <w:tc>
          <w:tcPr>
            <w:tcW w:w="6800" w:type="dxa"/>
            <w:vAlign w:val="bottom"/>
            <w:gridSpan w:val="9"/>
          </w:tcPr>
          <w:p>
            <w:pPr>
              <w:spacing w:after="0"/>
              <w:rPr>
                <w:sz w:val="17"/>
                <w:szCs w:val="17"/>
                <w:color w:val="auto"/>
              </w:rPr>
            </w:pPr>
          </w:p>
        </w:tc>
      </w:tr>
      <w:tr>
        <w:trPr>
          <w:trHeight w:val="277"/>
        </w:trPr>
        <w:tc>
          <w:tcPr>
            <w:tcW w:w="740" w:type="dxa"/>
            <w:vAlign w:val="bottom"/>
          </w:tcPr>
          <w:p>
            <w:pPr>
              <w:jc w:val="right"/>
              <w:ind w:right="330"/>
              <w:spacing w:after="0"/>
              <w:rPr>
                <w:sz w:val="20"/>
                <w:szCs w:val="20"/>
                <w:color w:val="auto"/>
              </w:rPr>
            </w:pPr>
            <w:r>
              <w:rPr>
                <w:rFonts w:ascii="Arial" w:cs="Arial" w:eastAsia="Arial" w:hAnsi="Arial"/>
                <w:sz w:val="18"/>
                <w:szCs w:val="18"/>
                <w:color w:val="auto"/>
                <w:w w:val="85"/>
              </w:rPr>
              <w:t>32.1</w:t>
            </w:r>
          </w:p>
        </w:tc>
        <w:tc>
          <w:tcPr>
            <w:tcW w:w="220" w:type="dxa"/>
            <w:vAlign w:val="bottom"/>
          </w:tcPr>
          <w:p>
            <w:pPr>
              <w:spacing w:after="0"/>
              <w:rPr>
                <w:sz w:val="24"/>
                <w:szCs w:val="24"/>
                <w:color w:val="auto"/>
              </w:rPr>
            </w:pPr>
          </w:p>
        </w:tc>
        <w:tc>
          <w:tcPr>
            <w:tcW w:w="10100" w:type="dxa"/>
            <w:vAlign w:val="bottom"/>
            <w:tcBorders>
              <w:bottom w:val="single" w:sz="8" w:color="0000EE"/>
            </w:tcBorders>
            <w:gridSpan w:val="8"/>
          </w:tcPr>
          <w:p>
            <w:pPr>
              <w:spacing w:after="0"/>
              <w:rPr>
                <w:rFonts w:ascii="Arial" w:cs="Arial" w:eastAsia="Arial" w:hAnsi="Arial"/>
                <w:sz w:val="18"/>
                <w:szCs w:val="18"/>
                <w:color w:val="0000EE"/>
                <w:w w:val="91"/>
              </w:rPr>
            </w:pPr>
            <w:hyperlink w:anchor="page42">
              <w:r>
                <w:rPr>
                  <w:rFonts w:ascii="Arial" w:cs="Arial" w:eastAsia="Arial" w:hAnsi="Arial"/>
                  <w:sz w:val="18"/>
                  <w:szCs w:val="18"/>
                  <w:color w:val="0000EE"/>
                  <w:w w:val="91"/>
                </w:rPr>
                <w:t>Certification of Chief Executive Officer Pursuant to 18 U.S.C. Section 1350, as Adopted Pursuant to Section 906 of the Sarbanes-Oxley Act</w:t>
              </w:r>
            </w:hyperlink>
          </w:p>
        </w:tc>
        <w:tc>
          <w:tcPr>
            <w:tcW w:w="160" w:type="dxa"/>
            <w:vAlign w:val="bottom"/>
            <w:gridSpan w:val="4"/>
          </w:tcPr>
          <w:p>
            <w:pPr>
              <w:spacing w:after="0"/>
              <w:rPr>
                <w:sz w:val="24"/>
                <w:szCs w:val="24"/>
                <w:color w:val="auto"/>
              </w:rPr>
            </w:pPr>
          </w:p>
        </w:tc>
      </w:tr>
      <w:tr>
        <w:trPr>
          <w:trHeight w:val="196"/>
        </w:trPr>
        <w:tc>
          <w:tcPr>
            <w:tcW w:w="7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00" w:type="dxa"/>
            <w:vAlign w:val="bottom"/>
            <w:tcBorders>
              <w:bottom w:val="single" w:sz="8" w:color="0000EE"/>
            </w:tcBorders>
            <w:gridSpan w:val="2"/>
          </w:tcPr>
          <w:p>
            <w:pPr>
              <w:spacing w:after="0" w:line="196" w:lineRule="exact"/>
              <w:rPr>
                <w:rFonts w:ascii="Arial" w:cs="Arial" w:eastAsia="Arial" w:hAnsi="Arial"/>
                <w:sz w:val="18"/>
                <w:szCs w:val="18"/>
                <w:color w:val="0000EE"/>
                <w:w w:val="89"/>
              </w:rPr>
            </w:pPr>
            <w:hyperlink w:anchor="page42">
              <w:r>
                <w:rPr>
                  <w:rFonts w:ascii="Arial" w:cs="Arial" w:eastAsia="Arial" w:hAnsi="Arial"/>
                  <w:sz w:val="18"/>
                  <w:szCs w:val="18"/>
                  <w:color w:val="0000EE"/>
                  <w:w w:val="89"/>
                </w:rPr>
                <w:t>of 2002.</w:t>
              </w:r>
            </w:hyperlink>
          </w:p>
        </w:tc>
        <w:tc>
          <w:tcPr>
            <w:tcW w:w="9660" w:type="dxa"/>
            <w:vAlign w:val="bottom"/>
            <w:gridSpan w:val="10"/>
          </w:tcPr>
          <w:p>
            <w:pPr>
              <w:spacing w:after="0"/>
              <w:rPr>
                <w:sz w:val="17"/>
                <w:szCs w:val="17"/>
                <w:color w:val="auto"/>
              </w:rPr>
            </w:pPr>
          </w:p>
        </w:tc>
      </w:tr>
      <w:tr>
        <w:trPr>
          <w:trHeight w:val="318"/>
        </w:trPr>
        <w:tc>
          <w:tcPr>
            <w:tcW w:w="740" w:type="dxa"/>
            <w:vAlign w:val="bottom"/>
          </w:tcPr>
          <w:p>
            <w:pPr>
              <w:jc w:val="right"/>
              <w:ind w:right="330"/>
              <w:spacing w:after="0"/>
              <w:rPr>
                <w:sz w:val="20"/>
                <w:szCs w:val="20"/>
                <w:color w:val="auto"/>
              </w:rPr>
            </w:pPr>
            <w:r>
              <w:rPr>
                <w:rFonts w:ascii="Arial" w:cs="Arial" w:eastAsia="Arial" w:hAnsi="Arial"/>
                <w:sz w:val="18"/>
                <w:szCs w:val="18"/>
                <w:color w:val="auto"/>
                <w:w w:val="85"/>
              </w:rPr>
              <w:t>32.2</w:t>
            </w:r>
          </w:p>
        </w:tc>
        <w:tc>
          <w:tcPr>
            <w:tcW w:w="220" w:type="dxa"/>
            <w:vAlign w:val="bottom"/>
          </w:tcPr>
          <w:p>
            <w:pPr>
              <w:spacing w:after="0"/>
              <w:rPr>
                <w:sz w:val="24"/>
                <w:szCs w:val="24"/>
                <w:color w:val="auto"/>
              </w:rPr>
            </w:pPr>
          </w:p>
        </w:tc>
        <w:tc>
          <w:tcPr>
            <w:tcW w:w="10240" w:type="dxa"/>
            <w:vAlign w:val="bottom"/>
            <w:tcBorders>
              <w:bottom w:val="single" w:sz="8" w:color="0000EE"/>
            </w:tcBorders>
            <w:gridSpan w:val="11"/>
          </w:tcPr>
          <w:p>
            <w:pPr>
              <w:spacing w:after="0"/>
              <w:rPr>
                <w:rFonts w:ascii="Arial" w:cs="Arial" w:eastAsia="Arial" w:hAnsi="Arial"/>
                <w:sz w:val="18"/>
                <w:szCs w:val="18"/>
                <w:color w:val="0000EE"/>
                <w:w w:val="91"/>
              </w:rPr>
            </w:pPr>
            <w:hyperlink w:anchor="page43">
              <w:r>
                <w:rPr>
                  <w:rFonts w:ascii="Arial" w:cs="Arial" w:eastAsia="Arial" w:hAnsi="Arial"/>
                  <w:sz w:val="18"/>
                  <w:szCs w:val="18"/>
                  <w:color w:val="0000EE"/>
                  <w:w w:val="91"/>
                </w:rPr>
                <w:t>Certification of Chief Financial Officer Pursuant to 18 U.S.C. Section 1350, as Adopted Pursuant to Section 906 of the Sarbanes-Oxley Act of</w:t>
              </w:r>
            </w:hyperlink>
          </w:p>
        </w:tc>
        <w:tc>
          <w:tcPr>
            <w:tcW w:w="20" w:type="dxa"/>
            <w:vAlign w:val="bottom"/>
          </w:tcPr>
          <w:p>
            <w:pPr>
              <w:spacing w:after="0"/>
              <w:rPr>
                <w:sz w:val="24"/>
                <w:szCs w:val="24"/>
                <w:color w:val="auto"/>
              </w:rPr>
            </w:pPr>
          </w:p>
        </w:tc>
      </w:tr>
      <w:tr>
        <w:trPr>
          <w:trHeight w:val="196"/>
        </w:trPr>
        <w:tc>
          <w:tcPr>
            <w:tcW w:w="740" w:type="dxa"/>
            <w:vAlign w:val="bottom"/>
          </w:tcPr>
          <w:p>
            <w:pPr>
              <w:spacing w:after="0"/>
              <w:rPr>
                <w:sz w:val="17"/>
                <w:szCs w:val="17"/>
                <w:color w:val="auto"/>
              </w:rPr>
            </w:pPr>
          </w:p>
        </w:tc>
        <w:tc>
          <w:tcPr>
            <w:tcW w:w="620" w:type="dxa"/>
            <w:vAlign w:val="bottom"/>
            <w:gridSpan w:val="2"/>
          </w:tcPr>
          <w:p>
            <w:pPr>
              <w:ind w:left="220"/>
              <w:spacing w:after="0" w:line="196" w:lineRule="exact"/>
              <w:rPr>
                <w:rFonts w:ascii="Arial" w:cs="Arial" w:eastAsia="Arial" w:hAnsi="Arial"/>
                <w:sz w:val="18"/>
                <w:szCs w:val="18"/>
                <w:color w:val="0000EE"/>
                <w:w w:val="84"/>
              </w:rPr>
            </w:pPr>
            <w:hyperlink w:anchor="page43">
              <w:r>
                <w:rPr>
                  <w:rFonts w:ascii="Arial" w:cs="Arial" w:eastAsia="Arial" w:hAnsi="Arial"/>
                  <w:sz w:val="18"/>
                  <w:szCs w:val="18"/>
                  <w:color w:val="0000EE"/>
                  <w:w w:val="84"/>
                </w:rPr>
                <w:t>2002.</w:t>
              </w:r>
            </w:hyperlink>
          </w:p>
        </w:tc>
        <w:tc>
          <w:tcPr>
            <w:tcW w:w="200" w:type="dxa"/>
            <w:vAlign w:val="bottom"/>
          </w:tcPr>
          <w:p>
            <w:pPr>
              <w:spacing w:after="0"/>
              <w:rPr>
                <w:sz w:val="17"/>
                <w:szCs w:val="17"/>
                <w:color w:val="auto"/>
              </w:rPr>
            </w:pPr>
          </w:p>
        </w:tc>
        <w:tc>
          <w:tcPr>
            <w:tcW w:w="286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284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0"/>
        </w:trPr>
        <w:tc>
          <w:tcPr>
            <w:tcW w:w="7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9860" w:type="dxa"/>
            <w:vAlign w:val="bottom"/>
            <w:gridSpan w:val="11"/>
          </w:tcPr>
          <w:p>
            <w:pPr>
              <w:spacing w:after="0" w:line="20" w:lineRule="exact"/>
              <w:rPr>
                <w:sz w:val="1"/>
                <w:szCs w:val="1"/>
                <w:color w:val="auto"/>
              </w:rPr>
            </w:pPr>
          </w:p>
        </w:tc>
      </w:tr>
      <w:tr>
        <w:trPr>
          <w:trHeight w:val="303"/>
        </w:trPr>
        <w:tc>
          <w:tcPr>
            <w:tcW w:w="740" w:type="dxa"/>
            <w:vAlign w:val="bottom"/>
          </w:tcPr>
          <w:p>
            <w:pPr>
              <w:spacing w:after="0"/>
              <w:rPr>
                <w:sz w:val="20"/>
                <w:szCs w:val="20"/>
                <w:color w:val="auto"/>
              </w:rPr>
            </w:pPr>
            <w:r>
              <w:rPr>
                <w:rFonts w:ascii="Arial" w:cs="Arial" w:eastAsia="Arial" w:hAnsi="Arial"/>
                <w:sz w:val="18"/>
                <w:szCs w:val="18"/>
                <w:color w:val="auto"/>
              </w:rPr>
              <w:t>101.INS</w:t>
            </w:r>
          </w:p>
        </w:tc>
        <w:tc>
          <w:tcPr>
            <w:tcW w:w="220" w:type="dxa"/>
            <w:vAlign w:val="bottom"/>
          </w:tcPr>
          <w:p>
            <w:pPr>
              <w:spacing w:after="0"/>
              <w:rPr>
                <w:sz w:val="24"/>
                <w:szCs w:val="24"/>
                <w:color w:val="auto"/>
              </w:rPr>
            </w:pPr>
          </w:p>
        </w:tc>
        <w:tc>
          <w:tcPr>
            <w:tcW w:w="10260" w:type="dxa"/>
            <w:vAlign w:val="bottom"/>
            <w:gridSpan w:val="12"/>
          </w:tcPr>
          <w:p>
            <w:pPr>
              <w:spacing w:after="0"/>
              <w:rPr>
                <w:sz w:val="20"/>
                <w:szCs w:val="20"/>
                <w:color w:val="auto"/>
              </w:rPr>
            </w:pPr>
            <w:r>
              <w:rPr>
                <w:rFonts w:ascii="Arial" w:cs="Arial" w:eastAsia="Arial" w:hAnsi="Arial"/>
                <w:sz w:val="18"/>
                <w:szCs w:val="18"/>
                <w:color w:val="auto"/>
                <w:w w:val="92"/>
              </w:rPr>
              <w:t>Inline XBRL Instance Document (the instance document does not appear in the Interactive Data File because its XBRL tags are embedded</w:t>
            </w:r>
          </w:p>
        </w:tc>
      </w:tr>
      <w:tr>
        <w:trPr>
          <w:trHeight w:val="230"/>
        </w:trPr>
        <w:tc>
          <w:tcPr>
            <w:tcW w:w="7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260" w:type="dxa"/>
            <w:vAlign w:val="bottom"/>
            <w:gridSpan w:val="12"/>
          </w:tcPr>
          <w:p>
            <w:pPr>
              <w:spacing w:after="0"/>
              <w:rPr>
                <w:sz w:val="20"/>
                <w:szCs w:val="20"/>
                <w:color w:val="auto"/>
              </w:rPr>
            </w:pPr>
            <w:r>
              <w:rPr>
                <w:rFonts w:ascii="Arial" w:cs="Arial" w:eastAsia="Arial" w:hAnsi="Arial"/>
                <w:sz w:val="18"/>
                <w:szCs w:val="18"/>
                <w:color w:val="auto"/>
              </w:rPr>
              <w:t>within the Inline XBRL document).</w:t>
            </w:r>
          </w:p>
        </w:tc>
      </w:tr>
      <w:tr>
        <w:trPr>
          <w:trHeight w:val="297"/>
        </w:trPr>
        <w:tc>
          <w:tcPr>
            <w:tcW w:w="740" w:type="dxa"/>
            <w:vAlign w:val="bottom"/>
          </w:tcPr>
          <w:p>
            <w:pPr>
              <w:spacing w:after="0"/>
              <w:rPr>
                <w:sz w:val="20"/>
                <w:szCs w:val="20"/>
                <w:color w:val="auto"/>
              </w:rPr>
            </w:pPr>
            <w:r>
              <w:rPr>
                <w:rFonts w:ascii="Arial" w:cs="Arial" w:eastAsia="Arial" w:hAnsi="Arial"/>
                <w:sz w:val="18"/>
                <w:szCs w:val="18"/>
                <w:color w:val="auto"/>
                <w:w w:val="98"/>
              </w:rPr>
              <w:t>101.SCH</w:t>
            </w:r>
          </w:p>
        </w:tc>
        <w:tc>
          <w:tcPr>
            <w:tcW w:w="220" w:type="dxa"/>
            <w:vAlign w:val="bottom"/>
          </w:tcPr>
          <w:p>
            <w:pPr>
              <w:spacing w:after="0"/>
              <w:rPr>
                <w:sz w:val="24"/>
                <w:szCs w:val="24"/>
                <w:color w:val="auto"/>
              </w:rPr>
            </w:pPr>
          </w:p>
        </w:tc>
        <w:tc>
          <w:tcPr>
            <w:tcW w:w="10260" w:type="dxa"/>
            <w:vAlign w:val="bottom"/>
            <w:gridSpan w:val="12"/>
          </w:tcPr>
          <w:p>
            <w:pPr>
              <w:spacing w:after="0"/>
              <w:rPr>
                <w:sz w:val="20"/>
                <w:szCs w:val="20"/>
                <w:color w:val="auto"/>
              </w:rPr>
            </w:pPr>
            <w:r>
              <w:rPr>
                <w:rFonts w:ascii="Arial" w:cs="Arial" w:eastAsia="Arial" w:hAnsi="Arial"/>
                <w:sz w:val="18"/>
                <w:szCs w:val="18"/>
                <w:color w:val="auto"/>
              </w:rPr>
              <w:t>Inline XBRL Taxonomy Extension Schema Document.</w:t>
            </w:r>
          </w:p>
        </w:tc>
      </w:tr>
      <w:tr>
        <w:trPr>
          <w:trHeight w:val="297"/>
        </w:trPr>
        <w:tc>
          <w:tcPr>
            <w:tcW w:w="740" w:type="dxa"/>
            <w:vAlign w:val="bottom"/>
          </w:tcPr>
          <w:p>
            <w:pPr>
              <w:spacing w:after="0"/>
              <w:rPr>
                <w:sz w:val="20"/>
                <w:szCs w:val="20"/>
                <w:color w:val="auto"/>
              </w:rPr>
            </w:pPr>
            <w:r>
              <w:rPr>
                <w:rFonts w:ascii="Arial" w:cs="Arial" w:eastAsia="Arial" w:hAnsi="Arial"/>
                <w:sz w:val="18"/>
                <w:szCs w:val="18"/>
                <w:color w:val="auto"/>
              </w:rPr>
              <w:t>101.CAL</w:t>
            </w:r>
          </w:p>
        </w:tc>
        <w:tc>
          <w:tcPr>
            <w:tcW w:w="220" w:type="dxa"/>
            <w:vAlign w:val="bottom"/>
          </w:tcPr>
          <w:p>
            <w:pPr>
              <w:spacing w:after="0"/>
              <w:rPr>
                <w:sz w:val="24"/>
                <w:szCs w:val="24"/>
                <w:color w:val="auto"/>
              </w:rPr>
            </w:pPr>
          </w:p>
        </w:tc>
        <w:tc>
          <w:tcPr>
            <w:tcW w:w="10260" w:type="dxa"/>
            <w:vAlign w:val="bottom"/>
            <w:gridSpan w:val="12"/>
          </w:tcPr>
          <w:p>
            <w:pPr>
              <w:spacing w:after="0"/>
              <w:rPr>
                <w:sz w:val="20"/>
                <w:szCs w:val="20"/>
                <w:color w:val="auto"/>
              </w:rPr>
            </w:pPr>
            <w:r>
              <w:rPr>
                <w:rFonts w:ascii="Arial" w:cs="Arial" w:eastAsia="Arial" w:hAnsi="Arial"/>
                <w:sz w:val="18"/>
                <w:szCs w:val="18"/>
                <w:color w:val="auto"/>
              </w:rPr>
              <w:t>Inline XBRL Taxonomy Calculation Linkbase Document.</w:t>
            </w:r>
          </w:p>
        </w:tc>
      </w:tr>
      <w:tr>
        <w:trPr>
          <w:trHeight w:val="297"/>
        </w:trPr>
        <w:tc>
          <w:tcPr>
            <w:tcW w:w="740" w:type="dxa"/>
            <w:vAlign w:val="bottom"/>
          </w:tcPr>
          <w:p>
            <w:pPr>
              <w:spacing w:after="0"/>
              <w:rPr>
                <w:sz w:val="20"/>
                <w:szCs w:val="20"/>
                <w:color w:val="auto"/>
              </w:rPr>
            </w:pPr>
            <w:r>
              <w:rPr>
                <w:rFonts w:ascii="Arial" w:cs="Arial" w:eastAsia="Arial" w:hAnsi="Arial"/>
                <w:sz w:val="18"/>
                <w:szCs w:val="18"/>
                <w:color w:val="auto"/>
              </w:rPr>
              <w:t>101.LAB</w:t>
            </w:r>
          </w:p>
        </w:tc>
        <w:tc>
          <w:tcPr>
            <w:tcW w:w="220" w:type="dxa"/>
            <w:vAlign w:val="bottom"/>
          </w:tcPr>
          <w:p>
            <w:pPr>
              <w:spacing w:after="0"/>
              <w:rPr>
                <w:sz w:val="24"/>
                <w:szCs w:val="24"/>
                <w:color w:val="auto"/>
              </w:rPr>
            </w:pPr>
          </w:p>
        </w:tc>
        <w:tc>
          <w:tcPr>
            <w:tcW w:w="10260" w:type="dxa"/>
            <w:vAlign w:val="bottom"/>
            <w:gridSpan w:val="12"/>
          </w:tcPr>
          <w:p>
            <w:pPr>
              <w:spacing w:after="0"/>
              <w:rPr>
                <w:sz w:val="20"/>
                <w:szCs w:val="20"/>
                <w:color w:val="auto"/>
              </w:rPr>
            </w:pPr>
            <w:r>
              <w:rPr>
                <w:rFonts w:ascii="Arial" w:cs="Arial" w:eastAsia="Arial" w:hAnsi="Arial"/>
                <w:sz w:val="18"/>
                <w:szCs w:val="18"/>
                <w:color w:val="auto"/>
              </w:rPr>
              <w:t>Inline XBRL Taxonomy Label Linkbase Document.</w:t>
            </w:r>
          </w:p>
        </w:tc>
      </w:tr>
      <w:tr>
        <w:trPr>
          <w:trHeight w:val="297"/>
        </w:trPr>
        <w:tc>
          <w:tcPr>
            <w:tcW w:w="740" w:type="dxa"/>
            <w:vAlign w:val="bottom"/>
          </w:tcPr>
          <w:p>
            <w:pPr>
              <w:spacing w:after="0"/>
              <w:rPr>
                <w:sz w:val="20"/>
                <w:szCs w:val="20"/>
                <w:color w:val="auto"/>
              </w:rPr>
            </w:pPr>
            <w:r>
              <w:rPr>
                <w:rFonts w:ascii="Arial" w:cs="Arial" w:eastAsia="Arial" w:hAnsi="Arial"/>
                <w:sz w:val="18"/>
                <w:szCs w:val="18"/>
                <w:color w:val="auto"/>
                <w:w w:val="99"/>
              </w:rPr>
              <w:t>101.PRE</w:t>
            </w:r>
          </w:p>
        </w:tc>
        <w:tc>
          <w:tcPr>
            <w:tcW w:w="220" w:type="dxa"/>
            <w:vAlign w:val="bottom"/>
          </w:tcPr>
          <w:p>
            <w:pPr>
              <w:spacing w:after="0"/>
              <w:rPr>
                <w:sz w:val="24"/>
                <w:szCs w:val="24"/>
                <w:color w:val="auto"/>
              </w:rPr>
            </w:pPr>
          </w:p>
        </w:tc>
        <w:tc>
          <w:tcPr>
            <w:tcW w:w="10260" w:type="dxa"/>
            <w:vAlign w:val="bottom"/>
            <w:gridSpan w:val="12"/>
          </w:tcPr>
          <w:p>
            <w:pPr>
              <w:spacing w:after="0"/>
              <w:rPr>
                <w:sz w:val="20"/>
                <w:szCs w:val="20"/>
                <w:color w:val="auto"/>
              </w:rPr>
            </w:pPr>
            <w:r>
              <w:rPr>
                <w:rFonts w:ascii="Arial" w:cs="Arial" w:eastAsia="Arial" w:hAnsi="Arial"/>
                <w:sz w:val="18"/>
                <w:szCs w:val="18"/>
                <w:color w:val="auto"/>
              </w:rPr>
              <w:t>Inline XBRL Presentation Linkbase Document.</w:t>
            </w:r>
          </w:p>
        </w:tc>
      </w:tr>
      <w:tr>
        <w:trPr>
          <w:trHeight w:val="297"/>
        </w:trPr>
        <w:tc>
          <w:tcPr>
            <w:tcW w:w="740" w:type="dxa"/>
            <w:vAlign w:val="bottom"/>
          </w:tcPr>
          <w:p>
            <w:pPr>
              <w:spacing w:after="0"/>
              <w:rPr>
                <w:sz w:val="20"/>
                <w:szCs w:val="20"/>
                <w:color w:val="auto"/>
              </w:rPr>
            </w:pPr>
            <w:r>
              <w:rPr>
                <w:rFonts w:ascii="Arial" w:cs="Arial" w:eastAsia="Arial" w:hAnsi="Arial"/>
                <w:sz w:val="18"/>
                <w:szCs w:val="18"/>
                <w:color w:val="auto"/>
              </w:rPr>
              <w:t>101.DEF</w:t>
            </w:r>
          </w:p>
        </w:tc>
        <w:tc>
          <w:tcPr>
            <w:tcW w:w="220" w:type="dxa"/>
            <w:vAlign w:val="bottom"/>
          </w:tcPr>
          <w:p>
            <w:pPr>
              <w:spacing w:after="0"/>
              <w:rPr>
                <w:sz w:val="24"/>
                <w:szCs w:val="24"/>
                <w:color w:val="auto"/>
              </w:rPr>
            </w:pPr>
          </w:p>
        </w:tc>
        <w:tc>
          <w:tcPr>
            <w:tcW w:w="10260" w:type="dxa"/>
            <w:vAlign w:val="bottom"/>
            <w:gridSpan w:val="12"/>
          </w:tcPr>
          <w:p>
            <w:pPr>
              <w:spacing w:after="0"/>
              <w:rPr>
                <w:sz w:val="20"/>
                <w:szCs w:val="20"/>
                <w:color w:val="auto"/>
              </w:rPr>
            </w:pPr>
            <w:r>
              <w:rPr>
                <w:rFonts w:ascii="Arial" w:cs="Arial" w:eastAsia="Arial" w:hAnsi="Arial"/>
                <w:sz w:val="18"/>
                <w:szCs w:val="18"/>
                <w:color w:val="auto"/>
              </w:rPr>
              <w:t>Inline XBRL Taxonomy Extension Definition Linkbase Document.</w:t>
            </w:r>
          </w:p>
        </w:tc>
      </w:tr>
    </w:tbl>
    <w:p>
      <w:pPr>
        <w:spacing w:after="0" w:line="67" w:lineRule="exact"/>
        <w:rPr>
          <w:sz w:val="20"/>
          <w:szCs w:val="20"/>
          <w:color w:val="auto"/>
        </w:rPr>
      </w:pPr>
    </w:p>
    <w:p>
      <w:pPr>
        <w:ind w:left="960" w:hanging="952"/>
        <w:spacing w:after="0"/>
        <w:tabs>
          <w:tab w:leader="none" w:pos="9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Cover Page Interactive Data File (embedded within the Inline XBRL document and contained in Exhibit 101).</w:t>
      </w:r>
    </w:p>
    <w:p>
      <w:pPr>
        <w:spacing w:after="0" w:line="171"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6"/>
          <w:szCs w:val="16"/>
          <w:color w:val="auto"/>
        </w:rPr>
        <w:t>Management compensatory plan or arrangement</w:t>
      </w:r>
    </w:p>
    <w:p>
      <w:pPr>
        <w:spacing w:after="0" w:line="200" w:lineRule="exact"/>
        <w:rPr>
          <w:sz w:val="20"/>
          <w:szCs w:val="20"/>
          <w:color w:val="auto"/>
        </w:rPr>
      </w:pPr>
    </w:p>
    <w:p>
      <w:pPr>
        <w:spacing w:after="0" w:line="232"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223520</wp:posOffset>
            </wp:positionV>
            <wp:extent cx="7132320" cy="171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38" w:name="page39"/>
    <w:bookmarkEnd w:id="38"/>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25" w:lineRule="exact"/>
        <w:rPr>
          <w:sz w:val="20"/>
          <w:szCs w:val="20"/>
          <w:color w:val="auto"/>
        </w:rPr>
      </w:pPr>
    </w:p>
    <w:p>
      <w:pPr>
        <w:jc w:val="center"/>
        <w:ind w:right="-499"/>
        <w:spacing w:after="0"/>
        <w:rPr>
          <w:sz w:val="20"/>
          <w:szCs w:val="20"/>
          <w:color w:val="auto"/>
        </w:rPr>
      </w:pPr>
      <w:r>
        <w:rPr>
          <w:rFonts w:ascii="Arial" w:cs="Arial" w:eastAsia="Arial" w:hAnsi="Arial"/>
          <w:sz w:val="18"/>
          <w:szCs w:val="18"/>
          <w:b w:val="1"/>
          <w:bCs w:val="1"/>
          <w:color w:val="auto"/>
        </w:rPr>
        <w:t>SIGNATURES</w:t>
      </w:r>
    </w:p>
    <w:p>
      <w:pPr>
        <w:spacing w:after="0" w:line="175" w:lineRule="exact"/>
        <w:rPr>
          <w:sz w:val="20"/>
          <w:szCs w:val="20"/>
          <w:color w:val="auto"/>
        </w:rPr>
      </w:pPr>
    </w:p>
    <w:p>
      <w:pPr>
        <w:ind w:firstLine="476"/>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202" w:lineRule="exact"/>
        <w:rPr>
          <w:sz w:val="20"/>
          <w:szCs w:val="20"/>
          <w:color w:val="auto"/>
        </w:rPr>
      </w:pPr>
    </w:p>
    <w:p>
      <w:pPr>
        <w:ind w:left="5640"/>
        <w:spacing w:after="0"/>
        <w:rPr>
          <w:sz w:val="20"/>
          <w:szCs w:val="20"/>
          <w:color w:val="auto"/>
        </w:rPr>
      </w:pPr>
      <w:r>
        <w:rPr>
          <w:rFonts w:ascii="Arial" w:cs="Arial" w:eastAsia="Arial" w:hAnsi="Arial"/>
          <w:sz w:val="16"/>
          <w:szCs w:val="16"/>
          <w:b w:val="1"/>
          <w:bCs w:val="1"/>
          <w:i w:val="1"/>
          <w:iCs w:val="1"/>
          <w:color w:val="auto"/>
        </w:rPr>
        <w:t>ADDUS HOMECARE CORPORATION</w:t>
      </w:r>
    </w:p>
    <w:p>
      <w:pPr>
        <w:spacing w:after="0" w:line="221" w:lineRule="exact"/>
        <w:rPr>
          <w:sz w:val="20"/>
          <w:szCs w:val="20"/>
          <w:color w:val="auto"/>
        </w:rPr>
      </w:pPr>
    </w:p>
    <w:p>
      <w:pPr>
        <w:spacing w:after="0"/>
        <w:tabs>
          <w:tab w:leader="none" w:pos="5620" w:val="left"/>
          <w:tab w:leader="none" w:pos="7880" w:val="left"/>
        </w:tabs>
        <w:rPr>
          <w:sz w:val="20"/>
          <w:szCs w:val="20"/>
          <w:color w:val="auto"/>
        </w:rPr>
      </w:pPr>
      <w:r>
        <w:rPr>
          <w:rFonts w:ascii="Arial" w:cs="Arial" w:eastAsia="Arial" w:hAnsi="Arial"/>
          <w:sz w:val="16"/>
          <w:szCs w:val="16"/>
          <w:color w:val="auto"/>
        </w:rPr>
        <w:t>Date: August 10, 2020</w:t>
      </w:r>
      <w:r>
        <w:rPr>
          <w:sz w:val="20"/>
          <w:szCs w:val="20"/>
          <w:color w:val="auto"/>
        </w:rPr>
        <w:tab/>
      </w:r>
      <w:r>
        <w:rPr>
          <w:rFonts w:ascii="Arial" w:cs="Arial" w:eastAsia="Arial" w:hAnsi="Arial"/>
          <w:sz w:val="16"/>
          <w:szCs w:val="16"/>
          <w:color w:val="auto"/>
        </w:rPr>
        <w:t>By:</w:t>
      </w:r>
      <w:r>
        <w:rPr>
          <w:sz w:val="20"/>
          <w:szCs w:val="20"/>
          <w:color w:val="auto"/>
        </w:rPr>
        <w:tab/>
      </w:r>
      <w:r>
        <w:rPr>
          <w:rFonts w:ascii="Arial" w:cs="Arial" w:eastAsia="Arial" w:hAnsi="Arial"/>
          <w:sz w:val="15"/>
          <w:szCs w:val="15"/>
          <w:color w:val="auto"/>
        </w:rPr>
        <w:t>/s/ R. DIRK ALLISON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3862705</wp:posOffset>
            </wp:positionH>
            <wp:positionV relativeFrom="paragraph">
              <wp:posOffset>26670</wp:posOffset>
            </wp:positionV>
            <wp:extent cx="3274695" cy="88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7">
                      <a:extLst>
                        <a:ext uri="{28A0092B-C50C-407E-A947-70E740481C1C}"/>
                      </a:extLst>
                    </a:blip>
                    <a:srcRect/>
                    <a:stretch>
                      <a:fillRect/>
                    </a:stretch>
                  </pic:blipFill>
                  <pic:spPr bwMode="auto">
                    <a:xfrm>
                      <a:off x="0" y="0"/>
                      <a:ext cx="3274695" cy="8890"/>
                    </a:xfrm>
                    <a:prstGeom prst="rect">
                      <a:avLst/>
                    </a:prstGeom>
                    <a:noFill/>
                  </pic:spPr>
                </pic:pic>
              </a:graphicData>
            </a:graphic>
          </wp:anchor>
        </w:drawing>
      </w:r>
    </w:p>
    <w:p>
      <w:pPr>
        <w:spacing w:after="0" w:line="103" w:lineRule="exact"/>
        <w:rPr>
          <w:sz w:val="20"/>
          <w:szCs w:val="20"/>
          <w:color w:val="auto"/>
        </w:rPr>
      </w:pPr>
    </w:p>
    <w:p>
      <w:pPr>
        <w:jc w:val="center"/>
        <w:ind w:left="6060"/>
        <w:spacing w:after="0"/>
        <w:rPr>
          <w:sz w:val="20"/>
          <w:szCs w:val="20"/>
          <w:color w:val="auto"/>
        </w:rPr>
      </w:pPr>
      <w:r>
        <w:rPr>
          <w:rFonts w:ascii="Arial" w:cs="Arial" w:eastAsia="Arial" w:hAnsi="Arial"/>
          <w:sz w:val="16"/>
          <w:szCs w:val="16"/>
          <w:b w:val="1"/>
          <w:bCs w:val="1"/>
          <w:color w:val="auto"/>
        </w:rPr>
        <w:t>R. Dirk Allison</w:t>
      </w:r>
    </w:p>
    <w:p>
      <w:pPr>
        <w:spacing w:after="0" w:line="26" w:lineRule="exact"/>
        <w:rPr>
          <w:sz w:val="20"/>
          <w:szCs w:val="20"/>
          <w:color w:val="auto"/>
        </w:rPr>
      </w:pPr>
    </w:p>
    <w:p>
      <w:pPr>
        <w:jc w:val="center"/>
        <w:ind w:left="6060"/>
        <w:spacing w:after="0"/>
        <w:rPr>
          <w:sz w:val="20"/>
          <w:szCs w:val="20"/>
          <w:color w:val="auto"/>
        </w:rPr>
      </w:pPr>
      <w:r>
        <w:rPr>
          <w:rFonts w:ascii="Arial" w:cs="Arial" w:eastAsia="Arial" w:hAnsi="Arial"/>
          <w:sz w:val="16"/>
          <w:szCs w:val="16"/>
          <w:b w:val="1"/>
          <w:bCs w:val="1"/>
          <w:color w:val="auto"/>
        </w:rPr>
        <w:t>President and Chief Executive Officer</w:t>
      </w:r>
    </w:p>
    <w:p>
      <w:pPr>
        <w:spacing w:after="0" w:line="19" w:lineRule="exact"/>
        <w:rPr>
          <w:sz w:val="20"/>
          <w:szCs w:val="20"/>
          <w:color w:val="auto"/>
        </w:rPr>
      </w:pPr>
    </w:p>
    <w:p>
      <w:pPr>
        <w:jc w:val="center"/>
        <w:ind w:left="6060"/>
        <w:spacing w:after="0"/>
        <w:rPr>
          <w:sz w:val="20"/>
          <w:szCs w:val="20"/>
          <w:color w:val="auto"/>
        </w:rPr>
      </w:pPr>
      <w:r>
        <w:rPr>
          <w:rFonts w:ascii="Arial" w:cs="Arial" w:eastAsia="Arial" w:hAnsi="Arial"/>
          <w:sz w:val="16"/>
          <w:szCs w:val="16"/>
          <w:b w:val="1"/>
          <w:bCs w:val="1"/>
          <w:color w:val="auto"/>
        </w:rPr>
        <w:t>(As Principal Executive Officer)</w:t>
      </w:r>
    </w:p>
    <w:p>
      <w:pPr>
        <w:spacing w:after="0" w:line="231" w:lineRule="exact"/>
        <w:rPr>
          <w:sz w:val="20"/>
          <w:szCs w:val="20"/>
          <w:color w:val="auto"/>
        </w:rPr>
      </w:pPr>
    </w:p>
    <w:p>
      <w:pPr>
        <w:spacing w:after="0"/>
        <w:tabs>
          <w:tab w:leader="none" w:pos="5620" w:val="left"/>
          <w:tab w:leader="none" w:pos="8080" w:val="left"/>
        </w:tabs>
        <w:rPr>
          <w:sz w:val="20"/>
          <w:szCs w:val="20"/>
          <w:color w:val="auto"/>
        </w:rPr>
      </w:pPr>
      <w:r>
        <w:rPr>
          <w:rFonts w:ascii="Arial" w:cs="Arial" w:eastAsia="Arial" w:hAnsi="Arial"/>
          <w:sz w:val="16"/>
          <w:szCs w:val="16"/>
          <w:color w:val="auto"/>
        </w:rPr>
        <w:t>Date: August 10, 2020</w:t>
      </w:r>
      <w:r>
        <w:rPr>
          <w:sz w:val="20"/>
          <w:szCs w:val="20"/>
          <w:color w:val="auto"/>
        </w:rPr>
        <w:tab/>
      </w:r>
      <w:r>
        <w:rPr>
          <w:rFonts w:ascii="Arial" w:cs="Arial" w:eastAsia="Arial" w:hAnsi="Arial"/>
          <w:sz w:val="16"/>
          <w:szCs w:val="16"/>
          <w:color w:val="auto"/>
        </w:rPr>
        <w:t>By:</w:t>
      </w:r>
      <w:r>
        <w:rPr>
          <w:sz w:val="20"/>
          <w:szCs w:val="20"/>
          <w:color w:val="auto"/>
        </w:rPr>
        <w:tab/>
      </w:r>
      <w:r>
        <w:rPr>
          <w:rFonts w:ascii="Arial" w:cs="Arial" w:eastAsia="Arial" w:hAnsi="Arial"/>
          <w:sz w:val="15"/>
          <w:szCs w:val="15"/>
          <w:color w:val="auto"/>
        </w:rPr>
        <w:t>/s/ BRIAN POFF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3862705</wp:posOffset>
            </wp:positionH>
            <wp:positionV relativeFrom="paragraph">
              <wp:posOffset>17780</wp:posOffset>
            </wp:positionV>
            <wp:extent cx="3274695"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8">
                      <a:extLst>
                        <a:ext uri="{28A0092B-C50C-407E-A947-70E740481C1C}"/>
                      </a:extLst>
                    </a:blip>
                    <a:srcRect/>
                    <a:stretch>
                      <a:fillRect/>
                    </a:stretch>
                  </pic:blipFill>
                  <pic:spPr bwMode="auto">
                    <a:xfrm>
                      <a:off x="0" y="0"/>
                      <a:ext cx="3274695" cy="8255"/>
                    </a:xfrm>
                    <a:prstGeom prst="rect">
                      <a:avLst/>
                    </a:prstGeom>
                    <a:noFill/>
                  </pic:spPr>
                </pic:pic>
              </a:graphicData>
            </a:graphic>
          </wp:anchor>
        </w:drawing>
      </w:r>
    </w:p>
    <w:p>
      <w:pPr>
        <w:spacing w:after="0" w:line="89" w:lineRule="exact"/>
        <w:rPr>
          <w:sz w:val="20"/>
          <w:szCs w:val="20"/>
          <w:color w:val="auto"/>
        </w:rPr>
      </w:pPr>
    </w:p>
    <w:p>
      <w:pPr>
        <w:jc w:val="center"/>
        <w:ind w:left="6060"/>
        <w:spacing w:after="0"/>
        <w:rPr>
          <w:sz w:val="20"/>
          <w:szCs w:val="20"/>
          <w:color w:val="auto"/>
        </w:rPr>
      </w:pPr>
      <w:r>
        <w:rPr>
          <w:rFonts w:ascii="Arial" w:cs="Arial" w:eastAsia="Arial" w:hAnsi="Arial"/>
          <w:sz w:val="16"/>
          <w:szCs w:val="16"/>
          <w:b w:val="1"/>
          <w:bCs w:val="1"/>
          <w:color w:val="auto"/>
        </w:rPr>
        <w:t>Brian Poff</w:t>
      </w:r>
    </w:p>
    <w:p>
      <w:pPr>
        <w:spacing w:after="0" w:line="26" w:lineRule="exact"/>
        <w:rPr>
          <w:sz w:val="20"/>
          <w:szCs w:val="20"/>
          <w:color w:val="auto"/>
        </w:rPr>
      </w:pPr>
    </w:p>
    <w:p>
      <w:pPr>
        <w:jc w:val="center"/>
        <w:ind w:left="6060"/>
        <w:spacing w:after="0"/>
        <w:rPr>
          <w:sz w:val="20"/>
          <w:szCs w:val="20"/>
          <w:color w:val="auto"/>
        </w:rPr>
      </w:pPr>
      <w:r>
        <w:rPr>
          <w:rFonts w:ascii="Arial" w:cs="Arial" w:eastAsia="Arial" w:hAnsi="Arial"/>
          <w:sz w:val="16"/>
          <w:szCs w:val="16"/>
          <w:b w:val="1"/>
          <w:bCs w:val="1"/>
          <w:color w:val="auto"/>
        </w:rPr>
        <w:t>Chief Financial Officer</w:t>
      </w:r>
    </w:p>
    <w:p>
      <w:pPr>
        <w:spacing w:after="0" w:line="19" w:lineRule="exact"/>
        <w:rPr>
          <w:sz w:val="20"/>
          <w:szCs w:val="20"/>
          <w:color w:val="auto"/>
        </w:rPr>
      </w:pPr>
    </w:p>
    <w:p>
      <w:pPr>
        <w:jc w:val="center"/>
        <w:ind w:left="6060"/>
        <w:spacing w:after="0"/>
        <w:rPr>
          <w:sz w:val="20"/>
          <w:szCs w:val="20"/>
          <w:color w:val="auto"/>
        </w:rPr>
      </w:pPr>
      <w:r>
        <w:rPr>
          <w:rFonts w:ascii="Arial" w:cs="Arial" w:eastAsia="Arial" w:hAnsi="Arial"/>
          <w:sz w:val="16"/>
          <w:szCs w:val="16"/>
          <w:b w:val="1"/>
          <w:bCs w:val="1"/>
          <w:color w:val="auto"/>
        </w:rPr>
        <w:t>(As Principal Financial Officer)</w:t>
      </w:r>
    </w:p>
    <w:p>
      <w:pPr>
        <w:spacing w:after="0" w:line="200" w:lineRule="exact"/>
        <w:rPr>
          <w:sz w:val="20"/>
          <w:szCs w:val="20"/>
          <w:color w:val="auto"/>
        </w:rPr>
      </w:pPr>
    </w:p>
    <w:p>
      <w:pPr>
        <w:spacing w:after="0" w:line="233" w:lineRule="exact"/>
        <w:rPr>
          <w:sz w:val="20"/>
          <w:szCs w:val="20"/>
          <w:color w:val="auto"/>
        </w:rPr>
      </w:pPr>
    </w:p>
    <w:p>
      <w:pPr>
        <w:jc w:val="center"/>
        <w:ind w:right="-499"/>
        <w:spacing w:after="0"/>
        <w:rPr>
          <w:sz w:val="20"/>
          <w:szCs w:val="20"/>
          <w:color w:val="auto"/>
        </w:rPr>
      </w:pPr>
      <w:r>
        <w:rPr>
          <w:rFonts w:ascii="Arial" w:cs="Arial" w:eastAsia="Arial" w:hAnsi="Arial"/>
          <w:sz w:val="16"/>
          <w:szCs w:val="16"/>
          <w:color w:val="auto"/>
        </w:rPr>
        <w:t>39</w:t>
      </w:r>
    </w:p>
    <w:p>
      <w:pPr>
        <w:sectPr>
          <w:pgSz w:w="11900" w:h="16838" w:orient="portrait"/>
          <w:cols w:equalWidth="0" w:num="1">
            <w:col w:w="10760"/>
          </w:cols>
          <w:pgMar w:left="320" w:top="121" w:right="819" w:bottom="1440" w:gutter="0" w:footer="0" w:header="0"/>
        </w:sectPr>
      </w:pPr>
    </w:p>
    <w:bookmarkStart w:id="39" w:name="page40"/>
    <w:bookmarkEnd w:id="39"/>
    <w:p>
      <w:pPr>
        <w:jc w:val="right"/>
        <w:spacing w:after="0"/>
        <w:rPr>
          <w:sz w:val="20"/>
          <w:szCs w:val="20"/>
          <w:color w:val="auto"/>
        </w:rPr>
      </w:pPr>
      <w:r>
        <w:rPr>
          <w:rFonts w:ascii="Arial" w:cs="Arial" w:eastAsia="Arial" w:hAnsi="Arial"/>
          <w:sz w:val="18"/>
          <w:szCs w:val="18"/>
          <w:b w:val="1"/>
          <w:bCs w:val="1"/>
          <w:color w:val="auto"/>
        </w:rPr>
        <w:t>Exhibit 31.1</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CERTIFICATIONS OF CHIEF EXECUTIVE OFFICER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SECTION 302 OF THE SARBANES-OXLEY ACT OF 2002</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color w:val="auto"/>
        </w:rPr>
        <w:t>I, R. Dirk Allison, certify that:</w:t>
      </w:r>
    </w:p>
    <w:p>
      <w:pPr>
        <w:spacing w:after="0" w:line="171" w:lineRule="exact"/>
        <w:rPr>
          <w:sz w:val="20"/>
          <w:szCs w:val="20"/>
          <w:color w:val="auto"/>
        </w:rPr>
      </w:pPr>
    </w:p>
    <w:p>
      <w:pPr>
        <w:ind w:left="180" w:hanging="172"/>
        <w:spacing w:after="0"/>
        <w:tabs>
          <w:tab w:leader="none" w:pos="1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Addus HomeCare Corporation;</w:t>
      </w:r>
    </w:p>
    <w:p>
      <w:pPr>
        <w:spacing w:after="0" w:line="171" w:lineRule="exact"/>
        <w:rPr>
          <w:rFonts w:ascii="Arial" w:cs="Arial" w:eastAsia="Arial" w:hAnsi="Arial"/>
          <w:sz w:val="18"/>
          <w:szCs w:val="18"/>
          <w:color w:val="auto"/>
        </w:rPr>
      </w:pPr>
    </w:p>
    <w:p>
      <w:pPr>
        <w:ind w:right="260" w:firstLine="8"/>
        <w:spacing w:after="0" w:line="342" w:lineRule="auto"/>
        <w:tabs>
          <w:tab w:leader="none" w:pos="180" w:val="left"/>
        </w:tabs>
        <w:numPr>
          <w:ilvl w:val="0"/>
          <w:numId w:val="14"/>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9" w:lineRule="exact"/>
        <w:rPr>
          <w:rFonts w:ascii="Arial" w:cs="Arial" w:eastAsia="Arial" w:hAnsi="Arial"/>
          <w:sz w:val="16"/>
          <w:szCs w:val="16"/>
          <w:color w:val="auto"/>
        </w:rPr>
      </w:pPr>
    </w:p>
    <w:p>
      <w:pPr>
        <w:ind w:right="540" w:firstLine="8"/>
        <w:spacing w:after="0" w:line="308" w:lineRule="auto"/>
        <w:tabs>
          <w:tab w:leader="none" w:pos="180" w:val="left"/>
        </w:tabs>
        <w:numPr>
          <w:ilvl w:val="0"/>
          <w:numId w:val="14"/>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92" w:lineRule="exact"/>
        <w:rPr>
          <w:rFonts w:ascii="Arial" w:cs="Arial" w:eastAsia="Arial" w:hAnsi="Arial"/>
          <w:sz w:val="17"/>
          <w:szCs w:val="17"/>
          <w:color w:val="auto"/>
        </w:rPr>
      </w:pPr>
    </w:p>
    <w:p>
      <w:pPr>
        <w:ind w:right="80" w:firstLine="8"/>
        <w:spacing w:after="0" w:line="263" w:lineRule="auto"/>
        <w:tabs>
          <w:tab w:leader="none" w:pos="1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34" w:lineRule="exact"/>
        <w:rPr>
          <w:rFonts w:ascii="Arial" w:cs="Arial" w:eastAsia="Arial" w:hAnsi="Arial"/>
          <w:sz w:val="18"/>
          <w:szCs w:val="18"/>
          <w:color w:val="auto"/>
        </w:rPr>
      </w:pPr>
    </w:p>
    <w:p>
      <w:pPr>
        <w:ind w:left="960" w:right="120" w:hanging="480"/>
        <w:spacing w:after="0" w:line="278" w:lineRule="auto"/>
        <w:tabs>
          <w:tab w:leader="none" w:pos="960" w:val="left"/>
        </w:tabs>
        <w:numPr>
          <w:ilvl w:val="1"/>
          <w:numId w:val="14"/>
        </w:numPr>
        <w:rPr>
          <w:rFonts w:ascii="Arial" w:cs="Arial" w:eastAsia="Arial" w:hAnsi="Arial"/>
          <w:sz w:val="16"/>
          <w:szCs w:val="16"/>
          <w:color w:val="auto"/>
        </w:rPr>
      </w:pPr>
      <w:r>
        <w:rPr>
          <w:rFonts w:ascii="Arial" w:cs="Arial" w:eastAsia="Arial" w:hAnsi="Arial"/>
          <w:sz w:val="16"/>
          <w:szCs w:val="16"/>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30" w:lineRule="exact"/>
        <w:rPr>
          <w:rFonts w:ascii="Arial" w:cs="Arial" w:eastAsia="Arial" w:hAnsi="Arial"/>
          <w:sz w:val="16"/>
          <w:szCs w:val="16"/>
          <w:color w:val="auto"/>
        </w:rPr>
      </w:pPr>
    </w:p>
    <w:p>
      <w:pPr>
        <w:ind w:left="960" w:right="260" w:hanging="480"/>
        <w:spacing w:after="0" w:line="278" w:lineRule="auto"/>
        <w:tabs>
          <w:tab w:leader="none" w:pos="960" w:val="left"/>
        </w:tabs>
        <w:numPr>
          <w:ilvl w:val="1"/>
          <w:numId w:val="14"/>
        </w:numPr>
        <w:rPr>
          <w:rFonts w:ascii="Arial" w:cs="Arial" w:eastAsia="Arial" w:hAnsi="Arial"/>
          <w:sz w:val="16"/>
          <w:szCs w:val="16"/>
          <w:color w:val="auto"/>
        </w:rPr>
      </w:pPr>
      <w:r>
        <w:rPr>
          <w:rFonts w:ascii="Arial" w:cs="Arial" w:eastAsia="Arial" w:hAnsi="Arial"/>
          <w:sz w:val="16"/>
          <w:szCs w:val="16"/>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30" w:lineRule="exact"/>
        <w:rPr>
          <w:rFonts w:ascii="Arial" w:cs="Arial" w:eastAsia="Arial" w:hAnsi="Arial"/>
          <w:sz w:val="16"/>
          <w:szCs w:val="16"/>
          <w:color w:val="auto"/>
        </w:rPr>
      </w:pPr>
    </w:p>
    <w:p>
      <w:pPr>
        <w:ind w:left="960" w:right="260" w:hanging="480"/>
        <w:spacing w:after="0" w:line="293" w:lineRule="auto"/>
        <w:tabs>
          <w:tab w:leader="none" w:pos="960" w:val="left"/>
        </w:tabs>
        <w:numPr>
          <w:ilvl w:val="1"/>
          <w:numId w:val="14"/>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17" w:lineRule="exact"/>
        <w:rPr>
          <w:rFonts w:ascii="Arial" w:cs="Arial" w:eastAsia="Arial" w:hAnsi="Arial"/>
          <w:sz w:val="16"/>
          <w:szCs w:val="16"/>
          <w:color w:val="auto"/>
        </w:rPr>
      </w:pPr>
    </w:p>
    <w:p>
      <w:pPr>
        <w:ind w:left="960" w:right="200" w:hanging="480"/>
        <w:spacing w:after="0" w:line="278" w:lineRule="auto"/>
        <w:tabs>
          <w:tab w:leader="none" w:pos="960" w:val="left"/>
        </w:tabs>
        <w:numPr>
          <w:ilvl w:val="1"/>
          <w:numId w:val="14"/>
        </w:numPr>
        <w:rPr>
          <w:rFonts w:ascii="Arial" w:cs="Arial" w:eastAsia="Arial" w:hAnsi="Arial"/>
          <w:sz w:val="16"/>
          <w:szCs w:val="16"/>
          <w:color w:val="auto"/>
        </w:rPr>
      </w:pPr>
      <w:r>
        <w:rPr>
          <w:rFonts w:ascii="Arial" w:cs="Arial" w:eastAsia="Arial" w:hAnsi="Arial"/>
          <w:sz w:val="16"/>
          <w:szCs w:val="16"/>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5" w:lineRule="exact"/>
        <w:rPr>
          <w:rFonts w:ascii="Arial" w:cs="Arial" w:eastAsia="Arial" w:hAnsi="Arial"/>
          <w:sz w:val="16"/>
          <w:szCs w:val="16"/>
          <w:color w:val="auto"/>
        </w:rPr>
      </w:pPr>
    </w:p>
    <w:p>
      <w:pPr>
        <w:ind w:right="280" w:firstLine="8"/>
        <w:spacing w:after="0" w:line="308" w:lineRule="auto"/>
        <w:tabs>
          <w:tab w:leader="none" w:pos="180" w:val="left"/>
        </w:tabs>
        <w:numPr>
          <w:ilvl w:val="0"/>
          <w:numId w:val="14"/>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96" w:lineRule="exact"/>
        <w:rPr>
          <w:rFonts w:ascii="Arial" w:cs="Arial" w:eastAsia="Arial" w:hAnsi="Arial"/>
          <w:sz w:val="17"/>
          <w:szCs w:val="17"/>
          <w:color w:val="auto"/>
        </w:rPr>
      </w:pPr>
    </w:p>
    <w:p>
      <w:pPr>
        <w:ind w:left="960" w:right="420" w:hanging="480"/>
        <w:spacing w:after="0" w:line="293" w:lineRule="auto"/>
        <w:tabs>
          <w:tab w:leader="none" w:pos="960" w:val="left"/>
        </w:tabs>
        <w:numPr>
          <w:ilvl w:val="1"/>
          <w:numId w:val="14"/>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17" w:lineRule="exact"/>
        <w:rPr>
          <w:rFonts w:ascii="Arial" w:cs="Arial" w:eastAsia="Arial" w:hAnsi="Arial"/>
          <w:sz w:val="16"/>
          <w:szCs w:val="16"/>
          <w:color w:val="auto"/>
        </w:rPr>
      </w:pPr>
    </w:p>
    <w:p>
      <w:pPr>
        <w:ind w:left="960" w:right="40" w:hanging="480"/>
        <w:spacing w:after="0" w:line="293" w:lineRule="auto"/>
        <w:tabs>
          <w:tab w:leader="none" w:pos="960" w:val="left"/>
        </w:tabs>
        <w:numPr>
          <w:ilvl w:val="1"/>
          <w:numId w:val="14"/>
        </w:numPr>
        <w:rPr>
          <w:rFonts w:ascii="Arial" w:cs="Arial" w:eastAsia="Arial" w:hAnsi="Arial"/>
          <w:sz w:val="16"/>
          <w:szCs w:val="16"/>
          <w:color w:val="auto"/>
        </w:rPr>
      </w:pPr>
      <w:r>
        <w:rPr>
          <w:rFonts w:ascii="Arial" w:cs="Arial" w:eastAsia="Arial" w:hAnsi="Arial"/>
          <w:sz w:val="16"/>
          <w:szCs w:val="16"/>
          <w:color w:val="auto"/>
        </w:rPr>
        <w:t>Any fraud, whether or not material, that involves management or other employees who have a significant role in the registrant’s internal control over financial reporting.</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3480" w:type="dxa"/>
            <w:vAlign w:val="bottom"/>
          </w:tcPr>
          <w:p>
            <w:pPr>
              <w:spacing w:after="0"/>
              <w:rPr>
                <w:sz w:val="20"/>
                <w:szCs w:val="20"/>
                <w:color w:val="auto"/>
              </w:rPr>
            </w:pPr>
            <w:r>
              <w:rPr>
                <w:rFonts w:ascii="Arial" w:cs="Arial" w:eastAsia="Arial" w:hAnsi="Arial"/>
                <w:sz w:val="16"/>
                <w:szCs w:val="16"/>
                <w:color w:val="auto"/>
              </w:rPr>
              <w:t>Date: August 10, 2020</w:t>
            </w:r>
          </w:p>
        </w:tc>
        <w:tc>
          <w:tcPr>
            <w:tcW w:w="7760" w:type="dxa"/>
            <w:vAlign w:val="bottom"/>
            <w:gridSpan w:val="2"/>
          </w:tcPr>
          <w:p>
            <w:pPr>
              <w:ind w:left="2000"/>
              <w:spacing w:after="0"/>
              <w:rPr>
                <w:sz w:val="20"/>
                <w:szCs w:val="20"/>
                <w:color w:val="auto"/>
              </w:rPr>
            </w:pPr>
            <w:r>
              <w:rPr>
                <w:rFonts w:ascii="Arial" w:cs="Arial" w:eastAsia="Arial" w:hAnsi="Arial"/>
                <w:sz w:val="16"/>
                <w:szCs w:val="16"/>
                <w:color w:val="auto"/>
              </w:rPr>
              <w:t>By: /s/ R. Dirk Allison</w:t>
            </w:r>
          </w:p>
        </w:tc>
      </w:tr>
      <w:tr>
        <w:trPr>
          <w:trHeight w:val="189"/>
        </w:trPr>
        <w:tc>
          <w:tcPr>
            <w:tcW w:w="3480" w:type="dxa"/>
            <w:vAlign w:val="bottom"/>
          </w:tcPr>
          <w:p>
            <w:pPr>
              <w:spacing w:after="0"/>
              <w:rPr>
                <w:sz w:val="16"/>
                <w:szCs w:val="16"/>
                <w:color w:val="auto"/>
              </w:rPr>
            </w:pPr>
          </w:p>
        </w:tc>
        <w:tc>
          <w:tcPr>
            <w:tcW w:w="2340" w:type="dxa"/>
            <w:vAlign w:val="bottom"/>
          </w:tcPr>
          <w:p>
            <w:pPr>
              <w:spacing w:after="0"/>
              <w:rPr>
                <w:sz w:val="16"/>
                <w:szCs w:val="16"/>
                <w:color w:val="auto"/>
              </w:rPr>
            </w:pPr>
          </w:p>
        </w:tc>
        <w:tc>
          <w:tcPr>
            <w:tcW w:w="5420" w:type="dxa"/>
            <w:vAlign w:val="bottom"/>
            <w:tcBorders>
              <w:top w:val="single" w:sz="8" w:color="auto"/>
            </w:tcBorders>
          </w:tcPr>
          <w:p>
            <w:pPr>
              <w:spacing w:after="0"/>
              <w:rPr>
                <w:sz w:val="20"/>
                <w:szCs w:val="20"/>
                <w:color w:val="auto"/>
              </w:rPr>
            </w:pPr>
            <w:r>
              <w:rPr>
                <w:rFonts w:ascii="Arial" w:cs="Arial" w:eastAsia="Arial" w:hAnsi="Arial"/>
                <w:sz w:val="16"/>
                <w:szCs w:val="16"/>
                <w:color w:val="auto"/>
              </w:rPr>
              <w:t>R. Dirk Allison</w:t>
            </w:r>
          </w:p>
        </w:tc>
      </w:tr>
      <w:tr>
        <w:trPr>
          <w:trHeight w:val="206"/>
        </w:trPr>
        <w:tc>
          <w:tcPr>
            <w:tcW w:w="3480" w:type="dxa"/>
            <w:vAlign w:val="bottom"/>
          </w:tcPr>
          <w:p>
            <w:pPr>
              <w:spacing w:after="0"/>
              <w:rPr>
                <w:sz w:val="17"/>
                <w:szCs w:val="17"/>
                <w:color w:val="auto"/>
              </w:rPr>
            </w:pPr>
          </w:p>
        </w:tc>
        <w:tc>
          <w:tcPr>
            <w:tcW w:w="2340" w:type="dxa"/>
            <w:vAlign w:val="bottom"/>
          </w:tcPr>
          <w:p>
            <w:pPr>
              <w:spacing w:after="0"/>
              <w:rPr>
                <w:sz w:val="17"/>
                <w:szCs w:val="17"/>
                <w:color w:val="auto"/>
              </w:rPr>
            </w:pPr>
          </w:p>
        </w:tc>
        <w:tc>
          <w:tcPr>
            <w:tcW w:w="5420" w:type="dxa"/>
            <w:vAlign w:val="bottom"/>
          </w:tcPr>
          <w:p>
            <w:pPr>
              <w:spacing w:after="0"/>
              <w:rPr>
                <w:sz w:val="20"/>
                <w:szCs w:val="20"/>
                <w:color w:val="auto"/>
              </w:rPr>
            </w:pPr>
            <w:r>
              <w:rPr>
                <w:rFonts w:ascii="Arial" w:cs="Arial" w:eastAsia="Arial" w:hAnsi="Arial"/>
                <w:sz w:val="16"/>
                <w:szCs w:val="16"/>
                <w:color w:val="auto"/>
              </w:rPr>
              <w:t>President and Chief Executive Officer</w:t>
            </w:r>
          </w:p>
        </w:tc>
      </w:tr>
    </w:tbl>
    <w:p>
      <w:pPr>
        <w:sectPr>
          <w:pgSz w:w="11900" w:h="16838" w:orient="portrait"/>
          <w:cols w:equalWidth="0" w:num="1">
            <w:col w:w="11240"/>
          </w:cols>
          <w:pgMar w:left="320" w:top="121" w:right="339" w:bottom="1440" w:gutter="0" w:footer="0" w:header="0"/>
        </w:sectPr>
      </w:pPr>
    </w:p>
    <w:bookmarkStart w:id="40" w:name="page41"/>
    <w:bookmarkEnd w:id="40"/>
    <w:p>
      <w:pPr>
        <w:jc w:val="right"/>
        <w:spacing w:after="0"/>
        <w:rPr>
          <w:sz w:val="20"/>
          <w:szCs w:val="20"/>
          <w:color w:val="auto"/>
        </w:rPr>
      </w:pPr>
      <w:r>
        <w:rPr>
          <w:rFonts w:ascii="Arial" w:cs="Arial" w:eastAsia="Arial" w:hAnsi="Arial"/>
          <w:sz w:val="18"/>
          <w:szCs w:val="18"/>
          <w:b w:val="1"/>
          <w:bCs w:val="1"/>
          <w:color w:val="auto"/>
        </w:rPr>
        <w:t>Exhibit 31.2</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CERTIFICATIONS OF CHIEF FINANCIAL OFFICER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SECTION 302 OF THE SARBANES-OXLEY ACT OF 2002</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color w:val="auto"/>
        </w:rPr>
        <w:t>I, Brian Poff, certify that:</w:t>
      </w:r>
    </w:p>
    <w:p>
      <w:pPr>
        <w:spacing w:after="0" w:line="171" w:lineRule="exact"/>
        <w:rPr>
          <w:sz w:val="20"/>
          <w:szCs w:val="20"/>
          <w:color w:val="auto"/>
        </w:rPr>
      </w:pPr>
    </w:p>
    <w:p>
      <w:pPr>
        <w:ind w:left="180" w:hanging="172"/>
        <w:spacing w:after="0"/>
        <w:tabs>
          <w:tab w:leader="none" w:pos="1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Addus HomeCare Corporation;</w:t>
      </w:r>
    </w:p>
    <w:p>
      <w:pPr>
        <w:spacing w:after="0" w:line="171" w:lineRule="exact"/>
        <w:rPr>
          <w:rFonts w:ascii="Arial" w:cs="Arial" w:eastAsia="Arial" w:hAnsi="Arial"/>
          <w:sz w:val="18"/>
          <w:szCs w:val="18"/>
          <w:color w:val="auto"/>
        </w:rPr>
      </w:pPr>
    </w:p>
    <w:p>
      <w:pPr>
        <w:ind w:right="260" w:firstLine="8"/>
        <w:spacing w:after="0" w:line="342" w:lineRule="auto"/>
        <w:tabs>
          <w:tab w:leader="none" w:pos="180" w:val="left"/>
        </w:tabs>
        <w:numPr>
          <w:ilvl w:val="0"/>
          <w:numId w:val="15"/>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9" w:lineRule="exact"/>
        <w:rPr>
          <w:rFonts w:ascii="Arial" w:cs="Arial" w:eastAsia="Arial" w:hAnsi="Arial"/>
          <w:sz w:val="16"/>
          <w:szCs w:val="16"/>
          <w:color w:val="auto"/>
        </w:rPr>
      </w:pPr>
    </w:p>
    <w:p>
      <w:pPr>
        <w:ind w:right="540" w:firstLine="8"/>
        <w:spacing w:after="0" w:line="308" w:lineRule="auto"/>
        <w:tabs>
          <w:tab w:leader="none" w:pos="180" w:val="left"/>
        </w:tabs>
        <w:numPr>
          <w:ilvl w:val="0"/>
          <w:numId w:val="15"/>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92" w:lineRule="exact"/>
        <w:rPr>
          <w:rFonts w:ascii="Arial" w:cs="Arial" w:eastAsia="Arial" w:hAnsi="Arial"/>
          <w:sz w:val="17"/>
          <w:szCs w:val="17"/>
          <w:color w:val="auto"/>
        </w:rPr>
      </w:pPr>
    </w:p>
    <w:p>
      <w:pPr>
        <w:ind w:right="80" w:firstLine="8"/>
        <w:spacing w:after="0" w:line="263" w:lineRule="auto"/>
        <w:tabs>
          <w:tab w:leader="none" w:pos="1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34" w:lineRule="exact"/>
        <w:rPr>
          <w:rFonts w:ascii="Arial" w:cs="Arial" w:eastAsia="Arial" w:hAnsi="Arial"/>
          <w:sz w:val="18"/>
          <w:szCs w:val="18"/>
          <w:color w:val="auto"/>
        </w:rPr>
      </w:pPr>
    </w:p>
    <w:p>
      <w:pPr>
        <w:ind w:left="960" w:right="120" w:hanging="480"/>
        <w:spacing w:after="0" w:line="278" w:lineRule="auto"/>
        <w:tabs>
          <w:tab w:leader="none" w:pos="960" w:val="left"/>
        </w:tabs>
        <w:numPr>
          <w:ilvl w:val="1"/>
          <w:numId w:val="15"/>
        </w:numPr>
        <w:rPr>
          <w:rFonts w:ascii="Arial" w:cs="Arial" w:eastAsia="Arial" w:hAnsi="Arial"/>
          <w:sz w:val="16"/>
          <w:szCs w:val="16"/>
          <w:color w:val="auto"/>
        </w:rPr>
      </w:pPr>
      <w:r>
        <w:rPr>
          <w:rFonts w:ascii="Arial" w:cs="Arial" w:eastAsia="Arial" w:hAnsi="Arial"/>
          <w:sz w:val="16"/>
          <w:szCs w:val="16"/>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30" w:lineRule="exact"/>
        <w:rPr>
          <w:rFonts w:ascii="Arial" w:cs="Arial" w:eastAsia="Arial" w:hAnsi="Arial"/>
          <w:sz w:val="16"/>
          <w:szCs w:val="16"/>
          <w:color w:val="auto"/>
        </w:rPr>
      </w:pPr>
    </w:p>
    <w:p>
      <w:pPr>
        <w:ind w:left="960" w:right="260" w:hanging="480"/>
        <w:spacing w:after="0" w:line="278" w:lineRule="auto"/>
        <w:tabs>
          <w:tab w:leader="none" w:pos="960" w:val="left"/>
        </w:tabs>
        <w:numPr>
          <w:ilvl w:val="1"/>
          <w:numId w:val="15"/>
        </w:numPr>
        <w:rPr>
          <w:rFonts w:ascii="Arial" w:cs="Arial" w:eastAsia="Arial" w:hAnsi="Arial"/>
          <w:sz w:val="16"/>
          <w:szCs w:val="16"/>
          <w:color w:val="auto"/>
        </w:rPr>
      </w:pPr>
      <w:r>
        <w:rPr>
          <w:rFonts w:ascii="Arial" w:cs="Arial" w:eastAsia="Arial" w:hAnsi="Arial"/>
          <w:sz w:val="16"/>
          <w:szCs w:val="16"/>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30" w:lineRule="exact"/>
        <w:rPr>
          <w:rFonts w:ascii="Arial" w:cs="Arial" w:eastAsia="Arial" w:hAnsi="Arial"/>
          <w:sz w:val="16"/>
          <w:szCs w:val="16"/>
          <w:color w:val="auto"/>
        </w:rPr>
      </w:pPr>
    </w:p>
    <w:p>
      <w:pPr>
        <w:ind w:left="960" w:right="260" w:hanging="480"/>
        <w:spacing w:after="0" w:line="293" w:lineRule="auto"/>
        <w:tabs>
          <w:tab w:leader="none" w:pos="960" w:val="left"/>
        </w:tabs>
        <w:numPr>
          <w:ilvl w:val="1"/>
          <w:numId w:val="15"/>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17" w:lineRule="exact"/>
        <w:rPr>
          <w:rFonts w:ascii="Arial" w:cs="Arial" w:eastAsia="Arial" w:hAnsi="Arial"/>
          <w:sz w:val="16"/>
          <w:szCs w:val="16"/>
          <w:color w:val="auto"/>
        </w:rPr>
      </w:pPr>
    </w:p>
    <w:p>
      <w:pPr>
        <w:ind w:left="960" w:right="200" w:hanging="480"/>
        <w:spacing w:after="0" w:line="278" w:lineRule="auto"/>
        <w:tabs>
          <w:tab w:leader="none" w:pos="960" w:val="left"/>
        </w:tabs>
        <w:numPr>
          <w:ilvl w:val="1"/>
          <w:numId w:val="15"/>
        </w:numPr>
        <w:rPr>
          <w:rFonts w:ascii="Arial" w:cs="Arial" w:eastAsia="Arial" w:hAnsi="Arial"/>
          <w:sz w:val="16"/>
          <w:szCs w:val="16"/>
          <w:color w:val="auto"/>
        </w:rPr>
      </w:pPr>
      <w:r>
        <w:rPr>
          <w:rFonts w:ascii="Arial" w:cs="Arial" w:eastAsia="Arial" w:hAnsi="Arial"/>
          <w:sz w:val="16"/>
          <w:szCs w:val="16"/>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5" w:lineRule="exact"/>
        <w:rPr>
          <w:rFonts w:ascii="Arial" w:cs="Arial" w:eastAsia="Arial" w:hAnsi="Arial"/>
          <w:sz w:val="16"/>
          <w:szCs w:val="16"/>
          <w:color w:val="auto"/>
        </w:rPr>
      </w:pPr>
    </w:p>
    <w:p>
      <w:pPr>
        <w:ind w:right="280" w:firstLine="8"/>
        <w:spacing w:after="0" w:line="308" w:lineRule="auto"/>
        <w:tabs>
          <w:tab w:leader="none" w:pos="180" w:val="left"/>
        </w:tabs>
        <w:numPr>
          <w:ilvl w:val="0"/>
          <w:numId w:val="15"/>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96" w:lineRule="exact"/>
        <w:rPr>
          <w:rFonts w:ascii="Arial" w:cs="Arial" w:eastAsia="Arial" w:hAnsi="Arial"/>
          <w:sz w:val="17"/>
          <w:szCs w:val="17"/>
          <w:color w:val="auto"/>
        </w:rPr>
      </w:pPr>
    </w:p>
    <w:p>
      <w:pPr>
        <w:ind w:left="960" w:right="420" w:hanging="480"/>
        <w:spacing w:after="0" w:line="293" w:lineRule="auto"/>
        <w:tabs>
          <w:tab w:leader="none" w:pos="960" w:val="left"/>
        </w:tabs>
        <w:numPr>
          <w:ilvl w:val="1"/>
          <w:numId w:val="15"/>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17" w:lineRule="exact"/>
        <w:rPr>
          <w:rFonts w:ascii="Arial" w:cs="Arial" w:eastAsia="Arial" w:hAnsi="Arial"/>
          <w:sz w:val="16"/>
          <w:szCs w:val="16"/>
          <w:color w:val="auto"/>
        </w:rPr>
      </w:pPr>
    </w:p>
    <w:p>
      <w:pPr>
        <w:ind w:left="960" w:right="40" w:hanging="480"/>
        <w:spacing w:after="0" w:line="293" w:lineRule="auto"/>
        <w:tabs>
          <w:tab w:leader="none" w:pos="960" w:val="left"/>
        </w:tabs>
        <w:numPr>
          <w:ilvl w:val="1"/>
          <w:numId w:val="15"/>
        </w:numPr>
        <w:rPr>
          <w:rFonts w:ascii="Arial" w:cs="Arial" w:eastAsia="Arial" w:hAnsi="Arial"/>
          <w:sz w:val="16"/>
          <w:szCs w:val="16"/>
          <w:color w:val="auto"/>
        </w:rPr>
      </w:pPr>
      <w:r>
        <w:rPr>
          <w:rFonts w:ascii="Arial" w:cs="Arial" w:eastAsia="Arial" w:hAnsi="Arial"/>
          <w:sz w:val="16"/>
          <w:szCs w:val="16"/>
          <w:color w:val="auto"/>
        </w:rPr>
        <w:t>Any fraud, whether or not material, that involves management or other employees who have a significant role in the registrant’s internal control over financial reporting.</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3480" w:type="dxa"/>
            <w:vAlign w:val="bottom"/>
          </w:tcPr>
          <w:p>
            <w:pPr>
              <w:spacing w:after="0"/>
              <w:rPr>
                <w:sz w:val="20"/>
                <w:szCs w:val="20"/>
                <w:color w:val="auto"/>
              </w:rPr>
            </w:pPr>
            <w:r>
              <w:rPr>
                <w:rFonts w:ascii="Arial" w:cs="Arial" w:eastAsia="Arial" w:hAnsi="Arial"/>
                <w:sz w:val="16"/>
                <w:szCs w:val="16"/>
                <w:color w:val="auto"/>
              </w:rPr>
              <w:t>Date: August 10, 2020</w:t>
            </w:r>
          </w:p>
        </w:tc>
        <w:tc>
          <w:tcPr>
            <w:tcW w:w="7760" w:type="dxa"/>
            <w:vAlign w:val="bottom"/>
            <w:gridSpan w:val="2"/>
          </w:tcPr>
          <w:p>
            <w:pPr>
              <w:ind w:left="2000"/>
              <w:spacing w:after="0"/>
              <w:rPr>
                <w:sz w:val="20"/>
                <w:szCs w:val="20"/>
                <w:color w:val="auto"/>
              </w:rPr>
            </w:pPr>
            <w:r>
              <w:rPr>
                <w:rFonts w:ascii="Arial" w:cs="Arial" w:eastAsia="Arial" w:hAnsi="Arial"/>
                <w:sz w:val="16"/>
                <w:szCs w:val="16"/>
                <w:color w:val="auto"/>
              </w:rPr>
              <w:t>By: /s/ Brian Poff</w:t>
            </w:r>
          </w:p>
        </w:tc>
      </w:tr>
      <w:tr>
        <w:trPr>
          <w:trHeight w:val="189"/>
        </w:trPr>
        <w:tc>
          <w:tcPr>
            <w:tcW w:w="3480" w:type="dxa"/>
            <w:vAlign w:val="bottom"/>
          </w:tcPr>
          <w:p>
            <w:pPr>
              <w:spacing w:after="0"/>
              <w:rPr>
                <w:sz w:val="16"/>
                <w:szCs w:val="16"/>
                <w:color w:val="auto"/>
              </w:rPr>
            </w:pPr>
          </w:p>
        </w:tc>
        <w:tc>
          <w:tcPr>
            <w:tcW w:w="2340" w:type="dxa"/>
            <w:vAlign w:val="bottom"/>
          </w:tcPr>
          <w:p>
            <w:pPr>
              <w:spacing w:after="0"/>
              <w:rPr>
                <w:sz w:val="16"/>
                <w:szCs w:val="16"/>
                <w:color w:val="auto"/>
              </w:rPr>
            </w:pPr>
          </w:p>
        </w:tc>
        <w:tc>
          <w:tcPr>
            <w:tcW w:w="5420" w:type="dxa"/>
            <w:vAlign w:val="bottom"/>
            <w:tcBorders>
              <w:top w:val="single" w:sz="8" w:color="auto"/>
            </w:tcBorders>
          </w:tcPr>
          <w:p>
            <w:pPr>
              <w:spacing w:after="0"/>
              <w:rPr>
                <w:sz w:val="20"/>
                <w:szCs w:val="20"/>
                <w:color w:val="auto"/>
              </w:rPr>
            </w:pPr>
            <w:r>
              <w:rPr>
                <w:rFonts w:ascii="Arial" w:cs="Arial" w:eastAsia="Arial" w:hAnsi="Arial"/>
                <w:sz w:val="16"/>
                <w:szCs w:val="16"/>
                <w:color w:val="auto"/>
              </w:rPr>
              <w:t>Brian Poff</w:t>
            </w:r>
          </w:p>
        </w:tc>
      </w:tr>
      <w:tr>
        <w:trPr>
          <w:trHeight w:val="206"/>
        </w:trPr>
        <w:tc>
          <w:tcPr>
            <w:tcW w:w="3480" w:type="dxa"/>
            <w:vAlign w:val="bottom"/>
          </w:tcPr>
          <w:p>
            <w:pPr>
              <w:spacing w:after="0"/>
              <w:rPr>
                <w:sz w:val="17"/>
                <w:szCs w:val="17"/>
                <w:color w:val="auto"/>
              </w:rPr>
            </w:pPr>
          </w:p>
        </w:tc>
        <w:tc>
          <w:tcPr>
            <w:tcW w:w="2340" w:type="dxa"/>
            <w:vAlign w:val="bottom"/>
          </w:tcPr>
          <w:p>
            <w:pPr>
              <w:spacing w:after="0"/>
              <w:rPr>
                <w:sz w:val="17"/>
                <w:szCs w:val="17"/>
                <w:color w:val="auto"/>
              </w:rPr>
            </w:pPr>
          </w:p>
        </w:tc>
        <w:tc>
          <w:tcPr>
            <w:tcW w:w="5420" w:type="dxa"/>
            <w:vAlign w:val="bottom"/>
          </w:tcPr>
          <w:p>
            <w:pPr>
              <w:spacing w:after="0"/>
              <w:rPr>
                <w:sz w:val="20"/>
                <w:szCs w:val="20"/>
                <w:color w:val="auto"/>
              </w:rPr>
            </w:pPr>
            <w:r>
              <w:rPr>
                <w:rFonts w:ascii="Arial" w:cs="Arial" w:eastAsia="Arial" w:hAnsi="Arial"/>
                <w:sz w:val="16"/>
                <w:szCs w:val="16"/>
                <w:color w:val="auto"/>
              </w:rPr>
              <w:t>Chief Financial Officer</w:t>
            </w:r>
          </w:p>
        </w:tc>
      </w:tr>
    </w:tbl>
    <w:p>
      <w:pPr>
        <w:sectPr>
          <w:pgSz w:w="11900" w:h="16838" w:orient="portrait"/>
          <w:cols w:equalWidth="0" w:num="1">
            <w:col w:w="11240"/>
          </w:cols>
          <w:pgMar w:left="320" w:top="121" w:right="339" w:bottom="1440" w:gutter="0" w:footer="0" w:header="0"/>
        </w:sectPr>
      </w:pPr>
    </w:p>
    <w:bookmarkStart w:id="41" w:name="page42"/>
    <w:bookmarkEnd w:id="41"/>
    <w:p>
      <w:pPr>
        <w:jc w:val="right"/>
        <w:spacing w:after="0"/>
        <w:rPr>
          <w:sz w:val="20"/>
          <w:szCs w:val="20"/>
          <w:color w:val="auto"/>
        </w:rPr>
      </w:pPr>
      <w:r>
        <w:rPr>
          <w:rFonts w:ascii="Arial" w:cs="Arial" w:eastAsia="Arial" w:hAnsi="Arial"/>
          <w:sz w:val="18"/>
          <w:szCs w:val="18"/>
          <w:b w:val="1"/>
          <w:bCs w:val="1"/>
          <w:color w:val="auto"/>
        </w:rPr>
        <w:t>Exhibit 32.1</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CHIEF EXECUTIVE OFFICER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 SECTION 906 OF THE SARBANES-OXLEY ACT OF 2002)</w:t>
      </w:r>
    </w:p>
    <w:p>
      <w:pPr>
        <w:spacing w:after="0" w:line="157" w:lineRule="exact"/>
        <w:rPr>
          <w:sz w:val="20"/>
          <w:szCs w:val="20"/>
          <w:color w:val="auto"/>
        </w:rPr>
      </w:pPr>
    </w:p>
    <w:p>
      <w:pPr>
        <w:ind w:right="300"/>
        <w:spacing w:after="0" w:line="311" w:lineRule="auto"/>
        <w:rPr>
          <w:sz w:val="20"/>
          <w:szCs w:val="20"/>
          <w:color w:val="auto"/>
        </w:rPr>
      </w:pPr>
      <w:r>
        <w:rPr>
          <w:rFonts w:ascii="Arial" w:cs="Arial" w:eastAsia="Arial" w:hAnsi="Arial"/>
          <w:sz w:val="16"/>
          <w:szCs w:val="16"/>
          <w:color w:val="auto"/>
        </w:rPr>
        <w:t>In connection with the Quarterly Report on Form 10-Q for the fiscal quarter ended June 30, 2020 of Addus HomeCare Corporation (the “Company”) as filed with the Securities and Exchange Commission on the date hereof (the “Report”), I, R. Dirk Allison, President and Chief Executive Officer of the Company, certify, pursuant to 18 U.S.C. Section 1350, as adopted pursuant to Section 906 of the Sarbanes-Oxley Act of 2002, that:</w:t>
      </w:r>
    </w:p>
    <w:p>
      <w:pPr>
        <w:spacing w:after="0" w:line="140" w:lineRule="exact"/>
        <w:rPr>
          <w:sz w:val="20"/>
          <w:szCs w:val="20"/>
          <w:color w:val="auto"/>
        </w:rPr>
      </w:pPr>
    </w:p>
    <w:p>
      <w:pPr>
        <w:ind w:left="880" w:hanging="841"/>
        <w:spacing w:after="0"/>
        <w:tabs>
          <w:tab w:leader="none" w:pos="880" w:val="left"/>
        </w:tabs>
        <w:numPr>
          <w:ilvl w:val="0"/>
          <w:numId w:val="16"/>
        </w:numPr>
        <w:rPr>
          <w:rFonts w:ascii="Arial" w:cs="Arial" w:eastAsia="Arial" w:hAnsi="Arial"/>
          <w:sz w:val="16"/>
          <w:szCs w:val="16"/>
          <w:color w:val="auto"/>
        </w:rPr>
      </w:pPr>
      <w:r>
        <w:rPr>
          <w:rFonts w:ascii="Arial" w:cs="Arial" w:eastAsia="Arial" w:hAnsi="Arial"/>
          <w:sz w:val="16"/>
          <w:szCs w:val="16"/>
          <w:color w:val="auto"/>
        </w:rPr>
        <w:t>The Report fully complies with the requirements of Section 13(a) or 15(d) of the Securities Exchange Act of 1934; and</w:t>
      </w:r>
    </w:p>
    <w:p>
      <w:pPr>
        <w:spacing w:after="0" w:line="221" w:lineRule="exact"/>
        <w:rPr>
          <w:rFonts w:ascii="Arial" w:cs="Arial" w:eastAsia="Arial" w:hAnsi="Arial"/>
          <w:sz w:val="16"/>
          <w:szCs w:val="16"/>
          <w:color w:val="auto"/>
        </w:rPr>
      </w:pPr>
    </w:p>
    <w:p>
      <w:pPr>
        <w:ind w:left="880" w:hanging="841"/>
        <w:spacing w:after="0"/>
        <w:tabs>
          <w:tab w:leader="none" w:pos="880" w:val="left"/>
        </w:tabs>
        <w:numPr>
          <w:ilvl w:val="0"/>
          <w:numId w:val="16"/>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64"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3500" w:type="dxa"/>
            <w:vAlign w:val="bottom"/>
          </w:tcPr>
          <w:p>
            <w:pPr>
              <w:spacing w:after="0"/>
              <w:rPr>
                <w:sz w:val="20"/>
                <w:szCs w:val="20"/>
                <w:color w:val="auto"/>
              </w:rPr>
            </w:pPr>
            <w:r>
              <w:rPr>
                <w:rFonts w:ascii="Arial" w:cs="Arial" w:eastAsia="Arial" w:hAnsi="Arial"/>
                <w:sz w:val="16"/>
                <w:szCs w:val="16"/>
                <w:color w:val="auto"/>
              </w:rPr>
              <w:t>Date: August 10, 2020</w:t>
            </w:r>
          </w:p>
        </w:tc>
        <w:tc>
          <w:tcPr>
            <w:tcW w:w="7740" w:type="dxa"/>
            <w:vAlign w:val="bottom"/>
            <w:gridSpan w:val="2"/>
          </w:tcPr>
          <w:p>
            <w:pPr>
              <w:ind w:left="2020"/>
              <w:spacing w:after="0"/>
              <w:rPr>
                <w:sz w:val="20"/>
                <w:szCs w:val="20"/>
                <w:color w:val="auto"/>
              </w:rPr>
            </w:pPr>
            <w:r>
              <w:rPr>
                <w:rFonts w:ascii="Arial" w:cs="Arial" w:eastAsia="Arial" w:hAnsi="Arial"/>
                <w:sz w:val="16"/>
                <w:szCs w:val="16"/>
                <w:color w:val="auto"/>
              </w:rPr>
              <w:t>By:  /s/ R. Dirk Allison</w:t>
            </w:r>
          </w:p>
        </w:tc>
      </w:tr>
      <w:tr>
        <w:trPr>
          <w:trHeight w:val="234"/>
        </w:trPr>
        <w:tc>
          <w:tcPr>
            <w:tcW w:w="3500" w:type="dxa"/>
            <w:vAlign w:val="bottom"/>
          </w:tcPr>
          <w:p>
            <w:pPr>
              <w:spacing w:after="0"/>
              <w:rPr>
                <w:sz w:val="20"/>
                <w:szCs w:val="20"/>
                <w:color w:val="auto"/>
              </w:rPr>
            </w:pPr>
          </w:p>
        </w:tc>
        <w:tc>
          <w:tcPr>
            <w:tcW w:w="2420" w:type="dxa"/>
            <w:vAlign w:val="bottom"/>
          </w:tcPr>
          <w:p>
            <w:pPr>
              <w:spacing w:after="0"/>
              <w:rPr>
                <w:sz w:val="20"/>
                <w:szCs w:val="20"/>
                <w:color w:val="auto"/>
              </w:rPr>
            </w:pPr>
          </w:p>
        </w:tc>
        <w:tc>
          <w:tcPr>
            <w:tcW w:w="5320" w:type="dxa"/>
            <w:vAlign w:val="bottom"/>
            <w:tcBorders>
              <w:top w:val="single" w:sz="8" w:color="auto"/>
            </w:tcBorders>
          </w:tcPr>
          <w:p>
            <w:pPr>
              <w:spacing w:after="0"/>
              <w:rPr>
                <w:sz w:val="20"/>
                <w:szCs w:val="20"/>
                <w:color w:val="auto"/>
              </w:rPr>
            </w:pPr>
            <w:r>
              <w:rPr>
                <w:rFonts w:ascii="Arial" w:cs="Arial" w:eastAsia="Arial" w:hAnsi="Arial"/>
                <w:sz w:val="16"/>
                <w:szCs w:val="16"/>
                <w:color w:val="auto"/>
              </w:rPr>
              <w:t>R. Dirk Allison</w:t>
            </w:r>
          </w:p>
        </w:tc>
      </w:tr>
      <w:tr>
        <w:trPr>
          <w:trHeight w:val="243"/>
        </w:trPr>
        <w:tc>
          <w:tcPr>
            <w:tcW w:w="3500" w:type="dxa"/>
            <w:vAlign w:val="bottom"/>
          </w:tcPr>
          <w:p>
            <w:pPr>
              <w:spacing w:after="0"/>
              <w:rPr>
                <w:sz w:val="21"/>
                <w:szCs w:val="21"/>
                <w:color w:val="auto"/>
              </w:rPr>
            </w:pPr>
          </w:p>
        </w:tc>
        <w:tc>
          <w:tcPr>
            <w:tcW w:w="2420" w:type="dxa"/>
            <w:vAlign w:val="bottom"/>
          </w:tcPr>
          <w:p>
            <w:pPr>
              <w:spacing w:after="0"/>
              <w:rPr>
                <w:sz w:val="21"/>
                <w:szCs w:val="21"/>
                <w:color w:val="auto"/>
              </w:rPr>
            </w:pPr>
          </w:p>
        </w:tc>
        <w:tc>
          <w:tcPr>
            <w:tcW w:w="5320" w:type="dxa"/>
            <w:vAlign w:val="bottom"/>
          </w:tcPr>
          <w:p>
            <w:pPr>
              <w:spacing w:after="0"/>
              <w:rPr>
                <w:sz w:val="20"/>
                <w:szCs w:val="20"/>
                <w:color w:val="auto"/>
              </w:rPr>
            </w:pPr>
            <w:r>
              <w:rPr>
                <w:rFonts w:ascii="Arial" w:cs="Arial" w:eastAsia="Arial" w:hAnsi="Arial"/>
                <w:sz w:val="16"/>
                <w:szCs w:val="16"/>
                <w:color w:val="auto"/>
              </w:rPr>
              <w:t>President and Chief Executive Officer</w:t>
            </w:r>
          </w:p>
        </w:tc>
      </w:tr>
    </w:tbl>
    <w:p>
      <w:pPr>
        <w:sectPr>
          <w:pgSz w:w="11900" w:h="16838" w:orient="portrait"/>
          <w:cols w:equalWidth="0" w:num="1">
            <w:col w:w="11240"/>
          </w:cols>
          <w:pgMar w:left="320" w:top="121" w:right="339" w:bottom="1440" w:gutter="0" w:footer="0" w:header="0"/>
        </w:sectPr>
      </w:pPr>
    </w:p>
    <w:bookmarkStart w:id="42" w:name="page43"/>
    <w:bookmarkEnd w:id="42"/>
    <w:p>
      <w:pPr>
        <w:jc w:val="right"/>
        <w:spacing w:after="0"/>
        <w:rPr>
          <w:sz w:val="20"/>
          <w:szCs w:val="20"/>
          <w:color w:val="auto"/>
        </w:rPr>
      </w:pPr>
      <w:r>
        <w:rPr>
          <w:rFonts w:ascii="Arial" w:cs="Arial" w:eastAsia="Arial" w:hAnsi="Arial"/>
          <w:sz w:val="18"/>
          <w:szCs w:val="18"/>
          <w:b w:val="1"/>
          <w:bCs w:val="1"/>
          <w:color w:val="auto"/>
        </w:rPr>
        <w:t>Exhibit 32.2</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CHIEF FINANCIAL OFFICER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 SECTION 906 OF THE SARBANES-OXLEY ACT OF 2002)</w:t>
      </w:r>
    </w:p>
    <w:p>
      <w:pPr>
        <w:spacing w:after="0" w:line="157" w:lineRule="exact"/>
        <w:rPr>
          <w:sz w:val="20"/>
          <w:szCs w:val="20"/>
          <w:color w:val="auto"/>
        </w:rPr>
      </w:pPr>
    </w:p>
    <w:p>
      <w:pPr>
        <w:ind w:right="300"/>
        <w:spacing w:after="0" w:line="286" w:lineRule="auto"/>
        <w:rPr>
          <w:sz w:val="20"/>
          <w:szCs w:val="20"/>
          <w:color w:val="auto"/>
        </w:rPr>
      </w:pPr>
      <w:r>
        <w:rPr>
          <w:rFonts w:ascii="Arial" w:cs="Arial" w:eastAsia="Arial" w:hAnsi="Arial"/>
          <w:sz w:val="17"/>
          <w:szCs w:val="17"/>
          <w:color w:val="auto"/>
        </w:rPr>
        <w:t>In connection with the Quarterly Report on Form 10-Q for the fiscal quarter ended June 30, 2020 of Addus HomeCare Corporation (the “Company”) as filed with the Securities and Exchange Commission on the date hereof (the “Report”), I, Brian Poff, Chief Financial Officer of the Company, certify, pursuant to 18 U.S.C. Section 1350, as adopted pursuant to Section 906 of the Sarbanes-Oxley Act of 2002, that:</w:t>
      </w:r>
    </w:p>
    <w:p>
      <w:pPr>
        <w:spacing w:after="0" w:line="156" w:lineRule="exact"/>
        <w:rPr>
          <w:sz w:val="20"/>
          <w:szCs w:val="20"/>
          <w:color w:val="auto"/>
        </w:rPr>
      </w:pPr>
    </w:p>
    <w:p>
      <w:pPr>
        <w:ind w:left="880" w:hanging="841"/>
        <w:spacing w:after="0"/>
        <w:tabs>
          <w:tab w:leader="none" w:pos="880" w:val="left"/>
        </w:tabs>
        <w:numPr>
          <w:ilvl w:val="0"/>
          <w:numId w:val="17"/>
        </w:numPr>
        <w:rPr>
          <w:rFonts w:ascii="Arial" w:cs="Arial" w:eastAsia="Arial" w:hAnsi="Arial"/>
          <w:sz w:val="16"/>
          <w:szCs w:val="16"/>
          <w:color w:val="auto"/>
        </w:rPr>
      </w:pPr>
      <w:r>
        <w:rPr>
          <w:rFonts w:ascii="Arial" w:cs="Arial" w:eastAsia="Arial" w:hAnsi="Arial"/>
          <w:sz w:val="16"/>
          <w:szCs w:val="16"/>
          <w:color w:val="auto"/>
        </w:rPr>
        <w:t>The Report fully complies with the requirements of Section 13(a) or 15(d) of the Securities Exchange Act of 1934; and</w:t>
      </w:r>
    </w:p>
    <w:p>
      <w:pPr>
        <w:spacing w:after="0" w:line="221" w:lineRule="exact"/>
        <w:rPr>
          <w:rFonts w:ascii="Arial" w:cs="Arial" w:eastAsia="Arial" w:hAnsi="Arial"/>
          <w:sz w:val="16"/>
          <w:szCs w:val="16"/>
          <w:color w:val="auto"/>
        </w:rPr>
      </w:pPr>
    </w:p>
    <w:p>
      <w:pPr>
        <w:ind w:left="880" w:hanging="841"/>
        <w:spacing w:after="0"/>
        <w:tabs>
          <w:tab w:leader="none" w:pos="880" w:val="left"/>
        </w:tabs>
        <w:numPr>
          <w:ilvl w:val="0"/>
          <w:numId w:val="17"/>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64"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3500" w:type="dxa"/>
            <w:vAlign w:val="bottom"/>
          </w:tcPr>
          <w:p>
            <w:pPr>
              <w:spacing w:after="0"/>
              <w:rPr>
                <w:sz w:val="20"/>
                <w:szCs w:val="20"/>
                <w:color w:val="auto"/>
              </w:rPr>
            </w:pPr>
            <w:r>
              <w:rPr>
                <w:rFonts w:ascii="Arial" w:cs="Arial" w:eastAsia="Arial" w:hAnsi="Arial"/>
                <w:sz w:val="16"/>
                <w:szCs w:val="16"/>
                <w:color w:val="auto"/>
              </w:rPr>
              <w:t>Date: August 10, 2020</w:t>
            </w:r>
          </w:p>
        </w:tc>
        <w:tc>
          <w:tcPr>
            <w:tcW w:w="7740" w:type="dxa"/>
            <w:vAlign w:val="bottom"/>
            <w:gridSpan w:val="2"/>
          </w:tcPr>
          <w:p>
            <w:pPr>
              <w:ind w:left="2020"/>
              <w:spacing w:after="0"/>
              <w:rPr>
                <w:sz w:val="20"/>
                <w:szCs w:val="20"/>
                <w:color w:val="auto"/>
              </w:rPr>
            </w:pPr>
            <w:r>
              <w:rPr>
                <w:rFonts w:ascii="Arial" w:cs="Arial" w:eastAsia="Arial" w:hAnsi="Arial"/>
                <w:sz w:val="16"/>
                <w:szCs w:val="16"/>
                <w:color w:val="auto"/>
              </w:rPr>
              <w:t>By:   /s/ Brian Poff</w:t>
            </w:r>
          </w:p>
        </w:tc>
      </w:tr>
      <w:tr>
        <w:trPr>
          <w:trHeight w:val="233"/>
        </w:trPr>
        <w:tc>
          <w:tcPr>
            <w:tcW w:w="3500" w:type="dxa"/>
            <w:vAlign w:val="bottom"/>
          </w:tcPr>
          <w:p>
            <w:pPr>
              <w:spacing w:after="0"/>
              <w:rPr>
                <w:sz w:val="20"/>
                <w:szCs w:val="20"/>
                <w:color w:val="auto"/>
              </w:rPr>
            </w:pPr>
          </w:p>
        </w:tc>
        <w:tc>
          <w:tcPr>
            <w:tcW w:w="2420" w:type="dxa"/>
            <w:vAlign w:val="bottom"/>
          </w:tcPr>
          <w:p>
            <w:pPr>
              <w:spacing w:after="0"/>
              <w:rPr>
                <w:sz w:val="20"/>
                <w:szCs w:val="20"/>
                <w:color w:val="auto"/>
              </w:rPr>
            </w:pPr>
          </w:p>
        </w:tc>
        <w:tc>
          <w:tcPr>
            <w:tcW w:w="5320" w:type="dxa"/>
            <w:vAlign w:val="bottom"/>
            <w:tcBorders>
              <w:top w:val="single" w:sz="8" w:color="auto"/>
            </w:tcBorders>
          </w:tcPr>
          <w:p>
            <w:pPr>
              <w:spacing w:after="0"/>
              <w:rPr>
                <w:sz w:val="20"/>
                <w:szCs w:val="20"/>
                <w:color w:val="auto"/>
              </w:rPr>
            </w:pPr>
            <w:r>
              <w:rPr>
                <w:rFonts w:ascii="Arial" w:cs="Arial" w:eastAsia="Arial" w:hAnsi="Arial"/>
                <w:sz w:val="16"/>
                <w:szCs w:val="16"/>
                <w:color w:val="auto"/>
              </w:rPr>
              <w:t>Brian Poff</w:t>
            </w:r>
          </w:p>
        </w:tc>
      </w:tr>
      <w:tr>
        <w:trPr>
          <w:trHeight w:val="243"/>
        </w:trPr>
        <w:tc>
          <w:tcPr>
            <w:tcW w:w="3500" w:type="dxa"/>
            <w:vAlign w:val="bottom"/>
          </w:tcPr>
          <w:p>
            <w:pPr>
              <w:spacing w:after="0"/>
              <w:rPr>
                <w:sz w:val="21"/>
                <w:szCs w:val="21"/>
                <w:color w:val="auto"/>
              </w:rPr>
            </w:pPr>
          </w:p>
        </w:tc>
        <w:tc>
          <w:tcPr>
            <w:tcW w:w="2420" w:type="dxa"/>
            <w:vAlign w:val="bottom"/>
          </w:tcPr>
          <w:p>
            <w:pPr>
              <w:spacing w:after="0"/>
              <w:rPr>
                <w:sz w:val="21"/>
                <w:szCs w:val="21"/>
                <w:color w:val="auto"/>
              </w:rPr>
            </w:pPr>
          </w:p>
        </w:tc>
        <w:tc>
          <w:tcPr>
            <w:tcW w:w="5320" w:type="dxa"/>
            <w:vAlign w:val="bottom"/>
          </w:tcPr>
          <w:p>
            <w:pPr>
              <w:spacing w:after="0"/>
              <w:rPr>
                <w:sz w:val="20"/>
                <w:szCs w:val="20"/>
                <w:color w:val="auto"/>
              </w:rPr>
            </w:pPr>
            <w:r>
              <w:rPr>
                <w:rFonts w:ascii="Arial" w:cs="Arial" w:eastAsia="Arial" w:hAnsi="Arial"/>
                <w:sz w:val="16"/>
                <w:szCs w:val="16"/>
                <w:color w:val="auto"/>
              </w:rPr>
              <w:t>Chief Financial Officer</w:t>
            </w:r>
          </w:p>
        </w:tc>
      </w:tr>
    </w:tbl>
    <w:p>
      <w:pPr>
        <w:spacing w:after="0" w:line="1" w:lineRule="exact"/>
        <w:rPr>
          <w:sz w:val="20"/>
          <w:szCs w:val="20"/>
          <w:color w:val="auto"/>
        </w:rPr>
      </w:pPr>
    </w:p>
    <w:sectPr>
      <w:pgSz w:w="11900" w:h="16838" w:orient="portrait"/>
      <w:cols w:equalWidth="0" w:num="1">
        <w:col w:w="11240"/>
      </w:cols>
      <w:pgMar w:left="320" w:top="12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BD062C2"/>
    <w:multiLevelType w:val="hybridMultilevel"/>
    <w:lvl w:ilvl="0">
      <w:lvlJc w:val="left"/>
      <w:lvlText w:val="☒"/>
      <w:numFmt w:val="bullet"/>
      <w:start w:val="1"/>
    </w:lvl>
  </w:abstractNum>
  <w:abstractNum w:abstractNumId="1">
    <w:nsid w:val="12200854"/>
    <w:multiLevelType w:val="hybridMultilevel"/>
    <w:lvl w:ilvl="0">
      <w:lvlJc w:val="left"/>
      <w:lvlText w:val="☐"/>
      <w:numFmt w:val="bullet"/>
      <w:start w:val="1"/>
    </w:lvl>
  </w:abstractNum>
  <w:abstractNum w:abstractNumId="2">
    <w:nsid w:val="4DB127F8"/>
    <w:multiLevelType w:val="hybridMultilevel"/>
    <w:lvl w:ilvl="0">
      <w:lvlJc w:val="left"/>
      <w:lvlText w:val="%1."/>
      <w:numFmt w:val="decimal"/>
      <w:start w:val="2"/>
    </w:lvl>
  </w:abstractNum>
  <w:abstractNum w:abstractNumId="3">
    <w:nsid w:val="216231B"/>
    <w:multiLevelType w:val="hybridMultilevel"/>
    <w:lvl w:ilvl="0">
      <w:lvlJc w:val="left"/>
      <w:lvlText w:val="(%1)"/>
      <w:numFmt w:val="decimal"/>
      <w:start w:val="1"/>
    </w:lvl>
  </w:abstractNum>
  <w:abstractNum w:abstractNumId="4">
    <w:nsid w:val="1F16E9E8"/>
    <w:multiLevelType w:val="hybridMultilevel"/>
    <w:lvl w:ilvl="0">
      <w:lvlJc w:val="left"/>
      <w:lvlText w:val="(%1)"/>
      <w:numFmt w:val="lowerRoman"/>
      <w:start w:val="2"/>
    </w:lvl>
  </w:abstractNum>
  <w:abstractNum w:abstractNumId="5">
    <w:nsid w:val="1190CDE7"/>
    <w:multiLevelType w:val="hybridMultilevel"/>
    <w:lvl w:ilvl="0">
      <w:lvlJc w:val="left"/>
      <w:lvlText w:val="%1."/>
      <w:numFmt w:val="decimal"/>
      <w:start w:val="10"/>
    </w:lvl>
  </w:abstractNum>
  <w:abstractNum w:abstractNumId="6">
    <w:nsid w:val="66EF438D"/>
    <w:multiLevelType w:val="hybridMultilevel"/>
    <w:lvl w:ilvl="0">
      <w:lvlJc w:val="left"/>
      <w:lvlText w:val="(%1)"/>
      <w:numFmt w:val="decimal"/>
      <w:start w:val="1"/>
    </w:lvl>
  </w:abstractNum>
  <w:abstractNum w:abstractNumId="7">
    <w:nsid w:val="140E0F76"/>
    <w:multiLevelType w:val="hybridMultilevel"/>
    <w:lvl w:ilvl="0">
      <w:lvlJc w:val="left"/>
      <w:lvlText w:val="*"/>
      <w:numFmt w:val="bullet"/>
      <w:start w:val="1"/>
    </w:lvl>
  </w:abstractNum>
  <w:abstractNum w:abstractNumId="8">
    <w:nsid w:val="3352255A"/>
    <w:multiLevelType w:val="hybridMultilevel"/>
    <w:lvl w:ilvl="0">
      <w:lvlJc w:val="left"/>
      <w:lvlText w:val="(%1)"/>
      <w:numFmt w:val="decimal"/>
      <w:start w:val="1"/>
    </w:lvl>
  </w:abstractNum>
  <w:abstractNum w:abstractNumId="9">
    <w:nsid w:val="109CF92E"/>
    <w:multiLevelType w:val="hybridMultilevel"/>
    <w:lvl w:ilvl="0">
      <w:lvlJc w:val="left"/>
      <w:lvlText w:val="*"/>
      <w:numFmt w:val="bullet"/>
      <w:start w:val="1"/>
    </w:lvl>
  </w:abstractNum>
  <w:abstractNum w:abstractNumId="10">
    <w:nsid w:val="DED7263"/>
    <w:multiLevelType w:val="hybridMultilevel"/>
    <w:lvl w:ilvl="0">
      <w:lvlJc w:val="left"/>
      <w:lvlText w:val="(%1)"/>
      <w:numFmt w:val="decimal"/>
      <w:start w:val="1"/>
    </w:lvl>
  </w:abstractNum>
  <w:abstractNum w:abstractNumId="11">
    <w:nsid w:val="7FDCC233"/>
    <w:multiLevelType w:val="hybridMultilevel"/>
    <w:lvl w:ilvl="0">
      <w:lvlJc w:val="left"/>
      <w:lvlText w:val="*"/>
      <w:numFmt w:val="bullet"/>
      <w:start w:val="1"/>
    </w:lvl>
  </w:abstractNum>
  <w:abstractNum w:abstractNumId="12">
    <w:nsid w:val="1BEFD79F"/>
    <w:multiLevelType w:val="hybridMultilevel"/>
    <w:lvl w:ilvl="0">
      <w:lvlJc w:val="left"/>
      <w:lvlText w:val="%1"/>
      <w:numFmt w:val="decimal"/>
      <w:start w:val="104"/>
    </w:lvl>
  </w:abstractNum>
  <w:abstractNum w:abstractNumId="13">
    <w:nsid w:val="41A7C4C9"/>
    <w:multiLevelType w:val="hybridMultilevel"/>
    <w:lvl w:ilvl="0">
      <w:lvlJc w:val="left"/>
      <w:lvlText w:val="%1."/>
      <w:numFmt w:val="decimal"/>
      <w:start w:val="1"/>
    </w:lvl>
    <w:lvl w:ilvl="1">
      <w:lvlJc w:val="left"/>
      <w:lvlText w:val="%2)"/>
      <w:numFmt w:val="lowerLetter"/>
      <w:start w:val="1"/>
    </w:lvl>
  </w:abstractNum>
  <w:abstractNum w:abstractNumId="14">
    <w:nsid w:val="6B68079A"/>
    <w:multiLevelType w:val="hybridMultilevel"/>
    <w:lvl w:ilvl="0">
      <w:lvlJc w:val="left"/>
      <w:lvlText w:val="%1."/>
      <w:numFmt w:val="decimal"/>
      <w:start w:val="1"/>
    </w:lvl>
    <w:lvl w:ilvl="1">
      <w:lvlJc w:val="left"/>
      <w:lvlText w:val="%2)"/>
      <w:numFmt w:val="lowerLetter"/>
      <w:start w:val="1"/>
    </w:lvl>
  </w:abstractNum>
  <w:abstractNum w:abstractNumId="15">
    <w:nsid w:val="4E6AFB66"/>
    <w:multiLevelType w:val="hybridMultilevel"/>
    <w:lvl w:ilvl="0">
      <w:lvlJc w:val="left"/>
      <w:lvlText w:val="(%1)"/>
      <w:numFmt w:val="decimal"/>
      <w:start w:val="1"/>
    </w:lvl>
  </w:abstractNum>
  <w:abstractNum w:abstractNumId="16">
    <w:nsid w:val="25E45D32"/>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6" Type="http://schemas.openxmlformats.org/officeDocument/2006/relationships/image" Target="media/image56.png"/><Relationship Id="rId67" Type="http://schemas.openxmlformats.org/officeDocument/2006/relationships/image" Target="media/image57.png"/><Relationship Id="rId68" Type="http://schemas.openxmlformats.org/officeDocument/2006/relationships/image" Target="media/image58.png"/><Relationship Id="rId63" Type="http://schemas.openxmlformats.org/officeDocument/2006/relationships/hyperlink" Target="http://www.sec.gov/Archives/edgar/data/1468328/000119312509238641/dex31.htm" TargetMode="External"/><Relationship Id="rId64" Type="http://schemas.openxmlformats.org/officeDocument/2006/relationships/hyperlink" Target="http://www.sec.gov/Archives/edgar/data/1468328/000119312513211165/d535575dex32.htm" TargetMode="External"/><Relationship Id="rId65" Type="http://schemas.openxmlformats.org/officeDocument/2006/relationships/hyperlink" Target="http://www.sec.gov/Archives/edgar/data/1468328/000119312509202215/dex4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2020-08-10T15:53:31Z</dcterms:created>
  <dcterms:modified xsi:type="dcterms:W3CDTF">2020-08-10T15:53:31Z</dcterms:modified>
</cp:coreProperties>
</file>